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2547"/>
        <w:gridCol w:w="1569"/>
        <w:gridCol w:w="1691"/>
        <w:gridCol w:w="32"/>
        <w:gridCol w:w="1661"/>
        <w:gridCol w:w="675"/>
        <w:gridCol w:w="841"/>
      </w:tblGrid>
      <w:tr w:rsidRPr="00034194" w:rsidR="00BE1F82" w:rsidTr="13B59198" w14:paraId="5C050532" w14:textId="77777777">
        <w:tc>
          <w:tcPr>
            <w:tcW w:w="2547" w:type="dxa"/>
            <w:tcMar/>
          </w:tcPr>
          <w:p w:rsidRPr="00FB0A09" w:rsidR="00BE1F82" w:rsidP="00987510" w:rsidRDefault="00BE1F82" w14:paraId="441E7601" w14:textId="77777777">
            <w:pPr>
              <w:rPr>
                <w:rFonts w:ascii="Verdana" w:hAnsi="Verdana" w:cs="Arial"/>
                <w:b/>
                <w:sz w:val="24"/>
                <w:szCs w:val="24"/>
              </w:rPr>
            </w:pPr>
            <w:r w:rsidRPr="00FB0A09">
              <w:rPr>
                <w:rFonts w:ascii="Verdana" w:hAnsi="Verdana" w:cs="Arial"/>
                <w:b/>
                <w:sz w:val="24"/>
                <w:szCs w:val="24"/>
              </w:rPr>
              <w:t>Meeting Date</w:t>
            </w:r>
          </w:p>
        </w:tc>
        <w:tc>
          <w:tcPr>
            <w:tcW w:w="3260" w:type="dxa"/>
            <w:gridSpan w:val="2"/>
            <w:tcMar/>
          </w:tcPr>
          <w:p w:rsidRPr="00FB0A09" w:rsidR="00BE1F82" w:rsidP="13B59198" w:rsidRDefault="00BE1F82" w14:paraId="5FA1CD6B" w14:textId="02815507">
            <w:pPr>
              <w:rPr>
                <w:rFonts w:ascii="Verdana" w:hAnsi="Verdana" w:cs="Arial"/>
                <w:b w:val="1"/>
                <w:bCs w:val="1"/>
                <w:sz w:val="24"/>
                <w:szCs w:val="24"/>
              </w:rPr>
            </w:pPr>
            <w:r w:rsidRPr="13B59198" w:rsidR="00BE1F82">
              <w:rPr>
                <w:rFonts w:ascii="Verdana" w:hAnsi="Verdana" w:cs="Arial"/>
                <w:b w:val="1"/>
                <w:bCs w:val="1"/>
                <w:sz w:val="24"/>
                <w:szCs w:val="24"/>
              </w:rPr>
              <w:t>Thursday 17</w:t>
            </w:r>
            <w:r w:rsidRPr="13B59198" w:rsidR="00BE1F82">
              <w:rPr>
                <w:rFonts w:ascii="Verdana" w:hAnsi="Verdana" w:cs="Arial"/>
                <w:b w:val="1"/>
                <w:bCs w:val="1"/>
                <w:sz w:val="24"/>
                <w:szCs w:val="24"/>
              </w:rPr>
              <w:t xml:space="preserve"> September 2026</w:t>
            </w:r>
          </w:p>
        </w:tc>
        <w:tc>
          <w:tcPr>
            <w:tcW w:w="2368" w:type="dxa"/>
            <w:gridSpan w:val="3"/>
            <w:tcMar/>
          </w:tcPr>
          <w:p w:rsidRPr="00FB0A09" w:rsidR="00BE1F82" w:rsidP="00987510" w:rsidRDefault="00BE1F82" w14:paraId="5D525F88" w14:textId="77777777">
            <w:pPr>
              <w:rPr>
                <w:rFonts w:ascii="Verdana" w:hAnsi="Verdana" w:cs="Arial"/>
                <w:b/>
                <w:sz w:val="24"/>
                <w:szCs w:val="24"/>
              </w:rPr>
            </w:pPr>
            <w:r w:rsidRPr="00FB0A09">
              <w:rPr>
                <w:rFonts w:ascii="Verdana" w:hAnsi="Verdana" w:cs="Arial"/>
                <w:b/>
                <w:sz w:val="24"/>
                <w:szCs w:val="24"/>
              </w:rPr>
              <w:t>Agenda Item</w:t>
            </w:r>
          </w:p>
        </w:tc>
        <w:tc>
          <w:tcPr>
            <w:tcW w:w="841" w:type="dxa"/>
            <w:tcMar/>
          </w:tcPr>
          <w:p w:rsidRPr="00FB0A09" w:rsidR="00BE1F82" w:rsidP="00987510" w:rsidRDefault="00BE1F82" w14:paraId="3C27C032" w14:textId="38920C27">
            <w:pPr/>
            <w:r w:rsidRPr="13B59198" w:rsidR="18557E57">
              <w:rPr>
                <w:rFonts w:ascii="Verdana" w:hAnsi="Verdana" w:cs="Arial"/>
                <w:b w:val="1"/>
                <w:bCs w:val="1"/>
                <w:sz w:val="24"/>
                <w:szCs w:val="24"/>
              </w:rPr>
              <w:t>5.2</w:t>
            </w:r>
          </w:p>
        </w:tc>
      </w:tr>
      <w:tr w:rsidRPr="00034194" w:rsidR="00BE1F82" w:rsidTr="13B59198" w14:paraId="3607D8BA" w14:textId="77777777">
        <w:tc>
          <w:tcPr>
            <w:tcW w:w="2547" w:type="dxa"/>
            <w:tcMar/>
          </w:tcPr>
          <w:p w:rsidRPr="00FB0A09" w:rsidR="00BE1F82" w:rsidP="00987510" w:rsidRDefault="00BE1F82" w14:paraId="47A5307F" w14:textId="77777777">
            <w:pPr>
              <w:rPr>
                <w:rFonts w:ascii="Verdana" w:hAnsi="Verdana" w:cs="Arial"/>
                <w:b/>
                <w:sz w:val="24"/>
                <w:szCs w:val="24"/>
              </w:rPr>
            </w:pPr>
            <w:r w:rsidRPr="00FB0A09">
              <w:rPr>
                <w:rFonts w:ascii="Verdana" w:hAnsi="Verdana" w:cs="Arial"/>
                <w:b/>
                <w:sz w:val="24"/>
                <w:szCs w:val="24"/>
              </w:rPr>
              <w:t>Name of Meeting</w:t>
            </w:r>
          </w:p>
        </w:tc>
        <w:tc>
          <w:tcPr>
            <w:tcW w:w="6469" w:type="dxa"/>
            <w:gridSpan w:val="6"/>
            <w:tcMar/>
          </w:tcPr>
          <w:p w:rsidRPr="00FB0A09" w:rsidR="00BE1F82" w:rsidP="00987510" w:rsidRDefault="00BE1F82" w14:paraId="2742501B" w14:textId="77777777">
            <w:pPr>
              <w:rPr>
                <w:rFonts w:ascii="Verdana" w:hAnsi="Verdana" w:cs="Arial"/>
                <w:b/>
                <w:sz w:val="24"/>
                <w:szCs w:val="24"/>
              </w:rPr>
            </w:pPr>
            <w:r w:rsidRPr="00FB0A09">
              <w:rPr>
                <w:rFonts w:ascii="Verdana" w:hAnsi="Verdana" w:cs="Arial"/>
                <w:b/>
                <w:sz w:val="24"/>
                <w:szCs w:val="24"/>
              </w:rPr>
              <w:t>Digital Data Research and Innovation Committee</w:t>
            </w:r>
          </w:p>
        </w:tc>
      </w:tr>
      <w:tr w:rsidRPr="00034194" w:rsidR="00BE1F82" w:rsidTr="13B59198" w14:paraId="62FFC993" w14:textId="77777777">
        <w:tc>
          <w:tcPr>
            <w:tcW w:w="2547" w:type="dxa"/>
            <w:tcMar/>
          </w:tcPr>
          <w:p w:rsidRPr="00FB0A09" w:rsidR="00BE1F82" w:rsidP="00987510" w:rsidRDefault="00BE1F82" w14:paraId="661224E5" w14:textId="77777777">
            <w:pPr>
              <w:rPr>
                <w:rFonts w:ascii="Verdana" w:hAnsi="Verdana" w:cs="Arial"/>
                <w:b/>
                <w:sz w:val="24"/>
                <w:szCs w:val="24"/>
              </w:rPr>
            </w:pPr>
            <w:r w:rsidRPr="00FB0A09">
              <w:rPr>
                <w:rFonts w:ascii="Verdana" w:hAnsi="Verdana" w:cs="Arial"/>
                <w:b/>
                <w:sz w:val="24"/>
                <w:szCs w:val="24"/>
              </w:rPr>
              <w:t>Report Title</w:t>
            </w:r>
          </w:p>
        </w:tc>
        <w:tc>
          <w:tcPr>
            <w:tcW w:w="6469" w:type="dxa"/>
            <w:gridSpan w:val="6"/>
            <w:tcMar/>
          </w:tcPr>
          <w:p w:rsidRPr="00FB0A09" w:rsidR="00BE1F82" w:rsidP="00987510" w:rsidRDefault="00BE1F82" w14:paraId="611E5069" w14:textId="77777777">
            <w:pPr>
              <w:rPr>
                <w:rFonts w:ascii="Verdana" w:hAnsi="Verdana" w:cs="Arial"/>
                <w:b/>
                <w:sz w:val="24"/>
                <w:szCs w:val="24"/>
              </w:rPr>
            </w:pPr>
            <w:r w:rsidRPr="00FB0A09">
              <w:rPr>
                <w:rFonts w:ascii="Verdana" w:hAnsi="Verdana" w:cs="Arial"/>
                <w:b/>
                <w:sz w:val="24"/>
                <w:szCs w:val="24"/>
              </w:rPr>
              <w:t>Business Intelligence and Analytics</w:t>
            </w:r>
          </w:p>
        </w:tc>
      </w:tr>
      <w:tr w:rsidRPr="00034194" w:rsidR="00BE1F82" w:rsidTr="13B59198" w14:paraId="3C2529D6" w14:textId="77777777">
        <w:tc>
          <w:tcPr>
            <w:tcW w:w="2547" w:type="dxa"/>
            <w:tcMar/>
          </w:tcPr>
          <w:p w:rsidRPr="00FB0A09" w:rsidR="00BE1F82" w:rsidP="00987510" w:rsidRDefault="00BE1F82" w14:paraId="09E4E8CB" w14:textId="77777777">
            <w:pPr>
              <w:rPr>
                <w:rFonts w:ascii="Verdana" w:hAnsi="Verdana" w:cs="Arial"/>
                <w:b/>
                <w:sz w:val="24"/>
                <w:szCs w:val="24"/>
              </w:rPr>
            </w:pPr>
            <w:r w:rsidRPr="00FB0A09">
              <w:rPr>
                <w:rFonts w:ascii="Verdana" w:hAnsi="Verdana" w:cs="Arial"/>
                <w:b/>
                <w:sz w:val="24"/>
                <w:szCs w:val="24"/>
              </w:rPr>
              <w:t>Report Author</w:t>
            </w:r>
          </w:p>
        </w:tc>
        <w:tc>
          <w:tcPr>
            <w:tcW w:w="6469" w:type="dxa"/>
            <w:gridSpan w:val="6"/>
            <w:tcMar/>
          </w:tcPr>
          <w:p w:rsidRPr="00FB0A09" w:rsidR="00BE1F82" w:rsidP="00987510" w:rsidRDefault="00BE1F82" w14:paraId="2DC365CD" w14:textId="77777777">
            <w:pPr>
              <w:rPr>
                <w:rFonts w:ascii="Verdana" w:hAnsi="Verdana" w:cs="Arial"/>
                <w:sz w:val="24"/>
                <w:szCs w:val="24"/>
              </w:rPr>
            </w:pPr>
            <w:r w:rsidRPr="00FB0A09">
              <w:rPr>
                <w:rFonts w:ascii="Verdana" w:hAnsi="Verdana" w:cs="Arial"/>
                <w:sz w:val="24"/>
                <w:szCs w:val="24"/>
              </w:rPr>
              <w:t>Andrew Nelson, Director of Performance and Business Intelligence</w:t>
            </w:r>
          </w:p>
        </w:tc>
      </w:tr>
      <w:tr w:rsidRPr="00034194" w:rsidR="00BE1F82" w:rsidTr="13B59198" w14:paraId="7913874B" w14:textId="77777777">
        <w:tc>
          <w:tcPr>
            <w:tcW w:w="2547" w:type="dxa"/>
            <w:tcMar/>
          </w:tcPr>
          <w:p w:rsidRPr="00FB0A09" w:rsidR="00BE1F82" w:rsidP="00987510" w:rsidRDefault="00BE1F82" w14:paraId="78C2D1B4" w14:textId="77777777">
            <w:pPr>
              <w:rPr>
                <w:rFonts w:ascii="Verdana" w:hAnsi="Verdana" w:cs="Arial"/>
                <w:b/>
                <w:sz w:val="24"/>
                <w:szCs w:val="24"/>
              </w:rPr>
            </w:pPr>
            <w:r w:rsidRPr="00FB0A09">
              <w:rPr>
                <w:rFonts w:ascii="Verdana" w:hAnsi="Verdana" w:cs="Arial"/>
                <w:b/>
                <w:sz w:val="24"/>
                <w:szCs w:val="24"/>
              </w:rPr>
              <w:t>Report Sponsor</w:t>
            </w:r>
          </w:p>
        </w:tc>
        <w:tc>
          <w:tcPr>
            <w:tcW w:w="6469" w:type="dxa"/>
            <w:gridSpan w:val="6"/>
            <w:tcMar/>
          </w:tcPr>
          <w:p w:rsidRPr="00FB0A09" w:rsidR="00BE1F82" w:rsidP="00987510" w:rsidRDefault="00BE1F82" w14:paraId="64F3D3DC" w14:textId="77777777">
            <w:pPr>
              <w:rPr>
                <w:rFonts w:ascii="Verdana" w:hAnsi="Verdana" w:cs="Arial"/>
                <w:sz w:val="24"/>
                <w:szCs w:val="24"/>
              </w:rPr>
            </w:pPr>
            <w:r w:rsidRPr="00FB0A09">
              <w:rPr>
                <w:rFonts w:ascii="Verdana" w:hAnsi="Verdana" w:cs="Arial"/>
                <w:sz w:val="24"/>
                <w:szCs w:val="24"/>
              </w:rPr>
              <w:t>Andrew Nelson, Director of Performance and Business Intelligence</w:t>
            </w:r>
          </w:p>
        </w:tc>
      </w:tr>
      <w:tr w:rsidRPr="00034194" w:rsidR="00BE1F82" w:rsidTr="13B59198" w14:paraId="1674B6D3" w14:textId="77777777">
        <w:tc>
          <w:tcPr>
            <w:tcW w:w="2547" w:type="dxa"/>
            <w:tcMar/>
          </w:tcPr>
          <w:p w:rsidRPr="00FB0A09" w:rsidR="00BE1F82" w:rsidP="00987510" w:rsidRDefault="00BE1F82" w14:paraId="7D3A496B" w14:textId="77777777">
            <w:pPr>
              <w:rPr>
                <w:rFonts w:ascii="Verdana" w:hAnsi="Verdana" w:cs="Arial"/>
                <w:b/>
                <w:sz w:val="24"/>
                <w:szCs w:val="24"/>
              </w:rPr>
            </w:pPr>
            <w:r w:rsidRPr="00FB0A09">
              <w:rPr>
                <w:rFonts w:ascii="Verdana" w:hAnsi="Verdana" w:cs="Arial"/>
                <w:b/>
                <w:sz w:val="24"/>
                <w:szCs w:val="24"/>
              </w:rPr>
              <w:t>Presented by</w:t>
            </w:r>
          </w:p>
        </w:tc>
        <w:tc>
          <w:tcPr>
            <w:tcW w:w="6469" w:type="dxa"/>
            <w:gridSpan w:val="6"/>
            <w:tcMar/>
          </w:tcPr>
          <w:p w:rsidRPr="00FB0A09" w:rsidR="00BE1F82" w:rsidP="00987510" w:rsidRDefault="00BE1F82" w14:paraId="401F93C5" w14:textId="77777777">
            <w:pPr>
              <w:rPr>
                <w:rFonts w:ascii="Verdana" w:hAnsi="Verdana" w:cs="Arial"/>
                <w:sz w:val="24"/>
                <w:szCs w:val="24"/>
              </w:rPr>
            </w:pPr>
            <w:r w:rsidRPr="00FB0A09">
              <w:rPr>
                <w:rFonts w:ascii="Verdana" w:hAnsi="Verdana" w:cs="Arial"/>
                <w:sz w:val="24"/>
                <w:szCs w:val="24"/>
              </w:rPr>
              <w:t>Andrew Nelson, Director of Performance and Business Intelligence</w:t>
            </w:r>
          </w:p>
        </w:tc>
      </w:tr>
      <w:tr w:rsidRPr="00034194" w:rsidR="00BE1F82" w:rsidTr="13B59198" w14:paraId="3B2D3175" w14:textId="77777777">
        <w:tc>
          <w:tcPr>
            <w:tcW w:w="2547" w:type="dxa"/>
            <w:tcMar/>
          </w:tcPr>
          <w:p w:rsidRPr="00FB0A09" w:rsidR="00BE1F82" w:rsidP="00987510" w:rsidRDefault="00BE1F82" w14:paraId="1696705B" w14:textId="77777777">
            <w:pPr>
              <w:rPr>
                <w:rFonts w:ascii="Verdana" w:hAnsi="Verdana" w:cs="Arial"/>
                <w:b/>
                <w:sz w:val="24"/>
                <w:szCs w:val="24"/>
              </w:rPr>
            </w:pPr>
            <w:r w:rsidRPr="00FB0A09">
              <w:rPr>
                <w:rFonts w:ascii="Verdana" w:hAnsi="Verdana" w:cs="Arial"/>
                <w:b/>
                <w:sz w:val="24"/>
                <w:szCs w:val="24"/>
              </w:rPr>
              <w:t>Freedom of Information</w:t>
            </w:r>
          </w:p>
        </w:tc>
        <w:tc>
          <w:tcPr>
            <w:tcW w:w="6469" w:type="dxa"/>
            <w:gridSpan w:val="6"/>
            <w:tcMar/>
          </w:tcPr>
          <w:p w:rsidRPr="00FB0A09" w:rsidR="00BE1F82" w:rsidP="00987510" w:rsidRDefault="00BE1F82" w14:paraId="24611346" w14:textId="77777777">
            <w:pPr>
              <w:rPr>
                <w:rFonts w:ascii="Verdana" w:hAnsi="Verdana" w:cs="Arial"/>
                <w:sz w:val="24"/>
                <w:szCs w:val="24"/>
              </w:rPr>
            </w:pPr>
            <w:r w:rsidRPr="00FB0A09">
              <w:rPr>
                <w:rFonts w:ascii="Verdana" w:hAnsi="Verdana" w:cs="Arial"/>
                <w:sz w:val="24"/>
                <w:szCs w:val="24"/>
              </w:rPr>
              <w:t>Open</w:t>
            </w:r>
          </w:p>
        </w:tc>
      </w:tr>
      <w:tr w:rsidRPr="00034194" w:rsidR="00BE1F82" w:rsidTr="13B59198" w14:paraId="319AC847" w14:textId="77777777">
        <w:tc>
          <w:tcPr>
            <w:tcW w:w="2547" w:type="dxa"/>
            <w:tcMar/>
          </w:tcPr>
          <w:p w:rsidRPr="00FB0A09" w:rsidR="00BE1F82" w:rsidP="00987510" w:rsidRDefault="00BE1F82" w14:paraId="4FCF24DA" w14:textId="77777777">
            <w:pPr>
              <w:rPr>
                <w:rFonts w:ascii="Verdana" w:hAnsi="Verdana" w:cs="Arial"/>
                <w:b/>
                <w:sz w:val="24"/>
                <w:szCs w:val="24"/>
              </w:rPr>
            </w:pPr>
            <w:r w:rsidRPr="00FB0A09">
              <w:rPr>
                <w:rFonts w:ascii="Verdana" w:hAnsi="Verdana" w:cs="Arial"/>
                <w:b/>
                <w:sz w:val="24"/>
                <w:szCs w:val="24"/>
              </w:rPr>
              <w:t>Purpose of the Report</w:t>
            </w:r>
          </w:p>
        </w:tc>
        <w:tc>
          <w:tcPr>
            <w:tcW w:w="6469" w:type="dxa"/>
            <w:gridSpan w:val="6"/>
            <w:tcMar/>
          </w:tcPr>
          <w:p w:rsidRPr="00FB0A09" w:rsidR="00BE1F82" w:rsidP="00987510" w:rsidRDefault="00BE1F82" w14:paraId="58C5A6BF" w14:textId="77777777">
            <w:pPr>
              <w:rPr>
                <w:rFonts w:ascii="Verdana" w:hAnsi="Verdana" w:cs="Arial"/>
                <w:sz w:val="24"/>
                <w:szCs w:val="24"/>
              </w:rPr>
            </w:pPr>
            <w:r w:rsidRPr="00FB0A09">
              <w:rPr>
                <w:rFonts w:ascii="Verdana" w:hAnsi="Verdana" w:cs="Arial"/>
                <w:sz w:val="24"/>
                <w:szCs w:val="24"/>
              </w:rPr>
              <w:t>To provide assurance on Business Intelligence and Analytics delivery, and its alignment with the Data Programme and Integrated Medium-Term Plan (IMTP) programme areas.</w:t>
            </w:r>
          </w:p>
        </w:tc>
      </w:tr>
      <w:tr w:rsidRPr="00034194" w:rsidR="00BE1F82" w:rsidTr="13B59198" w14:paraId="3A141F13" w14:textId="77777777">
        <w:tc>
          <w:tcPr>
            <w:tcW w:w="2547" w:type="dxa"/>
            <w:tcMar/>
          </w:tcPr>
          <w:p w:rsidRPr="00FB0A09" w:rsidR="00BE1F82" w:rsidP="00987510" w:rsidRDefault="00BE1F82" w14:paraId="1A020BEF" w14:textId="77777777">
            <w:pPr>
              <w:rPr>
                <w:rFonts w:ascii="Verdana" w:hAnsi="Verdana" w:cs="Arial"/>
                <w:b/>
                <w:sz w:val="24"/>
                <w:szCs w:val="24"/>
              </w:rPr>
            </w:pPr>
            <w:r w:rsidRPr="00FB0A09">
              <w:rPr>
                <w:rFonts w:ascii="Verdana" w:hAnsi="Verdana" w:cs="Arial"/>
                <w:b/>
                <w:sz w:val="24"/>
                <w:szCs w:val="24"/>
              </w:rPr>
              <w:t>Key Issues</w:t>
            </w:r>
          </w:p>
          <w:p w:rsidRPr="00FB0A09" w:rsidR="00BE1F82" w:rsidP="00987510" w:rsidRDefault="00BE1F82" w14:paraId="5B9095E1" w14:textId="77777777">
            <w:pPr>
              <w:rPr>
                <w:rFonts w:ascii="Verdana" w:hAnsi="Verdana" w:cs="Arial"/>
                <w:b/>
                <w:sz w:val="24"/>
                <w:szCs w:val="24"/>
              </w:rPr>
            </w:pPr>
          </w:p>
          <w:p w:rsidRPr="00FB0A09" w:rsidR="00BE1F82" w:rsidP="00987510" w:rsidRDefault="00BE1F82" w14:paraId="54D2D292" w14:textId="77777777">
            <w:pPr>
              <w:rPr>
                <w:rFonts w:ascii="Verdana" w:hAnsi="Verdana" w:cs="Arial"/>
                <w:b/>
                <w:sz w:val="24"/>
                <w:szCs w:val="24"/>
              </w:rPr>
            </w:pPr>
          </w:p>
          <w:p w:rsidRPr="00FB0A09" w:rsidR="00BE1F82" w:rsidP="00987510" w:rsidRDefault="00BE1F82" w14:paraId="36E51237" w14:textId="77777777">
            <w:pPr>
              <w:rPr>
                <w:rFonts w:ascii="Verdana" w:hAnsi="Verdana" w:cs="Arial"/>
                <w:b/>
                <w:sz w:val="24"/>
                <w:szCs w:val="24"/>
              </w:rPr>
            </w:pPr>
          </w:p>
        </w:tc>
        <w:tc>
          <w:tcPr>
            <w:tcW w:w="6469" w:type="dxa"/>
            <w:gridSpan w:val="6"/>
            <w:tcMar/>
          </w:tcPr>
          <w:p w:rsidRPr="00FB0A09" w:rsidR="00BE1F82" w:rsidP="00987510" w:rsidRDefault="00BE1F82" w14:paraId="0CF8A665" w14:textId="77777777">
            <w:pPr>
              <w:rPr>
                <w:rFonts w:ascii="Verdana" w:hAnsi="Verdana" w:cs="Arial"/>
                <w:sz w:val="24"/>
                <w:szCs w:val="24"/>
              </w:rPr>
            </w:pPr>
            <w:r w:rsidRPr="00FB0A09">
              <w:rPr>
                <w:rFonts w:ascii="Verdana" w:hAnsi="Verdana" w:cs="Arial"/>
                <w:sz w:val="24"/>
                <w:szCs w:val="24"/>
              </w:rPr>
              <w:t>The paper reports progress since May 2026 across dashboards and automation, system modelling and quantitative planning, Artificial Intelligence (AI) and advanced analytics, performance management and assurance, data architecture and literacy. It also describes the embedded support model across Service Groups and principal transformation programmes.</w:t>
            </w:r>
          </w:p>
        </w:tc>
      </w:tr>
      <w:tr w:rsidRPr="00034194" w:rsidR="00BE1F82" w:rsidTr="13B59198" w14:paraId="5D167B29" w14:textId="77777777">
        <w:trPr>
          <w:trHeight w:val="97"/>
        </w:trPr>
        <w:tc>
          <w:tcPr>
            <w:tcW w:w="2547" w:type="dxa"/>
            <w:vMerge w:val="restart"/>
            <w:tcMar/>
          </w:tcPr>
          <w:p w:rsidRPr="00FB0A09" w:rsidR="00BE1F82" w:rsidP="00987510" w:rsidRDefault="00BE1F82" w14:paraId="30F8E017" w14:textId="77777777">
            <w:pPr>
              <w:rPr>
                <w:rFonts w:ascii="Verdana" w:hAnsi="Verdana" w:cs="Arial"/>
                <w:b/>
                <w:sz w:val="24"/>
                <w:szCs w:val="24"/>
              </w:rPr>
            </w:pPr>
            <w:r w:rsidRPr="00FB0A09">
              <w:rPr>
                <w:rFonts w:ascii="Verdana" w:hAnsi="Verdana" w:cs="Arial"/>
                <w:b/>
                <w:sz w:val="24"/>
                <w:szCs w:val="24"/>
              </w:rPr>
              <w:t xml:space="preserve">Specific Action Required </w:t>
            </w:r>
          </w:p>
          <w:p w:rsidRPr="00FB0A09" w:rsidR="00BE1F82" w:rsidP="00987510" w:rsidRDefault="00BE1F82" w14:paraId="56B99112" w14:textId="77777777">
            <w:pPr>
              <w:rPr>
                <w:rFonts w:ascii="Verdana" w:hAnsi="Verdana" w:cs="Arial"/>
                <w:b/>
                <w:i/>
                <w:sz w:val="24"/>
                <w:szCs w:val="24"/>
              </w:rPr>
            </w:pPr>
            <w:r w:rsidRPr="00FB0A09">
              <w:rPr>
                <w:rFonts w:ascii="Verdana" w:hAnsi="Verdana" w:cs="Arial"/>
                <w:b/>
                <w:i/>
                <w:sz w:val="24"/>
                <w:szCs w:val="24"/>
              </w:rPr>
              <w:t>(</w:t>
            </w:r>
            <w:proofErr w:type="gramStart"/>
            <w:r w:rsidRPr="00FB0A09">
              <w:rPr>
                <w:rFonts w:ascii="Verdana" w:hAnsi="Verdana" w:cs="Arial"/>
                <w:b/>
                <w:i/>
                <w:sz w:val="24"/>
                <w:szCs w:val="24"/>
              </w:rPr>
              <w:t>please</w:t>
            </w:r>
            <w:proofErr w:type="gramEnd"/>
            <w:r w:rsidRPr="00FB0A09">
              <w:rPr>
                <w:rFonts w:ascii="Verdana" w:hAnsi="Verdana" w:cs="Arial"/>
                <w:b/>
                <w:i/>
                <w:sz w:val="24"/>
                <w:szCs w:val="24"/>
              </w:rPr>
              <w:t xml:space="preserve"> choose one only)</w:t>
            </w:r>
          </w:p>
        </w:tc>
        <w:tc>
          <w:tcPr>
            <w:tcW w:w="1569" w:type="dxa"/>
            <w:shd w:val="clear" w:color="auto" w:fill="D5DCE4" w:themeFill="text2" w:themeFillTint="33"/>
            <w:tcMar/>
          </w:tcPr>
          <w:p w:rsidRPr="00FB0A09" w:rsidR="00BE1F82" w:rsidP="00987510" w:rsidRDefault="00BE1F82" w14:paraId="27FF3AA7" w14:textId="77777777">
            <w:pPr>
              <w:rPr>
                <w:rFonts w:ascii="Verdana" w:hAnsi="Verdana" w:cs="Arial"/>
                <w:b/>
                <w:sz w:val="24"/>
                <w:szCs w:val="24"/>
              </w:rPr>
            </w:pPr>
            <w:r w:rsidRPr="00FB0A09">
              <w:rPr>
                <w:rFonts w:ascii="Verdana" w:hAnsi="Verdana" w:cs="Arial"/>
                <w:b/>
                <w:sz w:val="24"/>
                <w:szCs w:val="24"/>
              </w:rPr>
              <w:t>Information</w:t>
            </w:r>
          </w:p>
        </w:tc>
        <w:tc>
          <w:tcPr>
            <w:tcW w:w="1723" w:type="dxa"/>
            <w:gridSpan w:val="2"/>
            <w:shd w:val="clear" w:color="auto" w:fill="D5DCE4" w:themeFill="text2" w:themeFillTint="33"/>
            <w:tcMar/>
          </w:tcPr>
          <w:p w:rsidRPr="00FB0A09" w:rsidR="00BE1F82" w:rsidP="00987510" w:rsidRDefault="00BE1F82" w14:paraId="0579EDB7" w14:textId="77777777">
            <w:pPr>
              <w:rPr>
                <w:rFonts w:ascii="Verdana" w:hAnsi="Verdana" w:cs="Arial"/>
                <w:b/>
                <w:sz w:val="24"/>
                <w:szCs w:val="24"/>
              </w:rPr>
            </w:pPr>
            <w:r w:rsidRPr="00FB0A09">
              <w:rPr>
                <w:rFonts w:ascii="Verdana" w:hAnsi="Verdana" w:cs="Arial"/>
                <w:b/>
                <w:sz w:val="24"/>
                <w:szCs w:val="24"/>
              </w:rPr>
              <w:t>Discussion</w:t>
            </w:r>
          </w:p>
        </w:tc>
        <w:tc>
          <w:tcPr>
            <w:tcW w:w="1661" w:type="dxa"/>
            <w:shd w:val="clear" w:color="auto" w:fill="D5DCE4" w:themeFill="text2" w:themeFillTint="33"/>
            <w:tcMar/>
          </w:tcPr>
          <w:p w:rsidRPr="00FB0A09" w:rsidR="00BE1F82" w:rsidP="00987510" w:rsidRDefault="00BE1F82" w14:paraId="31A13F2D" w14:textId="77777777">
            <w:pPr>
              <w:rPr>
                <w:rFonts w:ascii="Verdana" w:hAnsi="Verdana" w:cs="Arial"/>
                <w:b/>
                <w:sz w:val="24"/>
                <w:szCs w:val="24"/>
              </w:rPr>
            </w:pPr>
            <w:r w:rsidRPr="00FB0A09">
              <w:rPr>
                <w:rFonts w:ascii="Verdana" w:hAnsi="Verdana" w:cs="Arial"/>
                <w:b/>
                <w:sz w:val="24"/>
                <w:szCs w:val="24"/>
              </w:rPr>
              <w:t>Assurance</w:t>
            </w:r>
          </w:p>
        </w:tc>
        <w:tc>
          <w:tcPr>
            <w:tcW w:w="1516" w:type="dxa"/>
            <w:gridSpan w:val="2"/>
            <w:shd w:val="clear" w:color="auto" w:fill="D5DCE4" w:themeFill="text2" w:themeFillTint="33"/>
            <w:tcMar/>
          </w:tcPr>
          <w:p w:rsidRPr="00FB0A09" w:rsidR="00BE1F82" w:rsidP="00987510" w:rsidRDefault="00BE1F82" w14:paraId="120175F2" w14:textId="77777777">
            <w:pPr>
              <w:rPr>
                <w:rFonts w:ascii="Verdana" w:hAnsi="Verdana" w:cs="Arial"/>
                <w:b/>
                <w:sz w:val="24"/>
                <w:szCs w:val="24"/>
              </w:rPr>
            </w:pPr>
            <w:r w:rsidRPr="00FB0A09">
              <w:rPr>
                <w:rFonts w:ascii="Verdana" w:hAnsi="Verdana" w:cs="Arial"/>
                <w:b/>
                <w:sz w:val="24"/>
                <w:szCs w:val="24"/>
              </w:rPr>
              <w:t>Approval</w:t>
            </w:r>
          </w:p>
        </w:tc>
      </w:tr>
      <w:tr w:rsidRPr="00034194" w:rsidR="00BE1F82" w:rsidTr="13B59198" w14:paraId="0AC9CFBB" w14:textId="77777777">
        <w:trPr>
          <w:trHeight w:val="96"/>
        </w:trPr>
        <w:tc>
          <w:tcPr>
            <w:tcW w:w="2547" w:type="dxa"/>
            <w:vMerge/>
            <w:tcMar/>
          </w:tcPr>
          <w:p w:rsidRPr="00FB0A09" w:rsidR="00BE1F82" w:rsidP="00987510" w:rsidRDefault="00BE1F82" w14:paraId="427FC137" w14:textId="77777777">
            <w:pPr>
              <w:rPr>
                <w:rFonts w:ascii="Verdana" w:hAnsi="Verdana" w:cs="Arial"/>
                <w:b/>
                <w:sz w:val="24"/>
                <w:szCs w:val="24"/>
              </w:rPr>
            </w:pPr>
          </w:p>
        </w:tc>
        <w:sdt>
          <w:sdtPr>
            <w:rPr>
              <w:rFonts w:ascii="Verdana" w:hAnsi="Verdana" w:cs="Arial"/>
              <w:sz w:val="20"/>
              <w:szCs w:val="20"/>
            </w:rPr>
            <w:id w:val="1068315321"/>
            <w14:checkbox>
              <w14:checked w14:val="0"/>
              <w14:checkedState w14:val="2612" w14:font="MS Gothic"/>
              <w14:uncheckedState w14:val="2610" w14:font="MS Gothic"/>
            </w14:checkbox>
          </w:sdtPr>
          <w:sdtEndPr>
            <w:rPr>
              <w:rFonts w:ascii="Verdana" w:hAnsi="Verdana" w:cs="Arial"/>
              <w:sz w:val="20"/>
              <w:szCs w:val="20"/>
            </w:rPr>
          </w:sdtEndPr>
          <w:sdtContent>
            <w:tc>
              <w:tcPr>
                <w:tcW w:w="1569" w:type="dxa"/>
                <w:tcMar/>
              </w:tcPr>
              <w:p w:rsidRPr="00FB0A09" w:rsidR="00BE1F82" w:rsidP="00987510" w:rsidRDefault="00BE1F82" w14:paraId="3A243558" w14:textId="77777777">
                <w:pPr>
                  <w:ind w:right="96"/>
                  <w:jc w:val="center"/>
                  <w:rPr>
                    <w:rFonts w:ascii="Verdana" w:hAnsi="Verdana" w:cs="Arial"/>
                    <w:sz w:val="24"/>
                    <w:szCs w:val="24"/>
                  </w:rPr>
                </w:pPr>
                <w:r w:rsidRPr="00FB0A09">
                  <w:rPr>
                    <w:rFonts w:ascii="Segoe UI Symbol" w:hAnsi="Segoe UI Symbol" w:eastAsia="MS Gothic" w:cs="Segoe UI Symbol"/>
                    <w:sz w:val="20"/>
                    <w:szCs w:val="20"/>
                  </w:rPr>
                  <w:t>☐</w:t>
                </w:r>
              </w:p>
            </w:tc>
          </w:sdtContent>
        </w:sdt>
        <w:sdt>
          <w:sdtPr>
            <w:rPr>
              <w:rFonts w:ascii="Verdana" w:hAnsi="Verdana" w:cs="Arial"/>
              <w:sz w:val="20"/>
              <w:szCs w:val="20"/>
            </w:rPr>
            <w:id w:val="736593761"/>
            <w14:checkbox>
              <w14:checked w14:val="0"/>
              <w14:checkedState w14:val="2612" w14:font="MS Gothic"/>
              <w14:uncheckedState w14:val="2610" w14:font="MS Gothic"/>
            </w14:checkbox>
          </w:sdtPr>
          <w:sdtEndPr>
            <w:rPr>
              <w:rFonts w:ascii="Verdana" w:hAnsi="Verdana" w:cs="Arial"/>
              <w:sz w:val="20"/>
              <w:szCs w:val="20"/>
            </w:rPr>
          </w:sdtEndPr>
          <w:sdtContent>
            <w:tc>
              <w:tcPr>
                <w:tcW w:w="1723" w:type="dxa"/>
                <w:gridSpan w:val="2"/>
                <w:tcMar/>
              </w:tcPr>
              <w:p w:rsidRPr="00FB0A09" w:rsidR="00BE1F82" w:rsidP="00987510" w:rsidRDefault="00BE1F82" w14:paraId="1A1F4D0F" w14:textId="77777777">
                <w:pPr>
                  <w:ind w:right="96"/>
                  <w:jc w:val="center"/>
                  <w:rPr>
                    <w:rFonts w:ascii="Verdana" w:hAnsi="Verdana" w:cs="Arial"/>
                    <w:sz w:val="24"/>
                    <w:szCs w:val="24"/>
                  </w:rPr>
                </w:pPr>
                <w:r w:rsidRPr="00FB0A09">
                  <w:rPr>
                    <w:rFonts w:ascii="Segoe UI Symbol" w:hAnsi="Segoe UI Symbol" w:eastAsia="MS Gothic" w:cs="Segoe UI Symbol"/>
                    <w:sz w:val="20"/>
                    <w:szCs w:val="20"/>
                  </w:rPr>
                  <w:t>☐</w:t>
                </w:r>
              </w:p>
            </w:tc>
          </w:sdtContent>
        </w:sdt>
        <w:sdt>
          <w:sdtPr>
            <w:rPr>
              <w:rFonts w:ascii="Verdana" w:hAnsi="Verdana" w:cs="Arial"/>
              <w:sz w:val="20"/>
              <w:szCs w:val="20"/>
            </w:rPr>
            <w:id w:val="-49540097"/>
            <w14:checkbox>
              <w14:checked w14:val="1"/>
              <w14:checkedState w14:val="2612" w14:font="MS Gothic"/>
              <w14:uncheckedState w14:val="2610" w14:font="MS Gothic"/>
            </w14:checkbox>
          </w:sdtPr>
          <w:sdtEndPr>
            <w:rPr>
              <w:rFonts w:ascii="Verdana" w:hAnsi="Verdana" w:cs="Arial"/>
              <w:sz w:val="20"/>
              <w:szCs w:val="20"/>
            </w:rPr>
          </w:sdtEndPr>
          <w:sdtContent>
            <w:tc>
              <w:tcPr>
                <w:tcW w:w="1661" w:type="dxa"/>
                <w:tcMar/>
              </w:tcPr>
              <w:p w:rsidRPr="00FB0A09" w:rsidR="00BE1F82" w:rsidP="00987510" w:rsidRDefault="00BE1F82" w14:paraId="3DDBF4FE" w14:textId="77777777">
                <w:pPr>
                  <w:ind w:right="96"/>
                  <w:jc w:val="center"/>
                  <w:rPr>
                    <w:rFonts w:ascii="Verdana" w:hAnsi="Verdana" w:cs="Arial"/>
                    <w:sz w:val="24"/>
                    <w:szCs w:val="24"/>
                  </w:rPr>
                </w:pPr>
                <w:r w:rsidRPr="00FB0A09">
                  <w:rPr>
                    <w:rFonts w:ascii="Segoe UI Symbol" w:hAnsi="Segoe UI Symbol" w:eastAsia="MS Gothic" w:cs="Segoe UI Symbol"/>
                    <w:sz w:val="20"/>
                    <w:szCs w:val="20"/>
                  </w:rPr>
                  <w:t>☒</w:t>
                </w:r>
              </w:p>
            </w:tc>
          </w:sdtContent>
        </w:sdt>
        <w:sdt>
          <w:sdtPr>
            <w:rPr>
              <w:rFonts w:ascii="Verdana" w:hAnsi="Verdana" w:cs="Arial"/>
              <w:sz w:val="20"/>
              <w:szCs w:val="20"/>
            </w:rPr>
            <w:id w:val="1731038570"/>
            <w14:checkbox>
              <w14:checked w14:val="0"/>
              <w14:checkedState w14:val="2612" w14:font="MS Gothic"/>
              <w14:uncheckedState w14:val="2610" w14:font="MS Gothic"/>
            </w14:checkbox>
          </w:sdtPr>
          <w:sdtEndPr>
            <w:rPr>
              <w:rFonts w:ascii="Verdana" w:hAnsi="Verdana" w:cs="Arial"/>
              <w:sz w:val="20"/>
              <w:szCs w:val="20"/>
            </w:rPr>
          </w:sdtEndPr>
          <w:sdtContent>
            <w:tc>
              <w:tcPr>
                <w:tcW w:w="1516" w:type="dxa"/>
                <w:gridSpan w:val="2"/>
                <w:tcMar/>
              </w:tcPr>
              <w:p w:rsidRPr="00FB0A09" w:rsidR="00BE1F82" w:rsidP="00987510" w:rsidRDefault="00BE1F82" w14:paraId="3A52851F" w14:textId="77777777">
                <w:pPr>
                  <w:ind w:right="96"/>
                  <w:jc w:val="center"/>
                  <w:rPr>
                    <w:rFonts w:ascii="Verdana" w:hAnsi="Verdana" w:cs="Arial"/>
                    <w:sz w:val="24"/>
                    <w:szCs w:val="24"/>
                  </w:rPr>
                </w:pPr>
                <w:r w:rsidRPr="00FB0A09">
                  <w:rPr>
                    <w:rFonts w:ascii="Segoe UI Symbol" w:hAnsi="Segoe UI Symbol" w:eastAsia="MS Gothic" w:cs="Segoe UI Symbol"/>
                    <w:sz w:val="20"/>
                    <w:szCs w:val="20"/>
                  </w:rPr>
                  <w:t>☐</w:t>
                </w:r>
              </w:p>
            </w:tc>
          </w:sdtContent>
        </w:sdt>
      </w:tr>
      <w:tr w:rsidRPr="00034194" w:rsidR="00BE1F82" w:rsidTr="13B59198" w14:paraId="00ED7529" w14:textId="77777777">
        <w:tc>
          <w:tcPr>
            <w:tcW w:w="2547" w:type="dxa"/>
            <w:tcMar/>
          </w:tcPr>
          <w:p w:rsidRPr="00FB0A09" w:rsidR="00BE1F82" w:rsidP="00987510" w:rsidRDefault="00BE1F82" w14:paraId="7B32E7C3" w14:textId="77777777">
            <w:pPr>
              <w:rPr>
                <w:rFonts w:ascii="Verdana" w:hAnsi="Verdana" w:cs="Arial"/>
                <w:b/>
                <w:sz w:val="24"/>
                <w:szCs w:val="24"/>
              </w:rPr>
            </w:pPr>
            <w:r w:rsidRPr="00FB0A09">
              <w:rPr>
                <w:rFonts w:ascii="Verdana" w:hAnsi="Verdana" w:cs="Arial"/>
                <w:b/>
                <w:sz w:val="24"/>
                <w:szCs w:val="24"/>
              </w:rPr>
              <w:t>Recommendations</w:t>
            </w:r>
          </w:p>
          <w:p w:rsidRPr="00FB0A09" w:rsidR="00BE1F82" w:rsidP="00987510" w:rsidRDefault="00BE1F82" w14:paraId="6AF211D5" w14:textId="77777777">
            <w:pPr>
              <w:rPr>
                <w:rFonts w:ascii="Verdana" w:hAnsi="Verdana" w:cs="Arial"/>
                <w:b/>
                <w:sz w:val="24"/>
                <w:szCs w:val="24"/>
              </w:rPr>
            </w:pPr>
          </w:p>
        </w:tc>
        <w:tc>
          <w:tcPr>
            <w:tcW w:w="6469" w:type="dxa"/>
            <w:gridSpan w:val="6"/>
            <w:tcMar/>
          </w:tcPr>
          <w:p w:rsidRPr="00FB0A09" w:rsidR="00BE1F82" w:rsidP="00987510" w:rsidRDefault="00BE1F82" w14:paraId="63A30B18" w14:textId="77777777">
            <w:pPr>
              <w:spacing w:after="160" w:line="259" w:lineRule="auto"/>
              <w:ind w:right="96"/>
              <w:jc w:val="both"/>
              <w:rPr>
                <w:rFonts w:ascii="Verdana" w:hAnsi="Verdana" w:cs="Arial"/>
                <w:sz w:val="24"/>
                <w:szCs w:val="24"/>
              </w:rPr>
            </w:pPr>
            <w:r w:rsidRPr="00FB0A09">
              <w:rPr>
                <w:rFonts w:ascii="Verdana" w:hAnsi="Verdana" w:cs="Arial"/>
                <w:sz w:val="24"/>
                <w:szCs w:val="24"/>
              </w:rPr>
              <w:t>Members are asked to receive the report, note progress and current priorities, and take assurance that the portfolio is being aligned to the Data Programme, the IMTP and the Health Board’s principal operational and transformation programmes.</w:t>
            </w:r>
          </w:p>
        </w:tc>
      </w:tr>
    </w:tbl>
    <w:p w:rsidRPr="00F8567E" w:rsidR="0020539A" w:rsidRDefault="0020539A" w14:paraId="6D290419" w14:textId="77777777">
      <w:pPr>
        <w:rPr>
          <w:rFonts w:ascii="Verdana" w:hAnsi="Verdana"/>
          <w:sz w:val="24"/>
          <w:szCs w:val="24"/>
        </w:rPr>
      </w:pPr>
    </w:p>
    <w:p w:rsidR="003F0CF6" w:rsidP="003F0CF6" w:rsidRDefault="0020539A" w14:paraId="1DCBE95B" w14:textId="1ADC31FE">
      <w:pPr>
        <w:spacing w:after="0" w:line="240" w:lineRule="auto"/>
        <w:jc w:val="center"/>
        <w:rPr>
          <w:rFonts w:ascii="Verdana" w:hAnsi="Verdana"/>
          <w:sz w:val="24"/>
          <w:szCs w:val="24"/>
        </w:rPr>
      </w:pPr>
      <w:r w:rsidRPr="00F8567E">
        <w:rPr>
          <w:rFonts w:ascii="Verdana" w:hAnsi="Verdana"/>
          <w:sz w:val="24"/>
          <w:szCs w:val="24"/>
        </w:rPr>
        <w:br w:type="page"/>
      </w:r>
    </w:p>
    <w:p w:rsidRPr="00FB0A09" w:rsidR="003F0CF6" w:rsidP="0038485C" w:rsidRDefault="003F0CF6" w14:paraId="3C859AB5" w14:textId="67D9B2F0">
      <w:pPr>
        <w:spacing w:after="0" w:line="240" w:lineRule="auto"/>
        <w:jc w:val="center"/>
        <w:rPr>
          <w:rFonts w:ascii="Verdana" w:hAnsi="Verdana" w:cs="Arial"/>
          <w:b/>
          <w:sz w:val="24"/>
          <w:szCs w:val="24"/>
        </w:rPr>
      </w:pPr>
      <w:r w:rsidRPr="00FB0A09">
        <w:rPr>
          <w:rFonts w:ascii="Verdana" w:hAnsi="Verdana" w:cs="Arial"/>
          <w:b/>
          <w:sz w:val="24"/>
          <w:szCs w:val="24"/>
        </w:rPr>
        <w:lastRenderedPageBreak/>
        <w:t>Business Intelligence (BI) and Analytics</w:t>
      </w:r>
    </w:p>
    <w:p w:rsidRPr="00FB0A09" w:rsidR="003F0CF6" w:rsidP="003F0CF6" w:rsidRDefault="003F0CF6" w14:paraId="6C8CD81C" w14:textId="77777777">
      <w:pPr>
        <w:pStyle w:val="ListParagraph"/>
        <w:numPr>
          <w:ilvl w:val="0"/>
          <w:numId w:val="1"/>
        </w:numPr>
        <w:spacing w:after="0" w:line="240" w:lineRule="auto"/>
        <w:rPr>
          <w:rFonts w:ascii="Verdana" w:hAnsi="Verdana" w:cs="Arial"/>
          <w:b/>
          <w:sz w:val="24"/>
          <w:szCs w:val="24"/>
        </w:rPr>
      </w:pPr>
      <w:r w:rsidRPr="00FB0A09">
        <w:rPr>
          <w:rFonts w:ascii="Verdana" w:hAnsi="Verdana" w:cs="Arial"/>
          <w:b/>
          <w:sz w:val="24"/>
          <w:szCs w:val="24"/>
        </w:rPr>
        <w:t>INTRODUCTION</w:t>
      </w:r>
    </w:p>
    <w:p w:rsidRPr="00FB0A09" w:rsidR="003F0CF6" w:rsidP="003F0CF6" w:rsidRDefault="003F0CF6" w14:paraId="724B9983" w14:textId="77777777">
      <w:pPr>
        <w:rPr>
          <w:rFonts w:ascii="Verdana" w:hAnsi="Verdana" w:cs="Arial"/>
          <w:sz w:val="24"/>
          <w:szCs w:val="24"/>
        </w:rPr>
      </w:pPr>
      <w:r w:rsidRPr="00FB0A09">
        <w:rPr>
          <w:rFonts w:ascii="Verdana" w:hAnsi="Verdana" w:cs="Arial"/>
          <w:sz w:val="24"/>
          <w:szCs w:val="24"/>
        </w:rPr>
        <w:t>This report provides assurance on the work of the Performance and Business Intelligence function, including the Digital Intelligence, performance, transformation analytics and healthcare systems engineering capabilities that support the Health Board. It updates the position reported in May 2026 and brings together delivered progress, current activity and the next phase of work.</w:t>
      </w:r>
    </w:p>
    <w:p w:rsidRPr="00FB0A09" w:rsidR="003F0CF6" w:rsidP="003F0CF6" w:rsidRDefault="003F0CF6" w14:paraId="594D33CB" w14:textId="77777777">
      <w:pPr>
        <w:rPr>
          <w:rFonts w:ascii="Verdana" w:hAnsi="Verdana" w:cs="Arial"/>
          <w:sz w:val="24"/>
          <w:szCs w:val="24"/>
        </w:rPr>
      </w:pPr>
      <w:r w:rsidRPr="00FB0A09">
        <w:rPr>
          <w:rFonts w:ascii="Verdana" w:hAnsi="Verdana" w:cs="Arial"/>
          <w:sz w:val="24"/>
          <w:szCs w:val="24"/>
        </w:rPr>
        <w:t>The portfolio is presented as a single programme of intelligence-led delivery. It is aligned to the Data Programme’s aims of creating trusted information, connected data, modern analytical capability, responsible AI and a data-confident workforce, and to the IMTP programme areas covering Planned Care, Urgent and Emergency Care, Mental Health and Learning Disabilities (MHLD), Women and Children, Population Health, quality and safety, workforce, financial recovery and organisational effectiveness.</w:t>
      </w:r>
    </w:p>
    <w:p w:rsidRPr="00FB0A09" w:rsidR="003F0CF6" w:rsidP="003F0CF6" w:rsidRDefault="003F0CF6" w14:paraId="01C8E0AC" w14:textId="77777777">
      <w:pPr>
        <w:rPr>
          <w:rFonts w:ascii="Verdana" w:hAnsi="Verdana" w:cs="Arial"/>
          <w:sz w:val="24"/>
          <w:szCs w:val="24"/>
        </w:rPr>
      </w:pPr>
      <w:r w:rsidRPr="00FB0A09">
        <w:rPr>
          <w:rFonts w:ascii="Verdana" w:hAnsi="Verdana" w:cs="Arial"/>
          <w:sz w:val="24"/>
          <w:szCs w:val="24"/>
        </w:rPr>
        <w:t>The team has been deliberately configured so that individuals work closely with each Service Group and the principal system and transformation programmes. This model connects corporate planning, performance oversight, improvement expertise and healthcare systems engineering directly with operational planning and performance improvement. The work is undertaken alongside, and to enable, relevant programme and system leads.</w:t>
      </w:r>
    </w:p>
    <w:p w:rsidRPr="00FB0A09" w:rsidR="003F0CF6" w:rsidP="003F0CF6" w:rsidRDefault="003F0CF6" w14:paraId="125FC582" w14:textId="77777777">
      <w:pPr>
        <w:rPr>
          <w:rFonts w:ascii="Verdana" w:hAnsi="Verdana" w:cs="Arial"/>
          <w:sz w:val="24"/>
          <w:szCs w:val="24"/>
        </w:rPr>
      </w:pPr>
      <w:r w:rsidRPr="00FB0A09">
        <w:rPr>
          <w:rFonts w:ascii="Verdana" w:hAnsi="Verdana" w:cs="Arial"/>
          <w:sz w:val="24"/>
          <w:szCs w:val="24"/>
        </w:rPr>
        <w:t>The team draws on expertise in business intelligence, analytics, artificial intelligence, quantitative planning, performance improvement and performance management. This provides a practical bridge between data production and delivery, ensuring that analytical products are designed around operational decisions, programme milestones, recovery trajectories and demonstrable benefits.</w:t>
      </w:r>
    </w:p>
    <w:p w:rsidRPr="00FB0A09" w:rsidR="003F0CF6" w:rsidP="003F0CF6" w:rsidRDefault="003F0CF6" w14:paraId="7F28C758" w14:textId="77777777">
      <w:pPr>
        <w:spacing w:after="0" w:line="240" w:lineRule="auto"/>
        <w:rPr>
          <w:rFonts w:ascii="Verdana" w:hAnsi="Verdana" w:cs="Arial"/>
          <w:b/>
          <w:sz w:val="24"/>
          <w:szCs w:val="24"/>
        </w:rPr>
      </w:pPr>
    </w:p>
    <w:p w:rsidRPr="00FB0A09" w:rsidR="003F0CF6" w:rsidP="003F0CF6" w:rsidRDefault="003F0CF6" w14:paraId="5A7477DF" w14:textId="77777777">
      <w:pPr>
        <w:pStyle w:val="ListParagraph"/>
        <w:numPr>
          <w:ilvl w:val="0"/>
          <w:numId w:val="1"/>
        </w:numPr>
        <w:spacing w:after="0" w:line="240" w:lineRule="auto"/>
        <w:rPr>
          <w:rFonts w:ascii="Verdana" w:hAnsi="Verdana" w:cs="Arial"/>
          <w:b/>
          <w:sz w:val="24"/>
          <w:szCs w:val="24"/>
        </w:rPr>
      </w:pPr>
      <w:r w:rsidRPr="00FB0A09">
        <w:rPr>
          <w:rFonts w:ascii="Verdana" w:hAnsi="Verdana" w:cs="Arial"/>
          <w:b/>
          <w:sz w:val="24"/>
          <w:szCs w:val="24"/>
        </w:rPr>
        <w:t>BACKGROUND</w:t>
      </w:r>
    </w:p>
    <w:p w:rsidRPr="00FB0A09" w:rsidR="003F0CF6" w:rsidP="003F0CF6" w:rsidRDefault="003F0CF6" w14:paraId="41279E6C" w14:textId="77777777">
      <w:pPr>
        <w:spacing w:after="0" w:line="240" w:lineRule="auto"/>
        <w:rPr>
          <w:rFonts w:ascii="Verdana" w:hAnsi="Verdana" w:cs="Arial"/>
          <w:i/>
          <w:iCs/>
          <w:sz w:val="24"/>
          <w:szCs w:val="24"/>
          <w:u w:val="single"/>
        </w:rPr>
      </w:pPr>
    </w:p>
    <w:p w:rsidRPr="00FB0A09" w:rsidR="003F0CF6" w:rsidP="003F0CF6" w:rsidRDefault="003F0CF6" w14:paraId="27F56B1B" w14:textId="77777777">
      <w:pPr>
        <w:spacing w:after="0" w:line="240" w:lineRule="auto"/>
        <w:rPr>
          <w:rFonts w:ascii="Verdana" w:hAnsi="Verdana" w:cs="Arial"/>
          <w:bCs/>
          <w:sz w:val="24"/>
          <w:szCs w:val="24"/>
          <w:u w:val="single"/>
        </w:rPr>
      </w:pPr>
      <w:r w:rsidRPr="00FB0A09">
        <w:rPr>
          <w:rFonts w:ascii="Verdana" w:hAnsi="Verdana" w:cs="Arial"/>
          <w:sz w:val="24"/>
          <w:szCs w:val="24"/>
          <w:u w:val="single"/>
        </w:rPr>
        <w:t>PROGRESS SINCE THE MAY 2026 REPORT</w:t>
      </w:r>
    </w:p>
    <w:p w:rsidRPr="00FB0A09" w:rsidR="003F0CF6" w:rsidP="003F0CF6" w:rsidRDefault="003F0CF6" w14:paraId="0D1AA46F" w14:textId="77777777">
      <w:pPr>
        <w:pStyle w:val="Heading2"/>
        <w:rPr>
          <w:rFonts w:ascii="Verdana" w:hAnsi="Verdana" w:cs="Arial"/>
          <w:sz w:val="24"/>
          <w:szCs w:val="24"/>
        </w:rPr>
      </w:pPr>
      <w:r w:rsidRPr="00FB0A09">
        <w:rPr>
          <w:rFonts w:ascii="Verdana" w:hAnsi="Verdana" w:cs="Arial"/>
          <w:sz w:val="24"/>
          <w:szCs w:val="24"/>
        </w:rPr>
        <w:t>Dashboards, reporting and single sources of assurance</w:t>
      </w:r>
    </w:p>
    <w:p w:rsidRPr="00FB0A09" w:rsidR="003F0CF6" w:rsidP="003F0CF6" w:rsidRDefault="003F0CF6" w14:paraId="5222DD96" w14:textId="77777777">
      <w:pPr>
        <w:pStyle w:val="ListBullet"/>
        <w:spacing w:after="40"/>
        <w:rPr>
          <w:rFonts w:ascii="Verdana" w:hAnsi="Verdana"/>
          <w:sz w:val="24"/>
          <w:szCs w:val="24"/>
        </w:rPr>
      </w:pPr>
      <w:r w:rsidRPr="00FB0A09">
        <w:rPr>
          <w:rFonts w:ascii="Verdana" w:hAnsi="Verdana"/>
          <w:sz w:val="24"/>
          <w:szCs w:val="24"/>
        </w:rPr>
        <w:t xml:space="preserve">Phase 1 of the Mental Health and Learning Disabilities Quality and Safety Dashboard has been deployed, providing a consolidated view of quality, safety, access, outcomes, experience, workforce and sustainability, with drill-down from </w:t>
      </w:r>
      <w:proofErr w:type="spellStart"/>
      <w:r w:rsidRPr="00FB0A09">
        <w:rPr>
          <w:rFonts w:ascii="Verdana" w:hAnsi="Verdana"/>
          <w:sz w:val="24"/>
          <w:szCs w:val="24"/>
        </w:rPr>
        <w:t>organisational</w:t>
      </w:r>
      <w:proofErr w:type="spellEnd"/>
      <w:r w:rsidRPr="00FB0A09">
        <w:rPr>
          <w:rFonts w:ascii="Verdana" w:hAnsi="Verdana"/>
          <w:sz w:val="24"/>
          <w:szCs w:val="24"/>
        </w:rPr>
        <w:t xml:space="preserve"> to detailed service information.</w:t>
      </w:r>
    </w:p>
    <w:p w:rsidRPr="00FB0A09" w:rsidR="003F0CF6" w:rsidP="003F0CF6" w:rsidRDefault="003F0CF6" w14:paraId="1E9BA43A" w14:textId="77777777">
      <w:pPr>
        <w:pStyle w:val="ListBullet"/>
        <w:spacing w:after="40"/>
        <w:rPr>
          <w:rFonts w:ascii="Verdana" w:hAnsi="Verdana"/>
          <w:sz w:val="24"/>
          <w:szCs w:val="24"/>
        </w:rPr>
      </w:pPr>
      <w:r w:rsidRPr="00FB0A09">
        <w:rPr>
          <w:rFonts w:ascii="Verdana" w:hAnsi="Verdana"/>
          <w:sz w:val="24"/>
          <w:szCs w:val="24"/>
        </w:rPr>
        <w:lastRenderedPageBreak/>
        <w:t>The Safety Huddle Dashboard has been implemented, combining the Safety Huddle Power App with Signal and Welsh Patient Administration System data to support real-time oversight of Emergency Department (ED) pressure, admissions, discharges, occupancy, bed availability, ambulance waits and overall system balance.</w:t>
      </w:r>
    </w:p>
    <w:p w:rsidRPr="00FB0A09" w:rsidR="003F0CF6" w:rsidP="003F0CF6" w:rsidRDefault="003F0CF6" w14:paraId="53F80BA7" w14:textId="77777777">
      <w:pPr>
        <w:pStyle w:val="ListBullet"/>
        <w:spacing w:after="40"/>
        <w:rPr>
          <w:rFonts w:ascii="Verdana" w:hAnsi="Verdana"/>
          <w:sz w:val="24"/>
          <w:szCs w:val="24"/>
        </w:rPr>
      </w:pPr>
      <w:r w:rsidRPr="00FB0A09">
        <w:rPr>
          <w:rFonts w:ascii="Verdana" w:hAnsi="Verdana"/>
          <w:sz w:val="24"/>
          <w:szCs w:val="24"/>
        </w:rPr>
        <w:t xml:space="preserve">Work has progressed to automate Mental Health community reporting from </w:t>
      </w:r>
      <w:proofErr w:type="spellStart"/>
      <w:r w:rsidRPr="00FB0A09">
        <w:rPr>
          <w:rFonts w:ascii="Verdana" w:hAnsi="Verdana"/>
          <w:sz w:val="24"/>
          <w:szCs w:val="24"/>
        </w:rPr>
        <w:t>RiO</w:t>
      </w:r>
      <w:proofErr w:type="spellEnd"/>
      <w:r w:rsidRPr="00FB0A09">
        <w:rPr>
          <w:rFonts w:ascii="Verdana" w:hAnsi="Verdana"/>
          <w:sz w:val="24"/>
          <w:szCs w:val="24"/>
        </w:rPr>
        <w:t>, covering referrals, discharges, caseloads, activity and waiting lists, and to replace manual statutory Mental Health Act reporting with an automated dashboard.</w:t>
      </w:r>
    </w:p>
    <w:p w:rsidRPr="00FB0A09" w:rsidR="003F0CF6" w:rsidP="003F0CF6" w:rsidRDefault="003F0CF6" w14:paraId="6DE3E38D" w14:textId="77777777">
      <w:pPr>
        <w:pStyle w:val="ListBullet"/>
        <w:spacing w:after="40"/>
        <w:rPr>
          <w:rFonts w:ascii="Verdana" w:hAnsi="Verdana"/>
          <w:sz w:val="24"/>
          <w:szCs w:val="24"/>
        </w:rPr>
      </w:pPr>
      <w:r w:rsidRPr="00FB0A09">
        <w:rPr>
          <w:rFonts w:ascii="Verdana" w:hAnsi="Verdana"/>
          <w:sz w:val="24"/>
          <w:szCs w:val="24"/>
        </w:rPr>
        <w:t>Risk management dashboard development is strengthening visibility and scrutiny of operational Datix risk information for executives, Service Group Directors and quality and safety teams.</w:t>
      </w:r>
    </w:p>
    <w:p w:rsidRPr="00FB0A09" w:rsidR="003F0CF6" w:rsidP="003F0CF6" w:rsidRDefault="003F0CF6" w14:paraId="5A9D88EA" w14:textId="77777777">
      <w:pPr>
        <w:pStyle w:val="ListBullet"/>
        <w:spacing w:after="40"/>
        <w:rPr>
          <w:rFonts w:ascii="Verdana" w:hAnsi="Verdana"/>
          <w:sz w:val="24"/>
          <w:szCs w:val="24"/>
        </w:rPr>
      </w:pPr>
      <w:r w:rsidRPr="00FB0A09">
        <w:rPr>
          <w:rFonts w:ascii="Verdana" w:hAnsi="Verdana"/>
          <w:sz w:val="24"/>
          <w:szCs w:val="24"/>
        </w:rPr>
        <w:t>Maternity application mapping has been undertaken following the system change, with development of a perinatal improvement dashboard and identification of measures that were not previously available.</w:t>
      </w:r>
    </w:p>
    <w:p w:rsidRPr="00FB0A09" w:rsidR="003F0CF6" w:rsidP="003F0CF6" w:rsidRDefault="003F0CF6" w14:paraId="689A5A0A" w14:textId="77777777">
      <w:pPr>
        <w:pStyle w:val="ListBullet"/>
        <w:spacing w:after="40"/>
        <w:rPr>
          <w:rFonts w:ascii="Verdana" w:hAnsi="Verdana"/>
          <w:sz w:val="24"/>
          <w:szCs w:val="24"/>
        </w:rPr>
      </w:pPr>
      <w:r w:rsidRPr="00FB0A09">
        <w:rPr>
          <w:rFonts w:ascii="Verdana" w:hAnsi="Verdana"/>
          <w:sz w:val="24"/>
          <w:szCs w:val="24"/>
        </w:rPr>
        <w:t xml:space="preserve">Planned Care reporting development includes theatre reallocated and unused sessions, session activity and </w:t>
      </w:r>
      <w:proofErr w:type="spellStart"/>
      <w:r w:rsidRPr="00FB0A09">
        <w:rPr>
          <w:rFonts w:ascii="Verdana" w:hAnsi="Verdana"/>
          <w:sz w:val="24"/>
          <w:szCs w:val="24"/>
        </w:rPr>
        <w:t>pre-assessment</w:t>
      </w:r>
      <w:proofErr w:type="spellEnd"/>
      <w:r w:rsidRPr="00FB0A09">
        <w:rPr>
          <w:rFonts w:ascii="Verdana" w:hAnsi="Verdana"/>
          <w:sz w:val="24"/>
          <w:szCs w:val="24"/>
        </w:rPr>
        <w:t xml:space="preserve"> views; revised bucket mappings for Inpatient (IP), Outpatient (OP) and Referral to Treatment (RTT) reporting; and further development of Radiology, Cellular Pathology, Regional Trauma and Orthopaedic (T&amp;O) and Ophthalmology views.</w:t>
      </w:r>
    </w:p>
    <w:p w:rsidRPr="00FB0A09" w:rsidR="003F0CF6" w:rsidP="003F0CF6" w:rsidRDefault="003F0CF6" w14:paraId="047D1418" w14:textId="77777777">
      <w:pPr>
        <w:pStyle w:val="Heading2"/>
        <w:rPr>
          <w:rFonts w:ascii="Verdana" w:hAnsi="Verdana" w:cs="Arial"/>
          <w:sz w:val="24"/>
          <w:szCs w:val="24"/>
        </w:rPr>
      </w:pPr>
      <w:r w:rsidRPr="00FB0A09">
        <w:rPr>
          <w:rFonts w:ascii="Verdana" w:hAnsi="Verdana" w:cs="Arial"/>
          <w:sz w:val="24"/>
          <w:szCs w:val="24"/>
        </w:rPr>
        <w:t>Modelling, demand and capacity analysis</w:t>
      </w:r>
    </w:p>
    <w:p w:rsidRPr="00FB0A09" w:rsidR="003F0CF6" w:rsidP="003F0CF6" w:rsidRDefault="003F0CF6" w14:paraId="4D7883C2" w14:textId="77777777">
      <w:pPr>
        <w:pStyle w:val="ListBullet"/>
        <w:spacing w:after="40"/>
        <w:rPr>
          <w:rFonts w:ascii="Verdana" w:hAnsi="Verdana"/>
          <w:sz w:val="24"/>
          <w:szCs w:val="24"/>
        </w:rPr>
      </w:pPr>
      <w:r w:rsidRPr="00FB0A09">
        <w:rPr>
          <w:rFonts w:ascii="Verdana" w:hAnsi="Verdana"/>
          <w:sz w:val="24"/>
          <w:szCs w:val="24"/>
        </w:rPr>
        <w:t>Deterministic bed modelling has been developed for the whole Health Board to improve understanding of capacity requirements, system pressure and the impact of alternative ward and service configurations.</w:t>
      </w:r>
    </w:p>
    <w:p w:rsidRPr="00FB0A09" w:rsidR="003F0CF6" w:rsidP="003F0CF6" w:rsidRDefault="003F0CF6" w14:paraId="2363754E" w14:textId="77777777">
      <w:pPr>
        <w:pStyle w:val="ListBullet"/>
        <w:spacing w:after="40"/>
        <w:rPr>
          <w:rFonts w:ascii="Verdana" w:hAnsi="Verdana"/>
          <w:sz w:val="24"/>
          <w:szCs w:val="24"/>
        </w:rPr>
      </w:pPr>
      <w:r w:rsidRPr="00FB0A09">
        <w:rPr>
          <w:rFonts w:ascii="Verdana" w:hAnsi="Verdana"/>
          <w:sz w:val="24"/>
          <w:szCs w:val="24"/>
        </w:rPr>
        <w:t>Demand and capacity modelling is being developed for Pathway 1 patients across hospital and community services, alongside stochastic modelling of the wider patient flow system.</w:t>
      </w:r>
    </w:p>
    <w:p w:rsidRPr="00FB0A09" w:rsidR="003F0CF6" w:rsidP="003F0CF6" w:rsidRDefault="003F0CF6" w14:paraId="39980448" w14:textId="77777777">
      <w:pPr>
        <w:pStyle w:val="ListBullet"/>
        <w:spacing w:after="40"/>
        <w:rPr>
          <w:rFonts w:ascii="Verdana" w:hAnsi="Verdana"/>
          <w:sz w:val="24"/>
          <w:szCs w:val="24"/>
        </w:rPr>
      </w:pPr>
      <w:r w:rsidRPr="00FB0A09">
        <w:rPr>
          <w:rFonts w:ascii="Verdana" w:hAnsi="Verdana"/>
          <w:sz w:val="24"/>
          <w:szCs w:val="24"/>
        </w:rPr>
        <w:t>Winter planning has been supported through analysis of anticipated pressures, comparison of summer and winter cohorts, assessment of mitigations and review of the bed-equivalent impact of the three Urgent and Emergency Care (UEC) pillars.</w:t>
      </w:r>
    </w:p>
    <w:p w:rsidRPr="00FB0A09" w:rsidR="003F0CF6" w:rsidP="003F0CF6" w:rsidRDefault="003F0CF6" w14:paraId="17E91AEC" w14:textId="77777777">
      <w:pPr>
        <w:pStyle w:val="ListBullet"/>
        <w:spacing w:after="40"/>
        <w:rPr>
          <w:rFonts w:ascii="Verdana" w:hAnsi="Verdana"/>
          <w:sz w:val="24"/>
          <w:szCs w:val="24"/>
        </w:rPr>
      </w:pPr>
      <w:r w:rsidRPr="00FB0A09">
        <w:rPr>
          <w:rFonts w:ascii="Verdana" w:hAnsi="Verdana"/>
          <w:sz w:val="24"/>
          <w:szCs w:val="24"/>
        </w:rPr>
        <w:t xml:space="preserve">Pathway 3 demand has been </w:t>
      </w:r>
      <w:proofErr w:type="spellStart"/>
      <w:r w:rsidRPr="00FB0A09">
        <w:rPr>
          <w:rFonts w:ascii="Verdana" w:hAnsi="Verdana"/>
          <w:sz w:val="24"/>
          <w:szCs w:val="24"/>
        </w:rPr>
        <w:t>analysed</w:t>
      </w:r>
      <w:proofErr w:type="spellEnd"/>
      <w:r w:rsidRPr="00FB0A09">
        <w:rPr>
          <w:rFonts w:ascii="Verdana" w:hAnsi="Verdana"/>
          <w:sz w:val="24"/>
          <w:szCs w:val="24"/>
        </w:rPr>
        <w:t xml:space="preserve"> across the Health Board to support Ward D </w:t>
      </w:r>
      <w:proofErr w:type="spellStart"/>
      <w:r w:rsidRPr="00FB0A09">
        <w:rPr>
          <w:rFonts w:ascii="Verdana" w:hAnsi="Verdana"/>
          <w:sz w:val="24"/>
          <w:szCs w:val="24"/>
        </w:rPr>
        <w:t>mobilisation</w:t>
      </w:r>
      <w:proofErr w:type="spellEnd"/>
      <w:r w:rsidRPr="00FB0A09">
        <w:rPr>
          <w:rFonts w:ascii="Verdana" w:hAnsi="Verdana"/>
          <w:sz w:val="24"/>
          <w:szCs w:val="24"/>
        </w:rPr>
        <w:t>, the UEC Operational Delivery Group and the supporting standard operating procedure.</w:t>
      </w:r>
    </w:p>
    <w:p w:rsidRPr="00FB0A09" w:rsidR="003F0CF6" w:rsidP="003F0CF6" w:rsidRDefault="003F0CF6" w14:paraId="64BA7E43" w14:textId="77777777">
      <w:pPr>
        <w:pStyle w:val="ListBullet"/>
        <w:spacing w:after="40"/>
        <w:rPr>
          <w:rFonts w:ascii="Verdana" w:hAnsi="Verdana"/>
          <w:sz w:val="24"/>
          <w:szCs w:val="24"/>
        </w:rPr>
      </w:pPr>
      <w:r w:rsidRPr="00FB0A09">
        <w:rPr>
          <w:rFonts w:ascii="Verdana" w:hAnsi="Verdana"/>
          <w:sz w:val="24"/>
          <w:szCs w:val="24"/>
        </w:rPr>
        <w:t>Planned Care quantitative work has strengthened 52-week and 104-week trajectories, diagnostics and endoscopy recovery trajectories, theatre productivity, additional-session scrutiny and the evidence base for recovery funding.</w:t>
      </w:r>
    </w:p>
    <w:p w:rsidRPr="00FB0A09" w:rsidR="003F0CF6" w:rsidP="003F0CF6" w:rsidRDefault="003F0CF6" w14:paraId="618AC8D3" w14:textId="77777777">
      <w:pPr>
        <w:pStyle w:val="ListBullet"/>
        <w:spacing w:after="40"/>
        <w:rPr>
          <w:rFonts w:ascii="Verdana" w:hAnsi="Verdana"/>
          <w:sz w:val="24"/>
          <w:szCs w:val="24"/>
        </w:rPr>
      </w:pPr>
      <w:r w:rsidRPr="00FB0A09">
        <w:rPr>
          <w:rFonts w:ascii="Verdana" w:hAnsi="Verdana"/>
          <w:sz w:val="24"/>
          <w:szCs w:val="24"/>
        </w:rPr>
        <w:lastRenderedPageBreak/>
        <w:t xml:space="preserve">The team has </w:t>
      </w:r>
      <w:proofErr w:type="gramStart"/>
      <w:r w:rsidRPr="00FB0A09">
        <w:rPr>
          <w:rFonts w:ascii="Verdana" w:hAnsi="Verdana"/>
          <w:sz w:val="24"/>
          <w:szCs w:val="24"/>
        </w:rPr>
        <w:t>led  the</w:t>
      </w:r>
      <w:proofErr w:type="gramEnd"/>
      <w:r w:rsidRPr="00FB0A09">
        <w:rPr>
          <w:rFonts w:ascii="Verdana" w:hAnsi="Verdana"/>
          <w:sz w:val="24"/>
          <w:szCs w:val="24"/>
        </w:rPr>
        <w:t xml:space="preserve"> All-Wales Regional Trauma and Orthopaedics model as part of a wider contribution to the regional modelling collaborative.</w:t>
      </w:r>
    </w:p>
    <w:p w:rsidRPr="00FB0A09" w:rsidR="003F0CF6" w:rsidP="003F0CF6" w:rsidRDefault="003F0CF6" w14:paraId="2447237E" w14:textId="77777777">
      <w:pPr>
        <w:pStyle w:val="Heading2"/>
        <w:rPr>
          <w:rFonts w:ascii="Verdana" w:hAnsi="Verdana" w:cs="Arial"/>
          <w:sz w:val="24"/>
          <w:szCs w:val="24"/>
        </w:rPr>
      </w:pPr>
      <w:r w:rsidRPr="00FB0A09">
        <w:rPr>
          <w:rFonts w:ascii="Verdana" w:hAnsi="Verdana" w:cs="Arial"/>
          <w:sz w:val="24"/>
          <w:szCs w:val="24"/>
        </w:rPr>
        <w:t>Artificial intelligence and advanced analytics</w:t>
      </w:r>
    </w:p>
    <w:p w:rsidRPr="00FB0A09" w:rsidR="003F0CF6" w:rsidP="003F0CF6" w:rsidRDefault="003F0CF6" w14:paraId="58294E45" w14:textId="77777777">
      <w:pPr>
        <w:pStyle w:val="ListBullet"/>
        <w:spacing w:after="40"/>
        <w:rPr>
          <w:rFonts w:ascii="Verdana" w:hAnsi="Verdana"/>
          <w:sz w:val="24"/>
          <w:szCs w:val="24"/>
        </w:rPr>
      </w:pPr>
      <w:r w:rsidRPr="00FB0A09">
        <w:rPr>
          <w:rFonts w:ascii="Verdana" w:hAnsi="Verdana"/>
          <w:sz w:val="24"/>
          <w:szCs w:val="24"/>
        </w:rPr>
        <w:t>AI and Natural Language Processing techniques continue to be developed for waiting-list validation. The approach identifies cases that may be suitable for clinical review while retaining manual clinical review where sufficient assurance cannot be established.</w:t>
      </w:r>
    </w:p>
    <w:p w:rsidRPr="00FB0A09" w:rsidR="003F0CF6" w:rsidP="003F0CF6" w:rsidRDefault="003F0CF6" w14:paraId="43ACA16E" w14:textId="77777777">
      <w:pPr>
        <w:pStyle w:val="ListBullet"/>
        <w:spacing w:after="40"/>
        <w:rPr>
          <w:rFonts w:ascii="Verdana" w:hAnsi="Verdana"/>
          <w:sz w:val="24"/>
          <w:szCs w:val="24"/>
        </w:rPr>
      </w:pPr>
      <w:r w:rsidRPr="00FB0A09">
        <w:rPr>
          <w:rFonts w:ascii="Verdana" w:hAnsi="Verdana"/>
          <w:sz w:val="24"/>
          <w:szCs w:val="24"/>
        </w:rPr>
        <w:t>The feasibility of AI-supported transcription of Mental Health outpatient dictations and generation of draft clinical correspondence is being assessed to address backlog and administrative burden, subject to clinical governance and validation.</w:t>
      </w:r>
    </w:p>
    <w:p w:rsidRPr="00FB0A09" w:rsidR="003F0CF6" w:rsidP="003F0CF6" w:rsidRDefault="003F0CF6" w14:paraId="50B9D62C" w14:textId="77777777">
      <w:pPr>
        <w:pStyle w:val="ListBullet"/>
        <w:spacing w:after="40"/>
        <w:rPr>
          <w:rFonts w:ascii="Verdana" w:hAnsi="Verdana"/>
          <w:sz w:val="24"/>
          <w:szCs w:val="24"/>
        </w:rPr>
      </w:pPr>
      <w:r w:rsidRPr="00FB0A09">
        <w:rPr>
          <w:rFonts w:ascii="Verdana" w:hAnsi="Verdana"/>
          <w:sz w:val="24"/>
          <w:szCs w:val="24"/>
        </w:rPr>
        <w:t xml:space="preserve">A broader Data and AI roadmap has been developed to frame immediate productivity opportunities and the longer-term architecture required for integrated, preventative and </w:t>
      </w:r>
      <w:proofErr w:type="spellStart"/>
      <w:r w:rsidRPr="00FB0A09">
        <w:rPr>
          <w:rFonts w:ascii="Verdana" w:hAnsi="Verdana"/>
          <w:sz w:val="24"/>
          <w:szCs w:val="24"/>
        </w:rPr>
        <w:t>personalised</w:t>
      </w:r>
      <w:proofErr w:type="spellEnd"/>
      <w:r w:rsidRPr="00FB0A09">
        <w:rPr>
          <w:rFonts w:ascii="Verdana" w:hAnsi="Verdana"/>
          <w:sz w:val="24"/>
          <w:szCs w:val="24"/>
        </w:rPr>
        <w:t xml:space="preserve"> care. Priority opportunities include administrative automation, documentation and correspondence, clinical coding and information extraction, referral and pathway triage, imaging support and predictive operational analytics.</w:t>
      </w:r>
    </w:p>
    <w:p w:rsidRPr="00FB0A09" w:rsidR="003F0CF6" w:rsidP="003F0CF6" w:rsidRDefault="003F0CF6" w14:paraId="045A2E54" w14:textId="77777777">
      <w:pPr>
        <w:pStyle w:val="ListBullet"/>
        <w:spacing w:after="40"/>
        <w:rPr>
          <w:rFonts w:ascii="Verdana" w:hAnsi="Verdana"/>
          <w:sz w:val="24"/>
          <w:szCs w:val="24"/>
        </w:rPr>
      </w:pPr>
      <w:r w:rsidRPr="00FB0A09">
        <w:rPr>
          <w:rFonts w:ascii="Verdana" w:hAnsi="Verdana"/>
          <w:sz w:val="24"/>
          <w:szCs w:val="24"/>
        </w:rPr>
        <w:t xml:space="preserve">Work on the electronic health screening questionnaire and </w:t>
      </w:r>
      <w:proofErr w:type="spellStart"/>
      <w:r w:rsidRPr="00FB0A09">
        <w:rPr>
          <w:rFonts w:ascii="Verdana" w:hAnsi="Verdana"/>
          <w:sz w:val="24"/>
          <w:szCs w:val="24"/>
        </w:rPr>
        <w:t>pre-assessment</w:t>
      </w:r>
      <w:proofErr w:type="spellEnd"/>
      <w:r w:rsidRPr="00FB0A09">
        <w:rPr>
          <w:rFonts w:ascii="Verdana" w:hAnsi="Verdana"/>
          <w:sz w:val="24"/>
          <w:szCs w:val="24"/>
        </w:rPr>
        <w:t xml:space="preserve"> redesign includes Key Performance Indicator (KPI) design, benefits </w:t>
      </w:r>
      <w:proofErr w:type="spellStart"/>
      <w:r w:rsidRPr="00FB0A09">
        <w:rPr>
          <w:rFonts w:ascii="Verdana" w:hAnsi="Verdana"/>
          <w:sz w:val="24"/>
          <w:szCs w:val="24"/>
        </w:rPr>
        <w:t>realisation</w:t>
      </w:r>
      <w:proofErr w:type="spellEnd"/>
      <w:r w:rsidRPr="00FB0A09">
        <w:rPr>
          <w:rFonts w:ascii="Verdana" w:hAnsi="Verdana"/>
          <w:sz w:val="24"/>
          <w:szCs w:val="24"/>
        </w:rPr>
        <w:t xml:space="preserve">, Red, Amber and Green (RAG)-rating quality and development of a properly </w:t>
      </w:r>
      <w:proofErr w:type="spellStart"/>
      <w:r w:rsidRPr="00FB0A09">
        <w:rPr>
          <w:rFonts w:ascii="Verdana" w:hAnsi="Verdana"/>
          <w:sz w:val="24"/>
          <w:szCs w:val="24"/>
        </w:rPr>
        <w:t>prioritised</w:t>
      </w:r>
      <w:proofErr w:type="spellEnd"/>
      <w:r w:rsidRPr="00FB0A09">
        <w:rPr>
          <w:rFonts w:ascii="Verdana" w:hAnsi="Verdana"/>
          <w:sz w:val="24"/>
          <w:szCs w:val="24"/>
        </w:rPr>
        <w:t xml:space="preserve"> ready-to-operate queue with a feedback loop.</w:t>
      </w:r>
    </w:p>
    <w:p w:rsidRPr="00FB0A09" w:rsidR="003F0CF6" w:rsidP="003F0CF6" w:rsidRDefault="003F0CF6" w14:paraId="12B005EA" w14:textId="77777777">
      <w:pPr>
        <w:pStyle w:val="ListBullet"/>
        <w:spacing w:after="40"/>
        <w:rPr>
          <w:rFonts w:ascii="Verdana" w:hAnsi="Verdana"/>
          <w:sz w:val="24"/>
          <w:szCs w:val="24"/>
        </w:rPr>
      </w:pPr>
      <w:r w:rsidRPr="00FB0A09">
        <w:rPr>
          <w:rFonts w:ascii="Verdana" w:hAnsi="Verdana"/>
          <w:sz w:val="24"/>
          <w:szCs w:val="24"/>
        </w:rPr>
        <w:t>The AI portfolio is being positioned around measurable value, including released clinical and administrative capacity, reduced rework, improved pathway control, lower outsourcing or premium-cost reliance, and better patient flow.</w:t>
      </w:r>
    </w:p>
    <w:p w:rsidRPr="00FB0A09" w:rsidR="003F0CF6" w:rsidP="003F0CF6" w:rsidRDefault="003F0CF6" w14:paraId="05DF9ABB" w14:textId="77777777">
      <w:pPr>
        <w:pStyle w:val="Heading2"/>
        <w:rPr>
          <w:rFonts w:ascii="Verdana" w:hAnsi="Verdana" w:cs="Arial"/>
          <w:sz w:val="24"/>
          <w:szCs w:val="24"/>
        </w:rPr>
      </w:pPr>
      <w:r w:rsidRPr="00FB0A09">
        <w:rPr>
          <w:rFonts w:ascii="Verdana" w:hAnsi="Verdana" w:cs="Arial"/>
          <w:sz w:val="24"/>
          <w:szCs w:val="24"/>
        </w:rPr>
        <w:t>Performance management, delivery assurance and improvement</w:t>
      </w:r>
    </w:p>
    <w:p w:rsidRPr="00FB0A09" w:rsidR="003F0CF6" w:rsidP="003F0CF6" w:rsidRDefault="003F0CF6" w14:paraId="6E3FBEAA" w14:textId="77777777">
      <w:pPr>
        <w:pStyle w:val="ListBullet"/>
        <w:spacing w:after="40"/>
        <w:rPr>
          <w:rFonts w:ascii="Verdana" w:hAnsi="Verdana"/>
          <w:sz w:val="24"/>
          <w:szCs w:val="24"/>
        </w:rPr>
      </w:pPr>
      <w:r w:rsidRPr="00FB0A09">
        <w:rPr>
          <w:rFonts w:ascii="Verdana" w:hAnsi="Verdana"/>
          <w:sz w:val="24"/>
          <w:szCs w:val="24"/>
        </w:rPr>
        <w:t>Routine Service Group performance reviews have been strengthened around trajectory, forecast, variance, recovery actions, named ownership, milestones, risks and escalation requirements.</w:t>
      </w:r>
    </w:p>
    <w:p w:rsidRPr="00FB0A09" w:rsidR="003F0CF6" w:rsidP="003F0CF6" w:rsidRDefault="003F0CF6" w14:paraId="1E826B95" w14:textId="77777777">
      <w:pPr>
        <w:pStyle w:val="ListBullet"/>
        <w:spacing w:after="40"/>
        <w:rPr>
          <w:rFonts w:ascii="Verdana" w:hAnsi="Verdana"/>
          <w:sz w:val="24"/>
          <w:szCs w:val="24"/>
        </w:rPr>
      </w:pPr>
      <w:r w:rsidRPr="00FB0A09">
        <w:rPr>
          <w:rFonts w:ascii="Verdana" w:hAnsi="Verdana"/>
          <w:sz w:val="24"/>
          <w:szCs w:val="24"/>
        </w:rPr>
        <w:t>The Performance and Business Intelligence function supports Welsh Government oversight and escalation submissions, the Integrated Performance Report and supporting evidence packs.</w:t>
      </w:r>
    </w:p>
    <w:p w:rsidRPr="00FB0A09" w:rsidR="003F0CF6" w:rsidP="003F0CF6" w:rsidRDefault="003F0CF6" w14:paraId="0C65F54B" w14:textId="77777777">
      <w:pPr>
        <w:pStyle w:val="ListBullet"/>
        <w:spacing w:after="40"/>
        <w:rPr>
          <w:rFonts w:ascii="Verdana" w:hAnsi="Verdana"/>
          <w:sz w:val="24"/>
          <w:szCs w:val="24"/>
        </w:rPr>
      </w:pPr>
      <w:r w:rsidRPr="00FB0A09">
        <w:rPr>
          <w:rFonts w:ascii="Verdana" w:hAnsi="Verdana"/>
          <w:sz w:val="24"/>
          <w:szCs w:val="24"/>
        </w:rPr>
        <w:t xml:space="preserve">For Planned Care, the team is performance-managing delivery through RTT and cancer meetings, </w:t>
      </w:r>
      <w:proofErr w:type="spellStart"/>
      <w:r w:rsidRPr="00FB0A09">
        <w:rPr>
          <w:rFonts w:ascii="Verdana" w:hAnsi="Verdana"/>
          <w:sz w:val="24"/>
          <w:szCs w:val="24"/>
        </w:rPr>
        <w:t>formalising</w:t>
      </w:r>
      <w:proofErr w:type="spellEnd"/>
      <w:r w:rsidRPr="00FB0A09">
        <w:rPr>
          <w:rFonts w:ascii="Verdana" w:hAnsi="Verdana"/>
          <w:sz w:val="24"/>
          <w:szCs w:val="24"/>
        </w:rPr>
        <w:t xml:space="preserve"> scrutiny of additional-session requests, and working to restore the effectiveness of the 6-4-2 theatre process.</w:t>
      </w:r>
    </w:p>
    <w:p w:rsidRPr="00FB0A09" w:rsidR="003F0CF6" w:rsidP="003F0CF6" w:rsidRDefault="003F0CF6" w14:paraId="3E8000A2" w14:textId="77777777">
      <w:pPr>
        <w:pStyle w:val="ListBullet"/>
        <w:spacing w:after="40"/>
        <w:rPr>
          <w:rFonts w:ascii="Verdana" w:hAnsi="Verdana"/>
          <w:sz w:val="24"/>
          <w:szCs w:val="24"/>
        </w:rPr>
      </w:pPr>
      <w:r w:rsidRPr="00FB0A09">
        <w:rPr>
          <w:rFonts w:ascii="Verdana" w:hAnsi="Verdana"/>
          <w:sz w:val="24"/>
          <w:szCs w:val="24"/>
        </w:rPr>
        <w:t xml:space="preserve">For UEC, the team is supporting programme governance, Red2Green data quality and returns, review of health-related delays, Discharge to </w:t>
      </w:r>
      <w:r w:rsidRPr="00FB0A09">
        <w:rPr>
          <w:rFonts w:ascii="Verdana" w:hAnsi="Verdana"/>
          <w:sz w:val="24"/>
          <w:szCs w:val="24"/>
        </w:rPr>
        <w:lastRenderedPageBreak/>
        <w:t>Recover and Assess (D2RA) pathway allocation and bespoke ED cohort analysis, including time to assessment and Older Persons Assessment Unit (OPAU) reporting.</w:t>
      </w:r>
    </w:p>
    <w:p w:rsidRPr="00FB0A09" w:rsidR="003F0CF6" w:rsidP="003F0CF6" w:rsidRDefault="003F0CF6" w14:paraId="4FA51E24" w14:textId="77777777">
      <w:pPr>
        <w:pStyle w:val="ListBullet"/>
        <w:spacing w:after="40"/>
        <w:rPr>
          <w:rFonts w:ascii="Verdana" w:hAnsi="Verdana"/>
          <w:sz w:val="24"/>
          <w:szCs w:val="24"/>
        </w:rPr>
      </w:pPr>
      <w:r w:rsidRPr="00FB0A09">
        <w:rPr>
          <w:rFonts w:ascii="Verdana" w:hAnsi="Verdana"/>
          <w:sz w:val="24"/>
          <w:szCs w:val="24"/>
        </w:rPr>
        <w:t>Cancer modelling has supported the development and revision of delivery trajectories, milestone-based recovery plans and clearer links between actions and expected performance impact.</w:t>
      </w:r>
    </w:p>
    <w:p w:rsidRPr="00FB0A09" w:rsidR="003F0CF6" w:rsidP="003F0CF6" w:rsidRDefault="003F0CF6" w14:paraId="0C823C60" w14:textId="77777777">
      <w:pPr>
        <w:pStyle w:val="Heading2"/>
        <w:rPr>
          <w:rFonts w:ascii="Verdana" w:hAnsi="Verdana" w:cs="Arial"/>
          <w:sz w:val="24"/>
          <w:szCs w:val="24"/>
        </w:rPr>
      </w:pPr>
      <w:r w:rsidRPr="00FB0A09">
        <w:rPr>
          <w:rFonts w:ascii="Verdana" w:hAnsi="Verdana" w:cs="Arial"/>
          <w:sz w:val="24"/>
          <w:szCs w:val="24"/>
        </w:rPr>
        <w:t>Data foundations, literacy and adoption</w:t>
      </w:r>
    </w:p>
    <w:p w:rsidRPr="00FB0A09" w:rsidR="003F0CF6" w:rsidP="003F0CF6" w:rsidRDefault="003F0CF6" w14:paraId="7B52D490" w14:textId="77777777">
      <w:pPr>
        <w:pStyle w:val="ListBullet"/>
        <w:spacing w:after="40"/>
        <w:rPr>
          <w:rFonts w:ascii="Verdana" w:hAnsi="Verdana"/>
          <w:sz w:val="24"/>
          <w:szCs w:val="24"/>
        </w:rPr>
      </w:pPr>
      <w:r w:rsidRPr="00FB0A09">
        <w:rPr>
          <w:rFonts w:ascii="Verdana" w:hAnsi="Verdana"/>
          <w:sz w:val="24"/>
          <w:szCs w:val="24"/>
        </w:rPr>
        <w:t>Scoping has commenced for a local Clinical Data Repository (CDR) aligned, where appropriate, with the NHS Wales National Data Resource architecture, alongside work to access additional clinical datasets for population health, pathway analysis and service improvement.</w:t>
      </w:r>
    </w:p>
    <w:p w:rsidRPr="00FB0A09" w:rsidR="003F0CF6" w:rsidP="003F0CF6" w:rsidRDefault="003F0CF6" w14:paraId="33B1802A" w14:textId="77777777">
      <w:pPr>
        <w:pStyle w:val="ListBullet"/>
        <w:spacing w:after="40"/>
        <w:rPr>
          <w:rFonts w:ascii="Verdana" w:hAnsi="Verdana"/>
          <w:sz w:val="24"/>
          <w:szCs w:val="24"/>
        </w:rPr>
      </w:pPr>
      <w:r w:rsidRPr="00FB0A09">
        <w:rPr>
          <w:rFonts w:ascii="Verdana" w:hAnsi="Verdana"/>
          <w:sz w:val="24"/>
          <w:szCs w:val="24"/>
        </w:rPr>
        <w:t>The Data Literacy Programme has delivered one Advanced Data Literacy course and one Intermediate Power BI course since the previous report, with approximately 15 attendees. More than 410 staff have participated since the programme began.</w:t>
      </w:r>
    </w:p>
    <w:p w:rsidRPr="00FB0A09" w:rsidR="003F0CF6" w:rsidP="003F0CF6" w:rsidRDefault="003F0CF6" w14:paraId="3B8E9BCE" w14:textId="77777777">
      <w:pPr>
        <w:pStyle w:val="ListBullet"/>
        <w:spacing w:after="40"/>
        <w:rPr>
          <w:rFonts w:ascii="Verdana" w:hAnsi="Verdana"/>
          <w:sz w:val="24"/>
          <w:szCs w:val="24"/>
        </w:rPr>
      </w:pPr>
      <w:r w:rsidRPr="00FB0A09">
        <w:rPr>
          <w:rFonts w:ascii="Verdana" w:hAnsi="Verdana"/>
          <w:sz w:val="24"/>
          <w:szCs w:val="24"/>
        </w:rPr>
        <w:t>Business Intelligence product use remains strong: 593 users accessed 227 reports and dashboards during the four weeks reported in the source paper.</w:t>
      </w:r>
    </w:p>
    <w:p w:rsidRPr="00FB0A09" w:rsidR="003F0CF6" w:rsidP="003F0CF6" w:rsidRDefault="003F0CF6" w14:paraId="68FC11CA" w14:textId="77777777">
      <w:pPr>
        <w:pStyle w:val="ListBullet"/>
        <w:spacing w:after="40"/>
        <w:rPr>
          <w:rFonts w:ascii="Verdana" w:hAnsi="Verdana"/>
          <w:sz w:val="24"/>
          <w:szCs w:val="24"/>
        </w:rPr>
      </w:pPr>
      <w:r w:rsidRPr="00FB0A09">
        <w:rPr>
          <w:rFonts w:ascii="Verdana" w:hAnsi="Verdana"/>
          <w:sz w:val="24"/>
          <w:szCs w:val="24"/>
        </w:rPr>
        <w:t>The previously recorded corporate risk that operational and strategic decisions are not data-informed has been removed from the Health Board Risk Register. Residual risks continue to be monitored at service level and will be reassessed in response to audit recommendations.</w:t>
      </w:r>
    </w:p>
    <w:p w:rsidRPr="00FB0A09" w:rsidR="003F0CF6" w:rsidP="003F0CF6" w:rsidRDefault="003F0CF6" w14:paraId="29435810" w14:textId="77777777">
      <w:pPr>
        <w:spacing w:after="0" w:line="240" w:lineRule="auto"/>
        <w:rPr>
          <w:rFonts w:ascii="Verdana" w:hAnsi="Verdana" w:cs="Arial"/>
          <w:bCs/>
          <w:sz w:val="24"/>
          <w:szCs w:val="24"/>
        </w:rPr>
      </w:pPr>
    </w:p>
    <w:p w:rsidRPr="00FB0A09" w:rsidR="003F0CF6" w:rsidP="003F0CF6" w:rsidRDefault="003F0CF6" w14:paraId="179623F3" w14:textId="77777777">
      <w:pPr>
        <w:spacing w:after="0" w:line="240" w:lineRule="auto"/>
        <w:rPr>
          <w:rFonts w:ascii="Verdana" w:hAnsi="Verdana" w:cs="Arial"/>
          <w:sz w:val="24"/>
          <w:szCs w:val="24"/>
          <w:u w:val="single"/>
        </w:rPr>
      </w:pPr>
      <w:r w:rsidRPr="00FB0A09">
        <w:rPr>
          <w:rFonts w:ascii="Verdana" w:hAnsi="Verdana" w:cs="Arial"/>
          <w:sz w:val="24"/>
          <w:szCs w:val="24"/>
          <w:u w:val="single"/>
        </w:rPr>
        <w:t>ALIGNMENT TO THE DATA PROGRAMME AND IMTP</w:t>
      </w:r>
    </w:p>
    <w:p w:rsidRPr="00FB0A09" w:rsidR="003F0CF6" w:rsidP="003F0CF6" w:rsidRDefault="003F0CF6" w14:paraId="75EDD559" w14:textId="77777777">
      <w:pPr>
        <w:rPr>
          <w:rFonts w:ascii="Verdana" w:hAnsi="Verdana" w:cs="Arial"/>
          <w:sz w:val="24"/>
          <w:szCs w:val="24"/>
        </w:rPr>
      </w:pPr>
      <w:r w:rsidRPr="00FB0A09">
        <w:rPr>
          <w:rFonts w:ascii="Verdana" w:hAnsi="Verdana" w:cs="Arial"/>
          <w:sz w:val="24"/>
          <w:szCs w:val="24"/>
        </w:rPr>
        <w:t>The combined portfolio supports the Data Programme and IMTP through six connected delivery themes. The alignment below is intended to provide a clear line of sight from analytical work to organisational outcomes and assurance.</w:t>
      </w:r>
    </w:p>
    <w:tbl>
      <w:tblPr>
        <w:tblStyle w:val="TableGrid"/>
        <w:tblW w:w="0" w:type="auto"/>
        <w:jc w:val="center"/>
        <w:tblLook w:val="04A0" w:firstRow="1" w:lastRow="0" w:firstColumn="1" w:lastColumn="0" w:noHBand="0" w:noVBand="1"/>
      </w:tblPr>
      <w:tblGrid>
        <w:gridCol w:w="2143"/>
        <w:gridCol w:w="2454"/>
        <w:gridCol w:w="2214"/>
        <w:gridCol w:w="2205"/>
      </w:tblGrid>
      <w:tr w:rsidRPr="00FB0A09" w:rsidR="003F0CF6" w:rsidTr="00987510" w14:paraId="18C61F28" w14:textId="77777777">
        <w:trPr>
          <w:cantSplit/>
          <w:tblHeader/>
          <w:jc w:val="center"/>
        </w:trPr>
        <w:tc>
          <w:tcPr>
            <w:tcW w:w="2592" w:type="dxa"/>
            <w:shd w:val="clear" w:color="auto" w:fill="1C365D"/>
            <w:tcMar>
              <w:top w:w="80" w:type="dxa"/>
              <w:left w:w="80" w:type="dxa"/>
              <w:bottom w:w="80" w:type="dxa"/>
              <w:right w:w="80" w:type="dxa"/>
            </w:tcMar>
            <w:vAlign w:val="center"/>
          </w:tcPr>
          <w:p w:rsidRPr="00FB0A09" w:rsidR="003F0CF6" w:rsidP="00987510" w:rsidRDefault="003F0CF6" w14:paraId="401EC0C0" w14:textId="77777777">
            <w:pPr>
              <w:rPr>
                <w:rFonts w:ascii="Verdana" w:hAnsi="Verdana" w:cs="Arial"/>
                <w:sz w:val="24"/>
                <w:szCs w:val="24"/>
              </w:rPr>
            </w:pPr>
            <w:r w:rsidRPr="00FB0A09">
              <w:rPr>
                <w:rFonts w:ascii="Verdana" w:hAnsi="Verdana" w:cs="Arial"/>
                <w:b/>
                <w:color w:val="FFFFFF"/>
                <w:sz w:val="24"/>
                <w:szCs w:val="24"/>
              </w:rPr>
              <w:t>Data Programme theme</w:t>
            </w:r>
          </w:p>
        </w:tc>
        <w:tc>
          <w:tcPr>
            <w:tcW w:w="2592" w:type="dxa"/>
            <w:shd w:val="clear" w:color="auto" w:fill="1C365D"/>
            <w:tcMar>
              <w:top w:w="80" w:type="dxa"/>
              <w:left w:w="80" w:type="dxa"/>
              <w:bottom w:w="80" w:type="dxa"/>
              <w:right w:w="80" w:type="dxa"/>
            </w:tcMar>
            <w:vAlign w:val="center"/>
          </w:tcPr>
          <w:p w:rsidRPr="00FB0A09" w:rsidR="003F0CF6" w:rsidP="00987510" w:rsidRDefault="003F0CF6" w14:paraId="76D564AE" w14:textId="77777777">
            <w:pPr>
              <w:rPr>
                <w:rFonts w:ascii="Verdana" w:hAnsi="Verdana" w:cs="Arial"/>
                <w:sz w:val="24"/>
                <w:szCs w:val="24"/>
              </w:rPr>
            </w:pPr>
            <w:r w:rsidRPr="00FB0A09">
              <w:rPr>
                <w:rFonts w:ascii="Verdana" w:hAnsi="Verdana" w:cs="Arial"/>
                <w:b/>
                <w:color w:val="FFFFFF"/>
                <w:sz w:val="24"/>
                <w:szCs w:val="24"/>
              </w:rPr>
              <w:t>Representative delivery</w:t>
            </w:r>
          </w:p>
        </w:tc>
        <w:tc>
          <w:tcPr>
            <w:tcW w:w="2592" w:type="dxa"/>
            <w:shd w:val="clear" w:color="auto" w:fill="1C365D"/>
            <w:tcMar>
              <w:top w:w="80" w:type="dxa"/>
              <w:left w:w="80" w:type="dxa"/>
              <w:bottom w:w="80" w:type="dxa"/>
              <w:right w:w="80" w:type="dxa"/>
            </w:tcMar>
            <w:vAlign w:val="center"/>
          </w:tcPr>
          <w:p w:rsidRPr="00FB0A09" w:rsidR="003F0CF6" w:rsidP="00987510" w:rsidRDefault="003F0CF6" w14:paraId="73846CBB" w14:textId="77777777">
            <w:pPr>
              <w:rPr>
                <w:rFonts w:ascii="Verdana" w:hAnsi="Verdana" w:cs="Arial"/>
                <w:sz w:val="24"/>
                <w:szCs w:val="24"/>
              </w:rPr>
            </w:pPr>
            <w:r w:rsidRPr="00FB0A09">
              <w:rPr>
                <w:rFonts w:ascii="Verdana" w:hAnsi="Verdana" w:cs="Arial"/>
                <w:b/>
                <w:color w:val="FFFFFF"/>
                <w:sz w:val="24"/>
                <w:szCs w:val="24"/>
              </w:rPr>
              <w:t>IMTP programme alignment</w:t>
            </w:r>
          </w:p>
        </w:tc>
        <w:tc>
          <w:tcPr>
            <w:tcW w:w="2592" w:type="dxa"/>
            <w:shd w:val="clear" w:color="auto" w:fill="1C365D"/>
            <w:tcMar>
              <w:top w:w="80" w:type="dxa"/>
              <w:left w:w="80" w:type="dxa"/>
              <w:bottom w:w="80" w:type="dxa"/>
              <w:right w:w="80" w:type="dxa"/>
            </w:tcMar>
            <w:vAlign w:val="center"/>
          </w:tcPr>
          <w:p w:rsidRPr="00FB0A09" w:rsidR="003F0CF6" w:rsidP="00987510" w:rsidRDefault="003F0CF6" w14:paraId="3A4C3626" w14:textId="77777777">
            <w:pPr>
              <w:rPr>
                <w:rFonts w:ascii="Verdana" w:hAnsi="Verdana" w:cs="Arial"/>
                <w:sz w:val="24"/>
                <w:szCs w:val="24"/>
              </w:rPr>
            </w:pPr>
            <w:r w:rsidRPr="00FB0A09">
              <w:rPr>
                <w:rFonts w:ascii="Verdana" w:hAnsi="Verdana" w:cs="Arial"/>
                <w:b/>
                <w:color w:val="FFFFFF"/>
                <w:sz w:val="24"/>
                <w:szCs w:val="24"/>
              </w:rPr>
              <w:t>Outcome / assurance</w:t>
            </w:r>
          </w:p>
        </w:tc>
      </w:tr>
      <w:tr w:rsidRPr="00FB0A09" w:rsidR="003F0CF6" w:rsidTr="00987510" w14:paraId="6E9F17DB" w14:textId="77777777">
        <w:trPr>
          <w:cantSplit/>
          <w:jc w:val="center"/>
        </w:trPr>
        <w:tc>
          <w:tcPr>
            <w:tcW w:w="2592" w:type="dxa"/>
            <w:shd w:val="clear" w:color="auto" w:fill="E9EFF5"/>
            <w:tcMar>
              <w:top w:w="80" w:type="dxa"/>
              <w:left w:w="80" w:type="dxa"/>
              <w:bottom w:w="80" w:type="dxa"/>
              <w:right w:w="80" w:type="dxa"/>
            </w:tcMar>
            <w:vAlign w:val="center"/>
          </w:tcPr>
          <w:p w:rsidRPr="00FB0A09" w:rsidR="003F0CF6" w:rsidP="00987510" w:rsidRDefault="003F0CF6" w14:paraId="03A602B9" w14:textId="77777777">
            <w:pPr>
              <w:rPr>
                <w:rFonts w:ascii="Verdana" w:hAnsi="Verdana" w:cs="Arial"/>
                <w:sz w:val="24"/>
                <w:szCs w:val="24"/>
              </w:rPr>
            </w:pPr>
            <w:r w:rsidRPr="00FB0A09">
              <w:rPr>
                <w:rFonts w:ascii="Verdana" w:hAnsi="Verdana" w:cs="Arial"/>
                <w:sz w:val="24"/>
                <w:szCs w:val="24"/>
              </w:rPr>
              <w:t>Trusted data and single sources of truth</w:t>
            </w:r>
          </w:p>
        </w:tc>
        <w:tc>
          <w:tcPr>
            <w:tcW w:w="2592" w:type="dxa"/>
            <w:tcMar>
              <w:top w:w="80" w:type="dxa"/>
              <w:left w:w="80" w:type="dxa"/>
              <w:bottom w:w="80" w:type="dxa"/>
              <w:right w:w="80" w:type="dxa"/>
            </w:tcMar>
            <w:vAlign w:val="center"/>
          </w:tcPr>
          <w:p w:rsidRPr="00FB0A09" w:rsidR="003F0CF6" w:rsidP="00987510" w:rsidRDefault="003F0CF6" w14:paraId="12C327BC" w14:textId="77777777">
            <w:pPr>
              <w:rPr>
                <w:rFonts w:ascii="Verdana" w:hAnsi="Verdana" w:cs="Arial"/>
                <w:sz w:val="24"/>
                <w:szCs w:val="24"/>
              </w:rPr>
            </w:pPr>
            <w:r w:rsidRPr="00FB0A09">
              <w:rPr>
                <w:rFonts w:ascii="Verdana" w:hAnsi="Verdana" w:cs="Arial"/>
                <w:sz w:val="24"/>
                <w:szCs w:val="24"/>
              </w:rPr>
              <w:t xml:space="preserve">MHLD quality and safety; safety huddle; </w:t>
            </w:r>
            <w:proofErr w:type="spellStart"/>
            <w:r w:rsidRPr="00FB0A09">
              <w:rPr>
                <w:rFonts w:ascii="Verdana" w:hAnsi="Verdana" w:cs="Arial"/>
                <w:sz w:val="24"/>
                <w:szCs w:val="24"/>
              </w:rPr>
              <w:t>RiO</w:t>
            </w:r>
            <w:proofErr w:type="spellEnd"/>
            <w:r w:rsidRPr="00FB0A09">
              <w:rPr>
                <w:rFonts w:ascii="Verdana" w:hAnsi="Verdana" w:cs="Arial"/>
                <w:sz w:val="24"/>
                <w:szCs w:val="24"/>
              </w:rPr>
              <w:t xml:space="preserve"> community reporting; Mental Health Act; maternity; risk; planned care vitals</w:t>
            </w:r>
          </w:p>
        </w:tc>
        <w:tc>
          <w:tcPr>
            <w:tcW w:w="2592" w:type="dxa"/>
            <w:tcMar>
              <w:top w:w="80" w:type="dxa"/>
              <w:left w:w="80" w:type="dxa"/>
              <w:bottom w:w="80" w:type="dxa"/>
              <w:right w:w="80" w:type="dxa"/>
            </w:tcMar>
            <w:vAlign w:val="center"/>
          </w:tcPr>
          <w:p w:rsidRPr="00FB0A09" w:rsidR="003F0CF6" w:rsidP="00987510" w:rsidRDefault="003F0CF6" w14:paraId="63D8176F" w14:textId="77777777">
            <w:pPr>
              <w:rPr>
                <w:rFonts w:ascii="Verdana" w:hAnsi="Verdana" w:cs="Arial"/>
                <w:sz w:val="24"/>
                <w:szCs w:val="24"/>
              </w:rPr>
            </w:pPr>
            <w:r w:rsidRPr="00FB0A09">
              <w:rPr>
                <w:rFonts w:ascii="Verdana" w:hAnsi="Verdana" w:cs="Arial"/>
                <w:sz w:val="24"/>
                <w:szCs w:val="24"/>
              </w:rPr>
              <w:t>MHLD; UEC; Women and Children; Planned Care; Quality and Safety</w:t>
            </w:r>
          </w:p>
        </w:tc>
        <w:tc>
          <w:tcPr>
            <w:tcW w:w="2592" w:type="dxa"/>
            <w:tcMar>
              <w:top w:w="80" w:type="dxa"/>
              <w:left w:w="80" w:type="dxa"/>
              <w:bottom w:w="80" w:type="dxa"/>
              <w:right w:w="80" w:type="dxa"/>
            </w:tcMar>
            <w:vAlign w:val="center"/>
          </w:tcPr>
          <w:p w:rsidRPr="00FB0A09" w:rsidR="003F0CF6" w:rsidP="00987510" w:rsidRDefault="003F0CF6" w14:paraId="7407E9BE" w14:textId="77777777">
            <w:pPr>
              <w:rPr>
                <w:rFonts w:ascii="Verdana" w:hAnsi="Verdana" w:cs="Arial"/>
                <w:sz w:val="24"/>
                <w:szCs w:val="24"/>
              </w:rPr>
            </w:pPr>
            <w:r w:rsidRPr="00FB0A09">
              <w:rPr>
                <w:rFonts w:ascii="Verdana" w:hAnsi="Verdana" w:cs="Arial"/>
                <w:sz w:val="24"/>
                <w:szCs w:val="24"/>
              </w:rPr>
              <w:t>More consistent operational and Board assurance, reduced manual reporting and clearer exception management.</w:t>
            </w:r>
          </w:p>
        </w:tc>
      </w:tr>
      <w:tr w:rsidRPr="00FB0A09" w:rsidR="003F0CF6" w:rsidTr="00987510" w14:paraId="6CE35097" w14:textId="77777777">
        <w:trPr>
          <w:cantSplit/>
          <w:jc w:val="center"/>
        </w:trPr>
        <w:tc>
          <w:tcPr>
            <w:tcW w:w="2592" w:type="dxa"/>
            <w:shd w:val="clear" w:color="auto" w:fill="E9EFF5"/>
            <w:tcMar>
              <w:top w:w="80" w:type="dxa"/>
              <w:left w:w="80" w:type="dxa"/>
              <w:bottom w:w="80" w:type="dxa"/>
              <w:right w:w="80" w:type="dxa"/>
            </w:tcMar>
            <w:vAlign w:val="center"/>
          </w:tcPr>
          <w:p w:rsidRPr="00FB0A09" w:rsidR="003F0CF6" w:rsidP="00987510" w:rsidRDefault="003F0CF6" w14:paraId="686313E2" w14:textId="77777777">
            <w:pPr>
              <w:rPr>
                <w:rFonts w:ascii="Verdana" w:hAnsi="Verdana" w:cs="Arial"/>
                <w:sz w:val="24"/>
                <w:szCs w:val="24"/>
              </w:rPr>
            </w:pPr>
            <w:r w:rsidRPr="00FB0A09">
              <w:rPr>
                <w:rFonts w:ascii="Verdana" w:hAnsi="Verdana" w:cs="Arial"/>
                <w:sz w:val="24"/>
                <w:szCs w:val="24"/>
              </w:rPr>
              <w:lastRenderedPageBreak/>
              <w:t>Integrated data and architecture</w:t>
            </w:r>
          </w:p>
        </w:tc>
        <w:tc>
          <w:tcPr>
            <w:tcW w:w="2592" w:type="dxa"/>
            <w:tcMar>
              <w:top w:w="80" w:type="dxa"/>
              <w:left w:w="80" w:type="dxa"/>
              <w:bottom w:w="80" w:type="dxa"/>
              <w:right w:w="80" w:type="dxa"/>
            </w:tcMar>
            <w:vAlign w:val="center"/>
          </w:tcPr>
          <w:p w:rsidRPr="00FB0A09" w:rsidR="003F0CF6" w:rsidP="00987510" w:rsidRDefault="003F0CF6" w14:paraId="3BFEB186" w14:textId="77777777">
            <w:pPr>
              <w:rPr>
                <w:rFonts w:ascii="Verdana" w:hAnsi="Verdana" w:cs="Arial"/>
                <w:sz w:val="24"/>
                <w:szCs w:val="24"/>
              </w:rPr>
            </w:pPr>
            <w:r w:rsidRPr="00FB0A09">
              <w:rPr>
                <w:rFonts w:ascii="Verdana" w:hAnsi="Verdana" w:cs="Arial"/>
                <w:sz w:val="24"/>
                <w:szCs w:val="24"/>
              </w:rPr>
              <w:t>CDR scoping; additional clinical datasets; revised mappings and source validation</w:t>
            </w:r>
          </w:p>
        </w:tc>
        <w:tc>
          <w:tcPr>
            <w:tcW w:w="2592" w:type="dxa"/>
            <w:tcMar>
              <w:top w:w="80" w:type="dxa"/>
              <w:left w:w="80" w:type="dxa"/>
              <w:bottom w:w="80" w:type="dxa"/>
              <w:right w:w="80" w:type="dxa"/>
            </w:tcMar>
            <w:vAlign w:val="center"/>
          </w:tcPr>
          <w:p w:rsidRPr="00FB0A09" w:rsidR="003F0CF6" w:rsidP="00987510" w:rsidRDefault="003F0CF6" w14:paraId="34ED3527" w14:textId="77777777">
            <w:pPr>
              <w:rPr>
                <w:rFonts w:ascii="Verdana" w:hAnsi="Verdana" w:cs="Arial"/>
                <w:sz w:val="24"/>
                <w:szCs w:val="24"/>
              </w:rPr>
            </w:pPr>
            <w:r w:rsidRPr="00FB0A09">
              <w:rPr>
                <w:rFonts w:ascii="Verdana" w:hAnsi="Verdana" w:cs="Arial"/>
                <w:sz w:val="24"/>
                <w:szCs w:val="24"/>
              </w:rPr>
              <w:t>Population Health; Digital enablement; cross-cutting clinical programmes</w:t>
            </w:r>
          </w:p>
        </w:tc>
        <w:tc>
          <w:tcPr>
            <w:tcW w:w="2592" w:type="dxa"/>
            <w:tcMar>
              <w:top w:w="80" w:type="dxa"/>
              <w:left w:w="80" w:type="dxa"/>
              <w:bottom w:w="80" w:type="dxa"/>
              <w:right w:w="80" w:type="dxa"/>
            </w:tcMar>
            <w:vAlign w:val="center"/>
          </w:tcPr>
          <w:p w:rsidRPr="00FB0A09" w:rsidR="003F0CF6" w:rsidP="00987510" w:rsidRDefault="003F0CF6" w14:paraId="0B1CD9FC" w14:textId="77777777">
            <w:pPr>
              <w:rPr>
                <w:rFonts w:ascii="Verdana" w:hAnsi="Verdana" w:cs="Arial"/>
                <w:sz w:val="24"/>
                <w:szCs w:val="24"/>
              </w:rPr>
            </w:pPr>
            <w:r w:rsidRPr="00FB0A09">
              <w:rPr>
                <w:rFonts w:ascii="Verdana" w:hAnsi="Verdana" w:cs="Arial"/>
                <w:sz w:val="24"/>
                <w:szCs w:val="24"/>
              </w:rPr>
              <w:t>A stronger foundation for pathway, population and patient-centred intelligence.</w:t>
            </w:r>
          </w:p>
        </w:tc>
      </w:tr>
      <w:tr w:rsidRPr="00FB0A09" w:rsidR="003F0CF6" w:rsidTr="00987510" w14:paraId="0D5C000F" w14:textId="77777777">
        <w:trPr>
          <w:cantSplit/>
          <w:jc w:val="center"/>
        </w:trPr>
        <w:tc>
          <w:tcPr>
            <w:tcW w:w="2592" w:type="dxa"/>
            <w:shd w:val="clear" w:color="auto" w:fill="E9EFF5"/>
            <w:tcMar>
              <w:top w:w="80" w:type="dxa"/>
              <w:left w:w="80" w:type="dxa"/>
              <w:bottom w:w="80" w:type="dxa"/>
              <w:right w:w="80" w:type="dxa"/>
            </w:tcMar>
            <w:vAlign w:val="center"/>
          </w:tcPr>
          <w:p w:rsidRPr="00FB0A09" w:rsidR="003F0CF6" w:rsidP="00987510" w:rsidRDefault="003F0CF6" w14:paraId="6797ABF6" w14:textId="77777777">
            <w:pPr>
              <w:rPr>
                <w:rFonts w:ascii="Verdana" w:hAnsi="Verdana" w:cs="Arial"/>
                <w:sz w:val="24"/>
                <w:szCs w:val="24"/>
              </w:rPr>
            </w:pPr>
            <w:r w:rsidRPr="00FB0A09">
              <w:rPr>
                <w:rFonts w:ascii="Verdana" w:hAnsi="Verdana" w:cs="Arial"/>
                <w:sz w:val="24"/>
                <w:szCs w:val="24"/>
              </w:rPr>
              <w:t>Modelling and decision intelligence</w:t>
            </w:r>
          </w:p>
        </w:tc>
        <w:tc>
          <w:tcPr>
            <w:tcW w:w="2592" w:type="dxa"/>
            <w:tcMar>
              <w:top w:w="80" w:type="dxa"/>
              <w:left w:w="80" w:type="dxa"/>
              <w:bottom w:w="80" w:type="dxa"/>
              <w:right w:w="80" w:type="dxa"/>
            </w:tcMar>
            <w:vAlign w:val="center"/>
          </w:tcPr>
          <w:p w:rsidRPr="00FB0A09" w:rsidR="003F0CF6" w:rsidP="00987510" w:rsidRDefault="003F0CF6" w14:paraId="40ACE6FE" w14:textId="77777777">
            <w:pPr>
              <w:rPr>
                <w:rFonts w:ascii="Verdana" w:hAnsi="Verdana" w:cs="Arial"/>
                <w:sz w:val="24"/>
                <w:szCs w:val="24"/>
              </w:rPr>
            </w:pPr>
            <w:r w:rsidRPr="00FB0A09">
              <w:rPr>
                <w:rFonts w:ascii="Verdana" w:hAnsi="Verdana" w:cs="Arial"/>
                <w:sz w:val="24"/>
                <w:szCs w:val="24"/>
              </w:rPr>
              <w:t>Whole-system bed models; Pathway 1 and 3; winter scenarios; theatre and planned care demand/capacity; regional T&amp;O</w:t>
            </w:r>
          </w:p>
        </w:tc>
        <w:tc>
          <w:tcPr>
            <w:tcW w:w="2592" w:type="dxa"/>
            <w:tcMar>
              <w:top w:w="80" w:type="dxa"/>
              <w:left w:w="80" w:type="dxa"/>
              <w:bottom w:w="80" w:type="dxa"/>
              <w:right w:w="80" w:type="dxa"/>
            </w:tcMar>
            <w:vAlign w:val="center"/>
          </w:tcPr>
          <w:p w:rsidRPr="00FB0A09" w:rsidR="003F0CF6" w:rsidP="00987510" w:rsidRDefault="003F0CF6" w14:paraId="442663F5" w14:textId="77777777">
            <w:pPr>
              <w:rPr>
                <w:rFonts w:ascii="Verdana" w:hAnsi="Verdana" w:cs="Arial"/>
                <w:sz w:val="24"/>
                <w:szCs w:val="24"/>
              </w:rPr>
            </w:pPr>
            <w:r w:rsidRPr="00FB0A09">
              <w:rPr>
                <w:rFonts w:ascii="Verdana" w:hAnsi="Verdana" w:cs="Arial"/>
                <w:sz w:val="24"/>
                <w:szCs w:val="24"/>
              </w:rPr>
              <w:t>UEC; Planned Care; Recovery and Sustainability; regional services</w:t>
            </w:r>
          </w:p>
        </w:tc>
        <w:tc>
          <w:tcPr>
            <w:tcW w:w="2592" w:type="dxa"/>
            <w:tcMar>
              <w:top w:w="80" w:type="dxa"/>
              <w:left w:w="80" w:type="dxa"/>
              <w:bottom w:w="80" w:type="dxa"/>
              <w:right w:w="80" w:type="dxa"/>
            </w:tcMar>
            <w:vAlign w:val="center"/>
          </w:tcPr>
          <w:p w:rsidRPr="00FB0A09" w:rsidR="003F0CF6" w:rsidP="00987510" w:rsidRDefault="003F0CF6" w14:paraId="0FD58500" w14:textId="77777777">
            <w:pPr>
              <w:rPr>
                <w:rFonts w:ascii="Verdana" w:hAnsi="Verdana" w:cs="Arial"/>
                <w:sz w:val="24"/>
                <w:szCs w:val="24"/>
              </w:rPr>
            </w:pPr>
            <w:r w:rsidRPr="00FB0A09">
              <w:rPr>
                <w:rFonts w:ascii="Verdana" w:hAnsi="Verdana" w:cs="Arial"/>
                <w:sz w:val="24"/>
                <w:szCs w:val="24"/>
              </w:rPr>
              <w:t>Evidence-based choices on capacity, configuration, recovery trajectories and mitigations.</w:t>
            </w:r>
          </w:p>
        </w:tc>
      </w:tr>
      <w:tr w:rsidRPr="00FB0A09" w:rsidR="003F0CF6" w:rsidTr="00987510" w14:paraId="24304679" w14:textId="77777777">
        <w:trPr>
          <w:cantSplit/>
          <w:jc w:val="center"/>
        </w:trPr>
        <w:tc>
          <w:tcPr>
            <w:tcW w:w="2592" w:type="dxa"/>
            <w:shd w:val="clear" w:color="auto" w:fill="E9EFF5"/>
            <w:tcMar>
              <w:top w:w="80" w:type="dxa"/>
              <w:left w:w="80" w:type="dxa"/>
              <w:bottom w:w="80" w:type="dxa"/>
              <w:right w:w="80" w:type="dxa"/>
            </w:tcMar>
            <w:vAlign w:val="center"/>
          </w:tcPr>
          <w:p w:rsidRPr="00FB0A09" w:rsidR="003F0CF6" w:rsidP="00987510" w:rsidRDefault="003F0CF6" w14:paraId="1D7AF5A0" w14:textId="77777777">
            <w:pPr>
              <w:rPr>
                <w:rFonts w:ascii="Verdana" w:hAnsi="Verdana" w:cs="Arial"/>
                <w:sz w:val="24"/>
                <w:szCs w:val="24"/>
              </w:rPr>
            </w:pPr>
            <w:r w:rsidRPr="00FB0A09">
              <w:rPr>
                <w:rFonts w:ascii="Verdana" w:hAnsi="Verdana" w:cs="Arial"/>
                <w:sz w:val="24"/>
                <w:szCs w:val="24"/>
              </w:rPr>
              <w:t>Responsible AI and automation</w:t>
            </w:r>
          </w:p>
        </w:tc>
        <w:tc>
          <w:tcPr>
            <w:tcW w:w="2592" w:type="dxa"/>
            <w:tcMar>
              <w:top w:w="80" w:type="dxa"/>
              <w:left w:w="80" w:type="dxa"/>
              <w:bottom w:w="80" w:type="dxa"/>
              <w:right w:w="80" w:type="dxa"/>
            </w:tcMar>
            <w:vAlign w:val="center"/>
          </w:tcPr>
          <w:p w:rsidRPr="00FB0A09" w:rsidR="003F0CF6" w:rsidP="00987510" w:rsidRDefault="003F0CF6" w14:paraId="112DBB1E" w14:textId="77777777">
            <w:pPr>
              <w:rPr>
                <w:rFonts w:ascii="Verdana" w:hAnsi="Verdana" w:cs="Arial"/>
                <w:sz w:val="24"/>
                <w:szCs w:val="24"/>
              </w:rPr>
            </w:pPr>
            <w:r w:rsidRPr="00FB0A09">
              <w:rPr>
                <w:rFonts w:ascii="Verdana" w:hAnsi="Verdana" w:cs="Arial"/>
                <w:sz w:val="24"/>
                <w:szCs w:val="24"/>
              </w:rPr>
              <w:t>Waiting-list validation; mental health correspondence; electronic Health Screening Questionnaire (HSQ); documentation, coding and pathway use cases</w:t>
            </w:r>
          </w:p>
        </w:tc>
        <w:tc>
          <w:tcPr>
            <w:tcW w:w="2592" w:type="dxa"/>
            <w:tcMar>
              <w:top w:w="80" w:type="dxa"/>
              <w:left w:w="80" w:type="dxa"/>
              <w:bottom w:w="80" w:type="dxa"/>
              <w:right w:w="80" w:type="dxa"/>
            </w:tcMar>
            <w:vAlign w:val="center"/>
          </w:tcPr>
          <w:p w:rsidRPr="00FB0A09" w:rsidR="003F0CF6" w:rsidP="00987510" w:rsidRDefault="003F0CF6" w14:paraId="22702606" w14:textId="77777777">
            <w:pPr>
              <w:rPr>
                <w:rFonts w:ascii="Verdana" w:hAnsi="Verdana" w:cs="Arial"/>
                <w:sz w:val="24"/>
                <w:szCs w:val="24"/>
              </w:rPr>
            </w:pPr>
            <w:r w:rsidRPr="00FB0A09">
              <w:rPr>
                <w:rFonts w:ascii="Verdana" w:hAnsi="Verdana" w:cs="Arial"/>
                <w:sz w:val="24"/>
                <w:szCs w:val="24"/>
              </w:rPr>
              <w:t>Planned Care; MHLD; workforce productivity; financial recovery</w:t>
            </w:r>
          </w:p>
        </w:tc>
        <w:tc>
          <w:tcPr>
            <w:tcW w:w="2592" w:type="dxa"/>
            <w:tcMar>
              <w:top w:w="80" w:type="dxa"/>
              <w:left w:w="80" w:type="dxa"/>
              <w:bottom w:w="80" w:type="dxa"/>
              <w:right w:w="80" w:type="dxa"/>
            </w:tcMar>
            <w:vAlign w:val="center"/>
          </w:tcPr>
          <w:p w:rsidRPr="00FB0A09" w:rsidR="003F0CF6" w:rsidP="00987510" w:rsidRDefault="003F0CF6" w14:paraId="436F6987" w14:textId="77777777">
            <w:pPr>
              <w:rPr>
                <w:rFonts w:ascii="Verdana" w:hAnsi="Verdana" w:cs="Arial"/>
                <w:sz w:val="24"/>
                <w:szCs w:val="24"/>
              </w:rPr>
            </w:pPr>
            <w:r w:rsidRPr="00FB0A09">
              <w:rPr>
                <w:rFonts w:ascii="Verdana" w:hAnsi="Verdana" w:cs="Arial"/>
                <w:sz w:val="24"/>
                <w:szCs w:val="24"/>
              </w:rPr>
              <w:t>Human-validated automation focused on capacity release, data quality, administrative efficiency and patient safety.</w:t>
            </w:r>
          </w:p>
        </w:tc>
      </w:tr>
      <w:tr w:rsidRPr="00FB0A09" w:rsidR="003F0CF6" w:rsidTr="00987510" w14:paraId="7381D567" w14:textId="77777777">
        <w:trPr>
          <w:cantSplit/>
          <w:jc w:val="center"/>
        </w:trPr>
        <w:tc>
          <w:tcPr>
            <w:tcW w:w="2592" w:type="dxa"/>
            <w:shd w:val="clear" w:color="auto" w:fill="E9EFF5"/>
            <w:tcMar>
              <w:top w:w="80" w:type="dxa"/>
              <w:left w:w="80" w:type="dxa"/>
              <w:bottom w:w="80" w:type="dxa"/>
              <w:right w:w="80" w:type="dxa"/>
            </w:tcMar>
            <w:vAlign w:val="center"/>
          </w:tcPr>
          <w:p w:rsidRPr="00FB0A09" w:rsidR="003F0CF6" w:rsidP="00987510" w:rsidRDefault="003F0CF6" w14:paraId="6B0C4F0B" w14:textId="77777777">
            <w:pPr>
              <w:rPr>
                <w:rFonts w:ascii="Verdana" w:hAnsi="Verdana" w:cs="Arial"/>
                <w:sz w:val="24"/>
                <w:szCs w:val="24"/>
              </w:rPr>
            </w:pPr>
            <w:r w:rsidRPr="00FB0A09">
              <w:rPr>
                <w:rFonts w:ascii="Verdana" w:hAnsi="Verdana" w:cs="Arial"/>
                <w:sz w:val="24"/>
                <w:szCs w:val="24"/>
              </w:rPr>
              <w:t>Performance, improvement and assurance</w:t>
            </w:r>
          </w:p>
        </w:tc>
        <w:tc>
          <w:tcPr>
            <w:tcW w:w="2592" w:type="dxa"/>
            <w:tcMar>
              <w:top w:w="80" w:type="dxa"/>
              <w:left w:w="80" w:type="dxa"/>
              <w:bottom w:w="80" w:type="dxa"/>
              <w:right w:w="80" w:type="dxa"/>
            </w:tcMar>
            <w:vAlign w:val="center"/>
          </w:tcPr>
          <w:p w:rsidRPr="00FB0A09" w:rsidR="003F0CF6" w:rsidP="00987510" w:rsidRDefault="003F0CF6" w14:paraId="524156F3" w14:textId="77777777">
            <w:pPr>
              <w:rPr>
                <w:rFonts w:ascii="Verdana" w:hAnsi="Verdana" w:cs="Arial"/>
                <w:sz w:val="24"/>
                <w:szCs w:val="24"/>
              </w:rPr>
            </w:pPr>
            <w:r w:rsidRPr="00FB0A09">
              <w:rPr>
                <w:rFonts w:ascii="Verdana" w:hAnsi="Verdana" w:cs="Arial"/>
                <w:sz w:val="24"/>
                <w:szCs w:val="24"/>
              </w:rPr>
              <w:t>Performance Accountability Framework (PAF); Service Group reviews; Integrated Performance Report (IPR); escalation; recovery plans; programme boards</w:t>
            </w:r>
          </w:p>
        </w:tc>
        <w:tc>
          <w:tcPr>
            <w:tcW w:w="2592" w:type="dxa"/>
            <w:tcMar>
              <w:top w:w="80" w:type="dxa"/>
              <w:left w:w="80" w:type="dxa"/>
              <w:bottom w:w="80" w:type="dxa"/>
              <w:right w:w="80" w:type="dxa"/>
            </w:tcMar>
            <w:vAlign w:val="center"/>
          </w:tcPr>
          <w:p w:rsidRPr="00FB0A09" w:rsidR="003F0CF6" w:rsidP="00987510" w:rsidRDefault="003F0CF6" w14:paraId="2FB18F28" w14:textId="77777777">
            <w:pPr>
              <w:rPr>
                <w:rFonts w:ascii="Verdana" w:hAnsi="Verdana" w:cs="Arial"/>
                <w:sz w:val="24"/>
                <w:szCs w:val="24"/>
              </w:rPr>
            </w:pPr>
            <w:r w:rsidRPr="00FB0A09">
              <w:rPr>
                <w:rFonts w:ascii="Verdana" w:hAnsi="Verdana" w:cs="Arial"/>
                <w:sz w:val="24"/>
                <w:szCs w:val="24"/>
              </w:rPr>
              <w:t>All IMTP programme areas and annual-plan commitments</w:t>
            </w:r>
          </w:p>
        </w:tc>
        <w:tc>
          <w:tcPr>
            <w:tcW w:w="2592" w:type="dxa"/>
            <w:tcMar>
              <w:top w:w="80" w:type="dxa"/>
              <w:left w:w="80" w:type="dxa"/>
              <w:bottom w:w="80" w:type="dxa"/>
              <w:right w:w="80" w:type="dxa"/>
            </w:tcMar>
            <w:vAlign w:val="center"/>
          </w:tcPr>
          <w:p w:rsidRPr="00FB0A09" w:rsidR="003F0CF6" w:rsidP="00987510" w:rsidRDefault="003F0CF6" w14:paraId="49CDB411" w14:textId="77777777">
            <w:pPr>
              <w:rPr>
                <w:rFonts w:ascii="Verdana" w:hAnsi="Verdana" w:cs="Arial"/>
                <w:sz w:val="24"/>
                <w:szCs w:val="24"/>
              </w:rPr>
            </w:pPr>
            <w:r w:rsidRPr="00FB0A09">
              <w:rPr>
                <w:rFonts w:ascii="Verdana" w:hAnsi="Verdana" w:cs="Arial"/>
                <w:sz w:val="24"/>
                <w:szCs w:val="24"/>
              </w:rPr>
              <w:t>A clearer line of sight from plan to delivery, named ownership, milestones, forecast and escalation.</w:t>
            </w:r>
          </w:p>
        </w:tc>
      </w:tr>
      <w:tr w:rsidRPr="00FB0A09" w:rsidR="003F0CF6" w:rsidTr="00987510" w14:paraId="72E744E4" w14:textId="77777777">
        <w:trPr>
          <w:cantSplit/>
          <w:jc w:val="center"/>
        </w:trPr>
        <w:tc>
          <w:tcPr>
            <w:tcW w:w="2592" w:type="dxa"/>
            <w:shd w:val="clear" w:color="auto" w:fill="E9EFF5"/>
            <w:tcMar>
              <w:top w:w="80" w:type="dxa"/>
              <w:left w:w="80" w:type="dxa"/>
              <w:bottom w:w="80" w:type="dxa"/>
              <w:right w:w="80" w:type="dxa"/>
            </w:tcMar>
            <w:vAlign w:val="center"/>
          </w:tcPr>
          <w:p w:rsidRPr="00FB0A09" w:rsidR="003F0CF6" w:rsidP="00987510" w:rsidRDefault="003F0CF6" w14:paraId="56E4B977" w14:textId="77777777">
            <w:pPr>
              <w:rPr>
                <w:rFonts w:ascii="Verdana" w:hAnsi="Verdana" w:cs="Arial"/>
                <w:sz w:val="24"/>
                <w:szCs w:val="24"/>
              </w:rPr>
            </w:pPr>
            <w:r w:rsidRPr="00FB0A09">
              <w:rPr>
                <w:rFonts w:ascii="Verdana" w:hAnsi="Verdana" w:cs="Arial"/>
                <w:sz w:val="24"/>
                <w:szCs w:val="24"/>
              </w:rPr>
              <w:lastRenderedPageBreak/>
              <w:t>Data literacy and adoption</w:t>
            </w:r>
          </w:p>
        </w:tc>
        <w:tc>
          <w:tcPr>
            <w:tcW w:w="2592" w:type="dxa"/>
            <w:tcMar>
              <w:top w:w="80" w:type="dxa"/>
              <w:left w:w="80" w:type="dxa"/>
              <w:bottom w:w="80" w:type="dxa"/>
              <w:right w:w="80" w:type="dxa"/>
            </w:tcMar>
            <w:vAlign w:val="center"/>
          </w:tcPr>
          <w:p w:rsidRPr="00FB0A09" w:rsidR="003F0CF6" w:rsidP="00987510" w:rsidRDefault="003F0CF6" w14:paraId="1FABFD8C" w14:textId="77777777">
            <w:pPr>
              <w:rPr>
                <w:rFonts w:ascii="Verdana" w:hAnsi="Verdana" w:cs="Arial"/>
                <w:sz w:val="24"/>
                <w:szCs w:val="24"/>
              </w:rPr>
            </w:pPr>
            <w:r w:rsidRPr="00FB0A09">
              <w:rPr>
                <w:rFonts w:ascii="Verdana" w:hAnsi="Verdana" w:cs="Arial"/>
                <w:sz w:val="24"/>
                <w:szCs w:val="24"/>
              </w:rPr>
              <w:t>Advanced data literacy; Power BI learning; embedded analyst model</w:t>
            </w:r>
          </w:p>
        </w:tc>
        <w:tc>
          <w:tcPr>
            <w:tcW w:w="2592" w:type="dxa"/>
            <w:tcMar>
              <w:top w:w="80" w:type="dxa"/>
              <w:left w:w="80" w:type="dxa"/>
              <w:bottom w:w="80" w:type="dxa"/>
              <w:right w:w="80" w:type="dxa"/>
            </w:tcMar>
            <w:vAlign w:val="center"/>
          </w:tcPr>
          <w:p w:rsidRPr="00FB0A09" w:rsidR="003F0CF6" w:rsidP="00987510" w:rsidRDefault="003F0CF6" w14:paraId="242AAC3E" w14:textId="77777777">
            <w:pPr>
              <w:rPr>
                <w:rFonts w:ascii="Verdana" w:hAnsi="Verdana" w:cs="Arial"/>
                <w:sz w:val="24"/>
                <w:szCs w:val="24"/>
              </w:rPr>
            </w:pPr>
            <w:r w:rsidRPr="00FB0A09">
              <w:rPr>
                <w:rFonts w:ascii="Verdana" w:hAnsi="Verdana" w:cs="Arial"/>
                <w:sz w:val="24"/>
                <w:szCs w:val="24"/>
              </w:rPr>
              <w:t>Organisational effectiveness; workforce; digitally enabled care</w:t>
            </w:r>
          </w:p>
        </w:tc>
        <w:tc>
          <w:tcPr>
            <w:tcW w:w="2592" w:type="dxa"/>
            <w:tcMar>
              <w:top w:w="80" w:type="dxa"/>
              <w:left w:w="80" w:type="dxa"/>
              <w:bottom w:w="80" w:type="dxa"/>
              <w:right w:w="80" w:type="dxa"/>
            </w:tcMar>
            <w:vAlign w:val="center"/>
          </w:tcPr>
          <w:p w:rsidRPr="00FB0A09" w:rsidR="003F0CF6" w:rsidP="00987510" w:rsidRDefault="003F0CF6" w14:paraId="141E8BD6" w14:textId="77777777">
            <w:pPr>
              <w:rPr>
                <w:rFonts w:ascii="Verdana" w:hAnsi="Verdana" w:cs="Arial"/>
                <w:sz w:val="24"/>
                <w:szCs w:val="24"/>
              </w:rPr>
            </w:pPr>
            <w:r w:rsidRPr="00FB0A09">
              <w:rPr>
                <w:rFonts w:ascii="Verdana" w:hAnsi="Verdana" w:cs="Arial"/>
                <w:sz w:val="24"/>
                <w:szCs w:val="24"/>
              </w:rPr>
              <w:t>Improved capability to interpret, challenge and use intelligence in daily decisions.</w:t>
            </w:r>
          </w:p>
        </w:tc>
      </w:tr>
    </w:tbl>
    <w:p w:rsidRPr="00FB0A09" w:rsidR="003F0CF6" w:rsidP="003F0CF6" w:rsidRDefault="003F0CF6" w14:paraId="2D4AC8DA" w14:textId="77777777">
      <w:pPr>
        <w:spacing w:after="0" w:line="240" w:lineRule="auto"/>
        <w:rPr>
          <w:rFonts w:ascii="Verdana" w:hAnsi="Verdana" w:cs="Arial"/>
          <w:bCs/>
          <w:sz w:val="24"/>
          <w:szCs w:val="24"/>
        </w:rPr>
      </w:pPr>
    </w:p>
    <w:p w:rsidRPr="00FB0A09" w:rsidR="003F0CF6" w:rsidP="003F0CF6" w:rsidRDefault="003F0CF6" w14:paraId="29082DEF" w14:textId="77777777">
      <w:pPr>
        <w:spacing w:after="0" w:line="240" w:lineRule="auto"/>
        <w:rPr>
          <w:rFonts w:ascii="Verdana" w:hAnsi="Verdana" w:cs="Arial"/>
          <w:bCs/>
          <w:sz w:val="24"/>
          <w:szCs w:val="24"/>
        </w:rPr>
      </w:pPr>
    </w:p>
    <w:p w:rsidRPr="00FB0A09" w:rsidR="003F0CF6" w:rsidP="003F0CF6" w:rsidRDefault="003F0CF6" w14:paraId="39D70264" w14:textId="77777777">
      <w:pPr>
        <w:spacing w:after="0" w:line="240" w:lineRule="auto"/>
        <w:ind w:right="96"/>
        <w:jc w:val="both"/>
        <w:rPr>
          <w:rFonts w:ascii="Verdana" w:hAnsi="Verdana" w:cs="Arial"/>
          <w:bCs/>
          <w:sz w:val="24"/>
          <w:szCs w:val="24"/>
        </w:rPr>
      </w:pPr>
    </w:p>
    <w:p w:rsidRPr="00FB0A09" w:rsidR="003F0CF6" w:rsidP="003F0CF6" w:rsidRDefault="003F0CF6" w14:paraId="088384A2" w14:textId="77777777">
      <w:pPr>
        <w:spacing w:after="0" w:line="240" w:lineRule="auto"/>
        <w:ind w:right="96"/>
        <w:jc w:val="both"/>
        <w:rPr>
          <w:rFonts w:ascii="Verdana" w:hAnsi="Verdana" w:cs="Arial"/>
          <w:bCs/>
          <w:sz w:val="24"/>
          <w:szCs w:val="24"/>
        </w:rPr>
      </w:pPr>
    </w:p>
    <w:p w:rsidRPr="00FB0A09" w:rsidR="003F0CF6" w:rsidP="003F0CF6" w:rsidRDefault="003F0CF6" w14:paraId="3883E736" w14:textId="77777777">
      <w:pPr>
        <w:spacing w:after="0" w:line="240" w:lineRule="auto"/>
        <w:ind w:right="96"/>
        <w:jc w:val="both"/>
        <w:rPr>
          <w:rFonts w:ascii="Verdana" w:hAnsi="Verdana" w:cs="Arial"/>
          <w:sz w:val="24"/>
          <w:szCs w:val="24"/>
          <w:u w:val="single"/>
        </w:rPr>
      </w:pPr>
      <w:r w:rsidRPr="00FB0A09">
        <w:rPr>
          <w:rFonts w:ascii="Verdana" w:hAnsi="Verdana" w:cs="Arial"/>
          <w:sz w:val="24"/>
          <w:szCs w:val="24"/>
          <w:u w:val="single"/>
        </w:rPr>
        <w:t>CURRENT PORTFOLIO BY SERVICE AND PROGRAMME AREA</w:t>
      </w:r>
    </w:p>
    <w:p w:rsidRPr="00FB0A09" w:rsidR="003F0CF6" w:rsidP="003F0CF6" w:rsidRDefault="003F0CF6" w14:paraId="3749CA79" w14:textId="77777777">
      <w:pPr>
        <w:pStyle w:val="Heading2"/>
        <w:rPr>
          <w:rFonts w:ascii="Verdana" w:hAnsi="Verdana" w:cs="Arial"/>
          <w:sz w:val="24"/>
          <w:szCs w:val="24"/>
        </w:rPr>
      </w:pPr>
      <w:r w:rsidRPr="00FB0A09">
        <w:rPr>
          <w:rFonts w:ascii="Verdana" w:hAnsi="Verdana" w:cs="Arial"/>
          <w:sz w:val="24"/>
          <w:szCs w:val="24"/>
        </w:rPr>
        <w:t xml:space="preserve">Mental Health and Learning Disabilities </w:t>
      </w:r>
    </w:p>
    <w:p w:rsidRPr="00FB0A09" w:rsidR="003F0CF6" w:rsidP="003F0CF6" w:rsidRDefault="003F0CF6" w14:paraId="24E96537" w14:textId="77777777">
      <w:pPr>
        <w:pStyle w:val="ListBullet"/>
        <w:spacing w:after="40"/>
        <w:rPr>
          <w:rFonts w:ascii="Verdana" w:hAnsi="Verdana" w:cs="Arial"/>
          <w:sz w:val="24"/>
          <w:szCs w:val="24"/>
        </w:rPr>
      </w:pPr>
      <w:r w:rsidRPr="00FB0A09">
        <w:rPr>
          <w:rFonts w:ascii="Verdana" w:hAnsi="Verdana" w:cs="Arial"/>
          <w:sz w:val="24"/>
          <w:szCs w:val="24"/>
        </w:rPr>
        <w:t>MHLD Quality and Safety Committee and Board assurance: further development of a single source of assurance against agreed key lines of enquiry.</w:t>
      </w:r>
    </w:p>
    <w:p w:rsidRPr="00FB0A09" w:rsidR="003F0CF6" w:rsidP="003F0CF6" w:rsidRDefault="003F0CF6" w14:paraId="28DCBFFB" w14:textId="77777777">
      <w:pPr>
        <w:pStyle w:val="ListBullet"/>
        <w:spacing w:after="40"/>
        <w:rPr>
          <w:rFonts w:ascii="Verdana" w:hAnsi="Verdana" w:cs="Arial"/>
          <w:sz w:val="24"/>
          <w:szCs w:val="24"/>
        </w:rPr>
      </w:pPr>
      <w:r w:rsidRPr="00FB0A09">
        <w:rPr>
          <w:rFonts w:ascii="Verdana" w:hAnsi="Verdana" w:cs="Arial"/>
          <w:sz w:val="24"/>
          <w:szCs w:val="24"/>
        </w:rPr>
        <w:t xml:space="preserve">Community services: automation of </w:t>
      </w:r>
      <w:proofErr w:type="spellStart"/>
      <w:r w:rsidRPr="00FB0A09">
        <w:rPr>
          <w:rFonts w:ascii="Verdana" w:hAnsi="Verdana" w:cs="Arial"/>
          <w:sz w:val="24"/>
          <w:szCs w:val="24"/>
        </w:rPr>
        <w:t>RiO</w:t>
      </w:r>
      <w:proofErr w:type="spellEnd"/>
      <w:r w:rsidRPr="00FB0A09">
        <w:rPr>
          <w:rFonts w:ascii="Verdana" w:hAnsi="Verdana" w:cs="Arial"/>
          <w:sz w:val="24"/>
          <w:szCs w:val="24"/>
        </w:rPr>
        <w:t xml:space="preserve"> reporting for referrals, discharges, caseloads, activity and waiting lists.</w:t>
      </w:r>
    </w:p>
    <w:p w:rsidRPr="00FB0A09" w:rsidR="003F0CF6" w:rsidP="003F0CF6" w:rsidRDefault="003F0CF6" w14:paraId="37BDC139" w14:textId="77777777">
      <w:pPr>
        <w:pStyle w:val="ListBullet"/>
        <w:spacing w:after="40"/>
        <w:rPr>
          <w:rFonts w:ascii="Verdana" w:hAnsi="Verdana" w:cs="Arial"/>
          <w:sz w:val="24"/>
          <w:szCs w:val="24"/>
        </w:rPr>
      </w:pPr>
      <w:r w:rsidRPr="00FB0A09">
        <w:rPr>
          <w:rFonts w:ascii="Verdana" w:hAnsi="Verdana" w:cs="Arial"/>
          <w:sz w:val="24"/>
          <w:szCs w:val="24"/>
        </w:rPr>
        <w:t>Mental Health Act dashboard: automation of statutory reporting currently reliant on manual processes.</w:t>
      </w:r>
    </w:p>
    <w:p w:rsidRPr="00FB0A09" w:rsidR="003F0CF6" w:rsidP="003F0CF6" w:rsidRDefault="003F0CF6" w14:paraId="05AA74AA" w14:textId="77777777">
      <w:pPr>
        <w:pStyle w:val="Heading2"/>
        <w:rPr>
          <w:rFonts w:ascii="Verdana" w:hAnsi="Verdana" w:cs="Arial"/>
          <w:sz w:val="24"/>
          <w:szCs w:val="24"/>
        </w:rPr>
      </w:pPr>
      <w:r w:rsidRPr="00FB0A09">
        <w:rPr>
          <w:rFonts w:ascii="Verdana" w:hAnsi="Verdana" w:cs="Arial"/>
          <w:sz w:val="24"/>
          <w:szCs w:val="24"/>
        </w:rPr>
        <w:t xml:space="preserve">Urgent and Emergency Care </w:t>
      </w:r>
    </w:p>
    <w:p w:rsidRPr="00FB0A09" w:rsidR="003F0CF6" w:rsidP="003F0CF6" w:rsidRDefault="003F0CF6" w14:paraId="774A3FC6" w14:textId="77777777">
      <w:pPr>
        <w:pStyle w:val="ListBullet"/>
        <w:spacing w:after="40"/>
        <w:rPr>
          <w:rFonts w:ascii="Verdana" w:hAnsi="Verdana" w:cs="Arial"/>
          <w:sz w:val="24"/>
          <w:szCs w:val="24"/>
        </w:rPr>
      </w:pPr>
      <w:r w:rsidRPr="00FB0A09">
        <w:rPr>
          <w:rFonts w:ascii="Verdana" w:hAnsi="Verdana" w:cs="Arial"/>
          <w:sz w:val="24"/>
          <w:szCs w:val="24"/>
        </w:rPr>
        <w:t>Safety huddle dashboard to support site-level understanding of discharge requirements and emerging constraints.</w:t>
      </w:r>
    </w:p>
    <w:p w:rsidRPr="00FB0A09" w:rsidR="003F0CF6" w:rsidP="003F0CF6" w:rsidRDefault="003F0CF6" w14:paraId="767D7A99" w14:textId="77777777">
      <w:pPr>
        <w:pStyle w:val="ListBullet"/>
        <w:spacing w:after="40"/>
        <w:rPr>
          <w:rFonts w:ascii="Verdana" w:hAnsi="Verdana" w:cs="Arial"/>
          <w:sz w:val="24"/>
          <w:szCs w:val="24"/>
        </w:rPr>
      </w:pPr>
      <w:r w:rsidRPr="00FB0A09">
        <w:rPr>
          <w:rFonts w:ascii="Verdana" w:hAnsi="Verdana" w:cs="Arial"/>
          <w:sz w:val="24"/>
          <w:szCs w:val="24"/>
        </w:rPr>
        <w:t>Ward-level nursing workforce model combining workforce, quality and safety, and patient-flow measures.</w:t>
      </w:r>
    </w:p>
    <w:p w:rsidRPr="00FB0A09" w:rsidR="003F0CF6" w:rsidP="003F0CF6" w:rsidRDefault="003F0CF6" w14:paraId="46D54089" w14:textId="77777777">
      <w:pPr>
        <w:pStyle w:val="ListBullet"/>
        <w:spacing w:after="40"/>
        <w:rPr>
          <w:rFonts w:ascii="Verdana" w:hAnsi="Verdana" w:cs="Arial"/>
          <w:sz w:val="24"/>
          <w:szCs w:val="24"/>
        </w:rPr>
      </w:pPr>
      <w:r w:rsidRPr="00FB0A09">
        <w:rPr>
          <w:rFonts w:ascii="Verdana" w:hAnsi="Verdana" w:cs="Arial"/>
          <w:sz w:val="24"/>
          <w:szCs w:val="24"/>
        </w:rPr>
        <w:t>Deterministic Health Board-wide bed modelling.</w:t>
      </w:r>
    </w:p>
    <w:p w:rsidRPr="00FB0A09" w:rsidR="003F0CF6" w:rsidP="003F0CF6" w:rsidRDefault="003F0CF6" w14:paraId="7E199278" w14:textId="77777777">
      <w:pPr>
        <w:pStyle w:val="ListBullet"/>
        <w:spacing w:after="40"/>
        <w:rPr>
          <w:rFonts w:ascii="Verdana" w:hAnsi="Verdana" w:cs="Arial"/>
          <w:sz w:val="24"/>
          <w:szCs w:val="24"/>
        </w:rPr>
      </w:pPr>
      <w:r w:rsidRPr="00FB0A09">
        <w:rPr>
          <w:rFonts w:ascii="Verdana" w:hAnsi="Verdana" w:cs="Arial"/>
          <w:sz w:val="24"/>
          <w:szCs w:val="24"/>
        </w:rPr>
        <w:t>Demand and capacity modelling for Pathway 1 across hospital and community services.</w:t>
      </w:r>
    </w:p>
    <w:p w:rsidRPr="00FB0A09" w:rsidR="003F0CF6" w:rsidP="003F0CF6" w:rsidRDefault="003F0CF6" w14:paraId="36150978" w14:textId="77777777">
      <w:pPr>
        <w:pStyle w:val="ListBullet"/>
        <w:spacing w:after="40"/>
        <w:rPr>
          <w:rFonts w:ascii="Verdana" w:hAnsi="Verdana" w:cs="Arial"/>
          <w:sz w:val="24"/>
          <w:szCs w:val="24"/>
        </w:rPr>
      </w:pPr>
      <w:r w:rsidRPr="00FB0A09">
        <w:rPr>
          <w:rFonts w:ascii="Verdana" w:hAnsi="Verdana" w:cs="Arial"/>
          <w:sz w:val="24"/>
          <w:szCs w:val="24"/>
        </w:rPr>
        <w:t>Winter planning modelling, pressure assessment and mitigation reporting.</w:t>
      </w:r>
    </w:p>
    <w:p w:rsidRPr="00FB0A09" w:rsidR="003F0CF6" w:rsidP="003F0CF6" w:rsidRDefault="003F0CF6" w14:paraId="60190E71" w14:textId="77777777">
      <w:pPr>
        <w:pStyle w:val="ListBullet"/>
        <w:spacing w:after="40"/>
        <w:rPr>
          <w:rFonts w:ascii="Verdana" w:hAnsi="Verdana" w:cs="Arial"/>
          <w:sz w:val="24"/>
          <w:szCs w:val="24"/>
        </w:rPr>
      </w:pPr>
      <w:r w:rsidRPr="00FB0A09">
        <w:rPr>
          <w:rFonts w:ascii="Verdana" w:hAnsi="Verdana" w:cs="Arial"/>
          <w:sz w:val="24"/>
          <w:szCs w:val="24"/>
        </w:rPr>
        <w:t>D2RA pathway-allocation analysis and Red2Green coordination, validation, data-quality and governance support.</w:t>
      </w:r>
    </w:p>
    <w:p w:rsidRPr="00FB0A09" w:rsidR="003F0CF6" w:rsidP="003F0CF6" w:rsidRDefault="003F0CF6" w14:paraId="3C4BFAB0" w14:textId="77777777">
      <w:pPr>
        <w:pStyle w:val="ListBullet"/>
        <w:spacing w:after="40"/>
        <w:rPr>
          <w:rFonts w:ascii="Verdana" w:hAnsi="Verdana" w:cs="Arial"/>
          <w:sz w:val="24"/>
          <w:szCs w:val="24"/>
        </w:rPr>
      </w:pPr>
      <w:r w:rsidRPr="00FB0A09">
        <w:rPr>
          <w:rFonts w:ascii="Verdana" w:hAnsi="Verdana" w:cs="Arial"/>
          <w:sz w:val="24"/>
          <w:szCs w:val="24"/>
        </w:rPr>
        <w:t>ED and time-to-assessment enhancements with operational and clinical leads.</w:t>
      </w:r>
    </w:p>
    <w:p w:rsidRPr="00FB0A09" w:rsidR="003F0CF6" w:rsidP="003F0CF6" w:rsidRDefault="003F0CF6" w14:paraId="49DD1285" w14:textId="77777777">
      <w:pPr>
        <w:pStyle w:val="ListBullet"/>
        <w:spacing w:after="40"/>
        <w:rPr>
          <w:rFonts w:ascii="Verdana" w:hAnsi="Verdana" w:cs="Arial"/>
          <w:sz w:val="24"/>
          <w:szCs w:val="24"/>
        </w:rPr>
      </w:pPr>
      <w:r w:rsidRPr="00FB0A09">
        <w:rPr>
          <w:rFonts w:ascii="Verdana" w:hAnsi="Verdana" w:cs="Arial"/>
          <w:sz w:val="24"/>
          <w:szCs w:val="24"/>
        </w:rPr>
        <w:t>Winter planning, scenario modelling and mitigation development.</w:t>
      </w:r>
    </w:p>
    <w:p w:rsidRPr="00FB0A09" w:rsidR="003F0CF6" w:rsidP="003F0CF6" w:rsidRDefault="003F0CF6" w14:paraId="411C5753" w14:textId="77777777">
      <w:pPr>
        <w:pStyle w:val="ListBullet"/>
        <w:spacing w:after="40"/>
        <w:rPr>
          <w:rFonts w:ascii="Verdana" w:hAnsi="Verdana" w:cs="Arial"/>
          <w:sz w:val="24"/>
          <w:szCs w:val="24"/>
        </w:rPr>
      </w:pPr>
      <w:r w:rsidRPr="00FB0A09">
        <w:rPr>
          <w:rFonts w:ascii="Verdana" w:hAnsi="Verdana" w:cs="Arial"/>
          <w:sz w:val="24"/>
          <w:szCs w:val="24"/>
        </w:rPr>
        <w:t>Review of the three UEC pillars and potential bed-equivalent impact; summer and winter cohort analysis.</w:t>
      </w:r>
    </w:p>
    <w:p w:rsidRPr="00FB0A09" w:rsidR="003F0CF6" w:rsidP="003F0CF6" w:rsidRDefault="003F0CF6" w14:paraId="774EF147" w14:textId="77777777">
      <w:pPr>
        <w:pStyle w:val="ListBullet"/>
        <w:spacing w:after="40"/>
        <w:rPr>
          <w:rFonts w:ascii="Verdana" w:hAnsi="Verdana" w:cs="Arial"/>
          <w:sz w:val="24"/>
          <w:szCs w:val="24"/>
        </w:rPr>
      </w:pPr>
      <w:r w:rsidRPr="00FB0A09">
        <w:rPr>
          <w:rFonts w:ascii="Verdana" w:hAnsi="Verdana" w:cs="Arial"/>
          <w:sz w:val="24"/>
          <w:szCs w:val="24"/>
        </w:rPr>
        <w:lastRenderedPageBreak/>
        <w:t>OPAU reporting restoration and bespoke ED cohort analysis.</w:t>
      </w:r>
    </w:p>
    <w:p w:rsidRPr="00FB0A09" w:rsidR="003F0CF6" w:rsidP="003F0CF6" w:rsidRDefault="003F0CF6" w14:paraId="2A8B20BD" w14:textId="77777777">
      <w:pPr>
        <w:pStyle w:val="Heading2"/>
        <w:spacing w:after="40"/>
        <w:rPr>
          <w:rFonts w:ascii="Verdana" w:hAnsi="Verdana" w:cs="Arial"/>
          <w:sz w:val="24"/>
          <w:szCs w:val="24"/>
        </w:rPr>
      </w:pPr>
      <w:r w:rsidRPr="00FB0A09">
        <w:rPr>
          <w:rFonts w:ascii="Verdana" w:hAnsi="Verdana" w:cs="Arial"/>
          <w:sz w:val="24"/>
          <w:szCs w:val="24"/>
        </w:rPr>
        <w:t>Women and Children and Corporate Services</w:t>
      </w:r>
    </w:p>
    <w:p w:rsidRPr="00FB0A09" w:rsidR="003F0CF6" w:rsidP="003F0CF6" w:rsidRDefault="003F0CF6" w14:paraId="3673B486" w14:textId="77777777">
      <w:pPr>
        <w:pStyle w:val="ListBullet"/>
        <w:spacing w:after="40"/>
        <w:rPr>
          <w:rFonts w:ascii="Verdana" w:hAnsi="Verdana" w:cs="Arial"/>
          <w:sz w:val="24"/>
          <w:szCs w:val="24"/>
        </w:rPr>
      </w:pPr>
      <w:r w:rsidRPr="00FB0A09">
        <w:rPr>
          <w:rFonts w:ascii="Verdana" w:hAnsi="Verdana" w:cs="Arial"/>
          <w:sz w:val="24"/>
          <w:szCs w:val="24"/>
        </w:rPr>
        <w:t>Quality and safety support covering Listening to People, safeguarding, health and safety and fire-risk assessment.</w:t>
      </w:r>
    </w:p>
    <w:p w:rsidRPr="00FB0A09" w:rsidR="003F0CF6" w:rsidP="003F0CF6" w:rsidRDefault="003F0CF6" w14:paraId="0FE1458F" w14:textId="77777777">
      <w:pPr>
        <w:pStyle w:val="ListBullet"/>
        <w:spacing w:after="40"/>
        <w:rPr>
          <w:rFonts w:ascii="Verdana" w:hAnsi="Verdana" w:cs="Arial"/>
          <w:sz w:val="24"/>
          <w:szCs w:val="24"/>
        </w:rPr>
      </w:pPr>
      <w:r w:rsidRPr="00FB0A09">
        <w:rPr>
          <w:rFonts w:ascii="Verdana" w:hAnsi="Verdana" w:cs="Arial"/>
          <w:sz w:val="24"/>
          <w:szCs w:val="24"/>
        </w:rPr>
        <w:t>Maternity system mapping and development of the requested perinatal improvement dashboard.</w:t>
      </w:r>
    </w:p>
    <w:p w:rsidRPr="00FB0A09" w:rsidR="003F0CF6" w:rsidP="003F0CF6" w:rsidRDefault="003F0CF6" w14:paraId="5036405C" w14:textId="77777777">
      <w:pPr>
        <w:pStyle w:val="ListBullet"/>
        <w:spacing w:after="40"/>
        <w:rPr>
          <w:rFonts w:ascii="Verdana" w:hAnsi="Verdana" w:cs="Arial"/>
          <w:sz w:val="24"/>
          <w:szCs w:val="24"/>
        </w:rPr>
      </w:pPr>
      <w:r w:rsidRPr="00FB0A09">
        <w:rPr>
          <w:rFonts w:ascii="Verdana" w:hAnsi="Verdana" w:cs="Arial"/>
          <w:sz w:val="24"/>
          <w:szCs w:val="24"/>
        </w:rPr>
        <w:t>Operational Datix risk dashboard for executive and Service Group scrutiny.</w:t>
      </w:r>
    </w:p>
    <w:p w:rsidRPr="00FB0A09" w:rsidR="003F0CF6" w:rsidP="003F0CF6" w:rsidRDefault="003F0CF6" w14:paraId="4C4FF937" w14:textId="77777777">
      <w:pPr>
        <w:pStyle w:val="Heading2"/>
        <w:rPr>
          <w:rFonts w:ascii="Verdana" w:hAnsi="Verdana" w:cs="Arial"/>
          <w:sz w:val="24"/>
          <w:szCs w:val="24"/>
        </w:rPr>
      </w:pPr>
      <w:r w:rsidRPr="00FB0A09">
        <w:rPr>
          <w:rFonts w:ascii="Verdana" w:hAnsi="Verdana" w:cs="Arial"/>
          <w:sz w:val="24"/>
          <w:szCs w:val="24"/>
        </w:rPr>
        <w:t xml:space="preserve">Planned Care and Population Health </w:t>
      </w:r>
    </w:p>
    <w:p w:rsidRPr="00FB0A09" w:rsidR="003F0CF6" w:rsidP="003F0CF6" w:rsidRDefault="003F0CF6" w14:paraId="33188D1F" w14:textId="77777777">
      <w:pPr>
        <w:pStyle w:val="ListBullet"/>
        <w:spacing w:after="40"/>
        <w:rPr>
          <w:rFonts w:ascii="Verdana" w:hAnsi="Verdana" w:cs="Arial"/>
          <w:sz w:val="24"/>
          <w:szCs w:val="24"/>
        </w:rPr>
      </w:pPr>
      <w:r w:rsidRPr="00FB0A09">
        <w:rPr>
          <w:rFonts w:ascii="Verdana" w:hAnsi="Verdana" w:cs="Arial"/>
          <w:sz w:val="24"/>
          <w:szCs w:val="24"/>
        </w:rPr>
        <w:t>Structured Query Language (SQL) and large-language-model approaches to waiting-list validation and automation.</w:t>
      </w:r>
    </w:p>
    <w:p w:rsidRPr="00FB0A09" w:rsidR="003F0CF6" w:rsidP="003F0CF6" w:rsidRDefault="003F0CF6" w14:paraId="4FEAA571" w14:textId="77777777">
      <w:pPr>
        <w:pStyle w:val="ListBullet"/>
        <w:spacing w:after="40"/>
        <w:rPr>
          <w:rFonts w:ascii="Verdana" w:hAnsi="Verdana" w:cs="Arial"/>
          <w:sz w:val="24"/>
          <w:szCs w:val="24"/>
        </w:rPr>
      </w:pPr>
      <w:r w:rsidRPr="00FB0A09">
        <w:rPr>
          <w:rFonts w:ascii="Verdana" w:hAnsi="Verdana" w:cs="Arial"/>
          <w:sz w:val="24"/>
          <w:szCs w:val="24"/>
        </w:rPr>
        <w:t>Immunisation reporting for COVID-19, influenza, staff influenza, Meningococcal Group B (</w:t>
      </w:r>
      <w:proofErr w:type="spellStart"/>
      <w:r w:rsidRPr="00FB0A09">
        <w:rPr>
          <w:rFonts w:ascii="Verdana" w:hAnsi="Verdana" w:cs="Arial"/>
          <w:sz w:val="24"/>
          <w:szCs w:val="24"/>
        </w:rPr>
        <w:t>MenB</w:t>
      </w:r>
      <w:proofErr w:type="spellEnd"/>
      <w:r w:rsidRPr="00FB0A09">
        <w:rPr>
          <w:rFonts w:ascii="Verdana" w:hAnsi="Verdana" w:cs="Arial"/>
          <w:sz w:val="24"/>
          <w:szCs w:val="24"/>
        </w:rPr>
        <w:t>) and Respiratory Syncytial Virus (RSV).</w:t>
      </w:r>
    </w:p>
    <w:p w:rsidRPr="00FB0A09" w:rsidR="003F0CF6" w:rsidP="003F0CF6" w:rsidRDefault="003F0CF6" w14:paraId="77D9CF51" w14:textId="77777777">
      <w:pPr>
        <w:pStyle w:val="ListBullet"/>
        <w:spacing w:after="40"/>
        <w:rPr>
          <w:rFonts w:ascii="Verdana" w:hAnsi="Verdana" w:cs="Arial"/>
          <w:sz w:val="24"/>
          <w:szCs w:val="24"/>
        </w:rPr>
      </w:pPr>
      <w:r w:rsidRPr="00FB0A09">
        <w:rPr>
          <w:rFonts w:ascii="Verdana" w:hAnsi="Verdana" w:cs="Arial"/>
          <w:sz w:val="24"/>
          <w:szCs w:val="24"/>
        </w:rPr>
        <w:t>Whole-system SIMUL8 bed modelling for demand and capacity planning.</w:t>
      </w:r>
    </w:p>
    <w:p w:rsidRPr="00FB0A09" w:rsidR="003F0CF6" w:rsidP="003F0CF6" w:rsidRDefault="003F0CF6" w14:paraId="79F34C82" w14:textId="77777777">
      <w:pPr>
        <w:pStyle w:val="ListBullet"/>
        <w:spacing w:after="40"/>
        <w:rPr>
          <w:rFonts w:ascii="Verdana" w:hAnsi="Verdana" w:cs="Arial"/>
          <w:sz w:val="24"/>
          <w:szCs w:val="24"/>
        </w:rPr>
      </w:pPr>
      <w:r w:rsidRPr="00FB0A09">
        <w:rPr>
          <w:rFonts w:ascii="Verdana" w:hAnsi="Verdana" w:cs="Arial"/>
          <w:sz w:val="24"/>
          <w:szCs w:val="24"/>
        </w:rPr>
        <w:t>Quantitative planning and analysis for the Planned Care programme.</w:t>
      </w:r>
    </w:p>
    <w:p w:rsidRPr="00FB0A09" w:rsidR="003F0CF6" w:rsidP="003F0CF6" w:rsidRDefault="003F0CF6" w14:paraId="05CB219F" w14:textId="77777777">
      <w:pPr>
        <w:pStyle w:val="ListBullet"/>
        <w:spacing w:after="40"/>
        <w:rPr>
          <w:rFonts w:ascii="Verdana" w:hAnsi="Verdana" w:cs="Arial"/>
          <w:sz w:val="24"/>
          <w:szCs w:val="24"/>
        </w:rPr>
      </w:pPr>
      <w:r w:rsidRPr="00FB0A09">
        <w:rPr>
          <w:rFonts w:ascii="Verdana" w:hAnsi="Verdana" w:cs="Arial"/>
          <w:sz w:val="24"/>
          <w:szCs w:val="24"/>
        </w:rPr>
        <w:t>Performance management through RTT and cancer meetings.</w:t>
      </w:r>
    </w:p>
    <w:p w:rsidRPr="00FB0A09" w:rsidR="003F0CF6" w:rsidP="003F0CF6" w:rsidRDefault="003F0CF6" w14:paraId="5CD5971E" w14:textId="77777777">
      <w:pPr>
        <w:pStyle w:val="ListBullet"/>
        <w:spacing w:after="40"/>
        <w:rPr>
          <w:rFonts w:ascii="Verdana" w:hAnsi="Verdana" w:cs="Arial"/>
          <w:sz w:val="24"/>
          <w:szCs w:val="24"/>
        </w:rPr>
      </w:pPr>
      <w:r w:rsidRPr="00FB0A09">
        <w:rPr>
          <w:rFonts w:ascii="Verdana" w:hAnsi="Verdana" w:cs="Arial"/>
          <w:sz w:val="24"/>
          <w:szCs w:val="24"/>
        </w:rPr>
        <w:t>Standard operating procedure for scrutiny of additional sessions, productivity and reliance on premium capacity.</w:t>
      </w:r>
    </w:p>
    <w:p w:rsidRPr="00FB0A09" w:rsidR="003F0CF6" w:rsidP="003F0CF6" w:rsidRDefault="003F0CF6" w14:paraId="0913493F" w14:textId="77777777">
      <w:pPr>
        <w:pStyle w:val="ListBullet"/>
        <w:spacing w:after="40"/>
        <w:rPr>
          <w:rFonts w:ascii="Verdana" w:hAnsi="Verdana" w:cs="Arial"/>
          <w:sz w:val="24"/>
          <w:szCs w:val="24"/>
        </w:rPr>
      </w:pPr>
      <w:r w:rsidRPr="00FB0A09">
        <w:rPr>
          <w:rFonts w:ascii="Verdana" w:hAnsi="Verdana" w:cs="Arial"/>
          <w:sz w:val="24"/>
          <w:szCs w:val="24"/>
        </w:rPr>
        <w:t>Improvement of the 6-4-2 theatre arrangements.</w:t>
      </w:r>
    </w:p>
    <w:p w:rsidRPr="00FB0A09" w:rsidR="003F0CF6" w:rsidP="003F0CF6" w:rsidRDefault="003F0CF6" w14:paraId="43EDA637" w14:textId="77777777">
      <w:pPr>
        <w:spacing w:after="0" w:line="240" w:lineRule="auto"/>
        <w:ind w:right="96"/>
        <w:jc w:val="both"/>
        <w:rPr>
          <w:rFonts w:ascii="Verdana" w:hAnsi="Verdana" w:cs="Arial"/>
          <w:bCs/>
          <w:sz w:val="24"/>
          <w:szCs w:val="24"/>
        </w:rPr>
      </w:pPr>
    </w:p>
    <w:p w:rsidRPr="00FB0A09" w:rsidR="003F0CF6" w:rsidP="003F0CF6" w:rsidRDefault="003F0CF6" w14:paraId="0F0E6BE4" w14:textId="77777777">
      <w:pPr>
        <w:spacing w:after="0" w:line="240" w:lineRule="auto"/>
        <w:ind w:right="96"/>
        <w:jc w:val="both"/>
        <w:rPr>
          <w:rFonts w:ascii="Verdana" w:hAnsi="Verdana" w:cs="Arial"/>
          <w:sz w:val="24"/>
          <w:szCs w:val="24"/>
          <w:u w:val="single"/>
        </w:rPr>
      </w:pPr>
      <w:r w:rsidRPr="00FB0A09">
        <w:rPr>
          <w:rFonts w:ascii="Verdana" w:hAnsi="Verdana" w:cs="Arial"/>
          <w:sz w:val="24"/>
          <w:szCs w:val="24"/>
          <w:u w:val="single"/>
        </w:rPr>
        <w:t>Planned Care detailed analytical and dashboard pipeline</w:t>
      </w:r>
    </w:p>
    <w:p w:rsidRPr="00FB0A09" w:rsidR="003F0CF6" w:rsidP="003F0CF6" w:rsidRDefault="003F0CF6" w14:paraId="374DD07D" w14:textId="77777777">
      <w:pPr>
        <w:spacing w:after="0" w:line="240" w:lineRule="auto"/>
        <w:ind w:right="96"/>
        <w:jc w:val="both"/>
        <w:rPr>
          <w:rFonts w:ascii="Verdana" w:hAnsi="Verdana" w:cs="Arial"/>
          <w:i/>
          <w:iCs/>
          <w:sz w:val="24"/>
          <w:szCs w:val="24"/>
          <w:u w:val="single"/>
        </w:rPr>
      </w:pPr>
    </w:p>
    <w:tbl>
      <w:tblPr>
        <w:tblStyle w:val="TableGrid"/>
        <w:tblW w:w="0" w:type="auto"/>
        <w:jc w:val="center"/>
        <w:tblLook w:val="04A0" w:firstRow="1" w:lastRow="0" w:firstColumn="1" w:lastColumn="0" w:noHBand="0" w:noVBand="1"/>
      </w:tblPr>
      <w:tblGrid>
        <w:gridCol w:w="2871"/>
        <w:gridCol w:w="3004"/>
        <w:gridCol w:w="3141"/>
      </w:tblGrid>
      <w:tr w:rsidRPr="00FB0A09" w:rsidR="003F0CF6" w:rsidTr="00987510" w14:paraId="4F8D9BD7" w14:textId="77777777">
        <w:trPr>
          <w:cantSplit/>
          <w:tblHeader/>
          <w:jc w:val="center"/>
        </w:trPr>
        <w:tc>
          <w:tcPr>
            <w:tcW w:w="3456" w:type="dxa"/>
            <w:shd w:val="clear" w:color="auto" w:fill="1C365D"/>
            <w:tcMar>
              <w:top w:w="80" w:type="dxa"/>
              <w:left w:w="80" w:type="dxa"/>
              <w:bottom w:w="80" w:type="dxa"/>
              <w:right w:w="80" w:type="dxa"/>
            </w:tcMar>
            <w:vAlign w:val="center"/>
          </w:tcPr>
          <w:p w:rsidRPr="00FB0A09" w:rsidR="003F0CF6" w:rsidP="00987510" w:rsidRDefault="003F0CF6" w14:paraId="3F4409E7" w14:textId="77777777">
            <w:pPr>
              <w:rPr>
                <w:rFonts w:ascii="Verdana" w:hAnsi="Verdana" w:cs="Arial"/>
                <w:sz w:val="24"/>
                <w:szCs w:val="24"/>
              </w:rPr>
            </w:pPr>
            <w:r w:rsidRPr="00FB0A09">
              <w:rPr>
                <w:rFonts w:ascii="Verdana" w:hAnsi="Verdana" w:cs="Arial"/>
                <w:b/>
                <w:color w:val="FFFFFF"/>
                <w:sz w:val="24"/>
                <w:szCs w:val="24"/>
              </w:rPr>
              <w:t>Workstream</w:t>
            </w:r>
          </w:p>
        </w:tc>
        <w:tc>
          <w:tcPr>
            <w:tcW w:w="3456" w:type="dxa"/>
            <w:shd w:val="clear" w:color="auto" w:fill="1C365D"/>
            <w:tcMar>
              <w:top w:w="80" w:type="dxa"/>
              <w:left w:w="80" w:type="dxa"/>
              <w:bottom w:w="80" w:type="dxa"/>
              <w:right w:w="80" w:type="dxa"/>
            </w:tcMar>
            <w:vAlign w:val="center"/>
          </w:tcPr>
          <w:p w:rsidRPr="00FB0A09" w:rsidR="003F0CF6" w:rsidP="00987510" w:rsidRDefault="003F0CF6" w14:paraId="303CA921" w14:textId="77777777">
            <w:pPr>
              <w:rPr>
                <w:rFonts w:ascii="Verdana" w:hAnsi="Verdana" w:cs="Arial"/>
                <w:sz w:val="24"/>
                <w:szCs w:val="24"/>
              </w:rPr>
            </w:pPr>
            <w:r w:rsidRPr="00FB0A09">
              <w:rPr>
                <w:rFonts w:ascii="Verdana" w:hAnsi="Verdana" w:cs="Arial"/>
                <w:b/>
                <w:color w:val="FFFFFF"/>
                <w:sz w:val="24"/>
                <w:szCs w:val="24"/>
              </w:rPr>
              <w:t>Current analytical / BI contribution</w:t>
            </w:r>
          </w:p>
        </w:tc>
        <w:tc>
          <w:tcPr>
            <w:tcW w:w="3456" w:type="dxa"/>
            <w:shd w:val="clear" w:color="auto" w:fill="1C365D"/>
            <w:tcMar>
              <w:top w:w="80" w:type="dxa"/>
              <w:left w:w="80" w:type="dxa"/>
              <w:bottom w:w="80" w:type="dxa"/>
              <w:right w:w="80" w:type="dxa"/>
            </w:tcMar>
            <w:vAlign w:val="center"/>
          </w:tcPr>
          <w:p w:rsidRPr="00FB0A09" w:rsidR="003F0CF6" w:rsidP="00987510" w:rsidRDefault="003F0CF6" w14:paraId="22311209" w14:textId="77777777">
            <w:pPr>
              <w:rPr>
                <w:rFonts w:ascii="Verdana" w:hAnsi="Verdana" w:cs="Arial"/>
                <w:sz w:val="24"/>
                <w:szCs w:val="24"/>
              </w:rPr>
            </w:pPr>
            <w:r w:rsidRPr="00FB0A09">
              <w:rPr>
                <w:rFonts w:ascii="Verdana" w:hAnsi="Verdana" w:cs="Arial"/>
                <w:b/>
                <w:color w:val="FFFFFF"/>
                <w:sz w:val="24"/>
                <w:szCs w:val="24"/>
              </w:rPr>
              <w:t>Intended delivery contribution</w:t>
            </w:r>
          </w:p>
        </w:tc>
      </w:tr>
      <w:tr w:rsidRPr="00FB0A09" w:rsidR="003F0CF6" w:rsidTr="00987510" w14:paraId="6CAC6EB9"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06A06645" w14:textId="77777777">
            <w:pPr>
              <w:rPr>
                <w:rFonts w:ascii="Verdana" w:hAnsi="Verdana" w:cs="Arial"/>
                <w:sz w:val="24"/>
                <w:szCs w:val="24"/>
              </w:rPr>
            </w:pPr>
            <w:r w:rsidRPr="00FB0A09">
              <w:rPr>
                <w:rFonts w:ascii="Verdana" w:hAnsi="Verdana" w:cs="Arial"/>
                <w:sz w:val="24"/>
                <w:szCs w:val="24"/>
              </w:rPr>
              <w:t>Pre-surgical pathway</w:t>
            </w:r>
          </w:p>
        </w:tc>
        <w:tc>
          <w:tcPr>
            <w:tcW w:w="3456" w:type="dxa"/>
            <w:tcMar>
              <w:top w:w="80" w:type="dxa"/>
              <w:left w:w="80" w:type="dxa"/>
              <w:bottom w:w="80" w:type="dxa"/>
              <w:right w:w="80" w:type="dxa"/>
            </w:tcMar>
            <w:vAlign w:val="center"/>
          </w:tcPr>
          <w:p w:rsidRPr="00FB0A09" w:rsidR="003F0CF6" w:rsidP="00987510" w:rsidRDefault="003F0CF6" w14:paraId="52800C67" w14:textId="77777777">
            <w:pPr>
              <w:rPr>
                <w:rFonts w:ascii="Verdana" w:hAnsi="Verdana" w:cs="Arial"/>
                <w:sz w:val="24"/>
                <w:szCs w:val="24"/>
              </w:rPr>
            </w:pPr>
            <w:r w:rsidRPr="00FB0A09">
              <w:rPr>
                <w:rFonts w:ascii="Verdana" w:hAnsi="Verdana" w:cs="Arial"/>
                <w:sz w:val="24"/>
                <w:szCs w:val="24"/>
              </w:rPr>
              <w:t>Theatre activity split by anaesthetic type and specialty; Pre-Operative Assessment Clinic (POAC)/Removal Other Than Treatment (ROTT) views; electronic Health Screening Questionnaire and Key Performance Indicators; Required Delivery Time Order (RDTO) queue and feedback loop.</w:t>
            </w:r>
          </w:p>
        </w:tc>
        <w:tc>
          <w:tcPr>
            <w:tcW w:w="3456" w:type="dxa"/>
            <w:tcMar>
              <w:top w:w="80" w:type="dxa"/>
              <w:left w:w="80" w:type="dxa"/>
              <w:bottom w:w="80" w:type="dxa"/>
              <w:right w:w="80" w:type="dxa"/>
            </w:tcMar>
            <w:vAlign w:val="center"/>
          </w:tcPr>
          <w:p w:rsidRPr="00FB0A09" w:rsidR="003F0CF6" w:rsidP="00987510" w:rsidRDefault="003F0CF6" w14:paraId="1568B31F" w14:textId="77777777">
            <w:pPr>
              <w:rPr>
                <w:rFonts w:ascii="Verdana" w:hAnsi="Verdana" w:cs="Arial"/>
                <w:sz w:val="24"/>
                <w:szCs w:val="24"/>
              </w:rPr>
            </w:pPr>
            <w:r w:rsidRPr="00FB0A09">
              <w:rPr>
                <w:rFonts w:ascii="Verdana" w:hAnsi="Verdana" w:cs="Arial"/>
                <w:sz w:val="24"/>
                <w:szCs w:val="24"/>
              </w:rPr>
              <w:t>Capacity matched to surgical demand, prioritisation and fewer expired pre-assessments.</w:t>
            </w:r>
          </w:p>
        </w:tc>
      </w:tr>
      <w:tr w:rsidRPr="00FB0A09" w:rsidR="003F0CF6" w:rsidTr="00987510" w14:paraId="4BE89894"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2E208D78" w14:textId="77777777">
            <w:pPr>
              <w:rPr>
                <w:rFonts w:ascii="Verdana" w:hAnsi="Verdana" w:cs="Arial"/>
                <w:sz w:val="24"/>
                <w:szCs w:val="24"/>
              </w:rPr>
            </w:pPr>
            <w:r w:rsidRPr="00FB0A09">
              <w:rPr>
                <w:rFonts w:ascii="Verdana" w:hAnsi="Verdana" w:cs="Arial"/>
                <w:sz w:val="24"/>
                <w:szCs w:val="24"/>
              </w:rPr>
              <w:lastRenderedPageBreak/>
              <w:t>52 and 104 weeks</w:t>
            </w:r>
          </w:p>
        </w:tc>
        <w:tc>
          <w:tcPr>
            <w:tcW w:w="3456" w:type="dxa"/>
            <w:tcMar>
              <w:top w:w="80" w:type="dxa"/>
              <w:left w:w="80" w:type="dxa"/>
              <w:bottom w:w="80" w:type="dxa"/>
              <w:right w:w="80" w:type="dxa"/>
            </w:tcMar>
            <w:vAlign w:val="center"/>
          </w:tcPr>
          <w:p w:rsidRPr="00FB0A09" w:rsidR="003F0CF6" w:rsidP="00987510" w:rsidRDefault="003F0CF6" w14:paraId="31DFFB8D" w14:textId="77777777">
            <w:pPr>
              <w:rPr>
                <w:rFonts w:ascii="Verdana" w:hAnsi="Verdana" w:cs="Arial"/>
                <w:sz w:val="24"/>
                <w:szCs w:val="24"/>
              </w:rPr>
            </w:pPr>
            <w:r w:rsidRPr="00FB0A09">
              <w:rPr>
                <w:rFonts w:ascii="Verdana" w:hAnsi="Verdana" w:cs="Arial"/>
                <w:sz w:val="24"/>
                <w:szCs w:val="24"/>
              </w:rPr>
              <w:t>Updated trajectories and returns; recovery funding surveillance; theatre waste and reallocation views.</w:t>
            </w:r>
          </w:p>
        </w:tc>
        <w:tc>
          <w:tcPr>
            <w:tcW w:w="3456" w:type="dxa"/>
            <w:tcMar>
              <w:top w:w="80" w:type="dxa"/>
              <w:left w:w="80" w:type="dxa"/>
              <w:bottom w:w="80" w:type="dxa"/>
              <w:right w:w="80" w:type="dxa"/>
            </w:tcMar>
            <w:vAlign w:val="center"/>
          </w:tcPr>
          <w:p w:rsidRPr="00FB0A09" w:rsidR="003F0CF6" w:rsidP="00987510" w:rsidRDefault="003F0CF6" w14:paraId="78C22A95" w14:textId="77777777">
            <w:pPr>
              <w:rPr>
                <w:rFonts w:ascii="Verdana" w:hAnsi="Verdana" w:cs="Arial"/>
                <w:sz w:val="24"/>
                <w:szCs w:val="24"/>
              </w:rPr>
            </w:pPr>
            <w:r w:rsidRPr="00FB0A09">
              <w:rPr>
                <w:rFonts w:ascii="Verdana" w:hAnsi="Verdana" w:cs="Arial"/>
                <w:sz w:val="24"/>
                <w:szCs w:val="24"/>
              </w:rPr>
              <w:t>Improved pathway control, scrutiny of additional money and visibility of lost opportunities.</w:t>
            </w:r>
          </w:p>
        </w:tc>
      </w:tr>
      <w:tr w:rsidRPr="00FB0A09" w:rsidR="003F0CF6" w:rsidTr="00987510" w14:paraId="64F8CA5D"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353248BF" w14:textId="77777777">
            <w:pPr>
              <w:rPr>
                <w:rFonts w:ascii="Verdana" w:hAnsi="Verdana" w:cs="Arial"/>
                <w:sz w:val="24"/>
                <w:szCs w:val="24"/>
              </w:rPr>
            </w:pPr>
            <w:r w:rsidRPr="00FB0A09">
              <w:rPr>
                <w:rFonts w:ascii="Verdana" w:hAnsi="Verdana" w:cs="Arial"/>
                <w:sz w:val="24"/>
                <w:szCs w:val="24"/>
              </w:rPr>
              <w:t>Endoscopy and 8-week diagnostics</w:t>
            </w:r>
          </w:p>
        </w:tc>
        <w:tc>
          <w:tcPr>
            <w:tcW w:w="3456" w:type="dxa"/>
            <w:tcMar>
              <w:top w:w="80" w:type="dxa"/>
              <w:left w:w="80" w:type="dxa"/>
              <w:bottom w:w="80" w:type="dxa"/>
              <w:right w:w="80" w:type="dxa"/>
            </w:tcMar>
            <w:vAlign w:val="center"/>
          </w:tcPr>
          <w:p w:rsidRPr="00FB0A09" w:rsidR="003F0CF6" w:rsidP="00987510" w:rsidRDefault="003F0CF6" w14:paraId="651D9F33" w14:textId="77777777">
            <w:pPr>
              <w:rPr>
                <w:rFonts w:ascii="Verdana" w:hAnsi="Verdana" w:cs="Arial"/>
                <w:sz w:val="24"/>
                <w:szCs w:val="24"/>
              </w:rPr>
            </w:pPr>
            <w:r w:rsidRPr="00FB0A09">
              <w:rPr>
                <w:rFonts w:ascii="Verdana" w:hAnsi="Verdana" w:cs="Arial"/>
                <w:sz w:val="24"/>
                <w:szCs w:val="24"/>
              </w:rPr>
              <w:t>Radiology Vitals validation; recovery tracking against plan and funding; refreshed endoscopy trajectories.</w:t>
            </w:r>
          </w:p>
        </w:tc>
        <w:tc>
          <w:tcPr>
            <w:tcW w:w="3456" w:type="dxa"/>
            <w:tcMar>
              <w:top w:w="80" w:type="dxa"/>
              <w:left w:w="80" w:type="dxa"/>
              <w:bottom w:w="80" w:type="dxa"/>
              <w:right w:w="80" w:type="dxa"/>
            </w:tcMar>
            <w:vAlign w:val="center"/>
          </w:tcPr>
          <w:p w:rsidRPr="00FB0A09" w:rsidR="003F0CF6" w:rsidP="00987510" w:rsidRDefault="003F0CF6" w14:paraId="3C71633C" w14:textId="77777777">
            <w:pPr>
              <w:rPr>
                <w:rFonts w:ascii="Verdana" w:hAnsi="Verdana" w:cs="Arial"/>
                <w:sz w:val="24"/>
                <w:szCs w:val="24"/>
              </w:rPr>
            </w:pPr>
            <w:r w:rsidRPr="00FB0A09">
              <w:rPr>
                <w:rFonts w:ascii="Verdana" w:hAnsi="Verdana" w:cs="Arial"/>
                <w:sz w:val="24"/>
                <w:szCs w:val="24"/>
              </w:rPr>
              <w:t>Reliable recovery assurance and earlier identification of variance.</w:t>
            </w:r>
          </w:p>
        </w:tc>
      </w:tr>
      <w:tr w:rsidRPr="00FB0A09" w:rsidR="003F0CF6" w:rsidTr="00987510" w14:paraId="1EA8A2BE"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37783C42" w14:textId="77777777">
            <w:pPr>
              <w:rPr>
                <w:rFonts w:ascii="Verdana" w:hAnsi="Verdana" w:cs="Arial"/>
                <w:sz w:val="24"/>
                <w:szCs w:val="24"/>
              </w:rPr>
            </w:pPr>
            <w:r w:rsidRPr="00FB0A09">
              <w:rPr>
                <w:rFonts w:ascii="Verdana" w:hAnsi="Verdana" w:cs="Arial"/>
                <w:sz w:val="24"/>
                <w:szCs w:val="24"/>
              </w:rPr>
              <w:t>Cellular Pathology</w:t>
            </w:r>
          </w:p>
        </w:tc>
        <w:tc>
          <w:tcPr>
            <w:tcW w:w="3456" w:type="dxa"/>
            <w:tcMar>
              <w:top w:w="80" w:type="dxa"/>
              <w:left w:w="80" w:type="dxa"/>
              <w:bottom w:w="80" w:type="dxa"/>
              <w:right w:w="80" w:type="dxa"/>
            </w:tcMar>
            <w:vAlign w:val="center"/>
          </w:tcPr>
          <w:p w:rsidRPr="00FB0A09" w:rsidR="003F0CF6" w:rsidP="00987510" w:rsidRDefault="003F0CF6" w14:paraId="1AAC8E17" w14:textId="77777777">
            <w:pPr>
              <w:rPr>
                <w:rFonts w:ascii="Verdana" w:hAnsi="Verdana" w:cs="Arial"/>
                <w:sz w:val="24"/>
                <w:szCs w:val="24"/>
              </w:rPr>
            </w:pPr>
            <w:r w:rsidRPr="00FB0A09">
              <w:rPr>
                <w:rFonts w:ascii="Verdana" w:hAnsi="Verdana" w:cs="Arial"/>
                <w:sz w:val="24"/>
                <w:szCs w:val="24"/>
              </w:rPr>
              <w:t>Design and verification of Cellular Pathology views; readiness for Vitals development.</w:t>
            </w:r>
          </w:p>
        </w:tc>
        <w:tc>
          <w:tcPr>
            <w:tcW w:w="3456" w:type="dxa"/>
            <w:tcMar>
              <w:top w:w="80" w:type="dxa"/>
              <w:left w:w="80" w:type="dxa"/>
              <w:bottom w:w="80" w:type="dxa"/>
              <w:right w:w="80" w:type="dxa"/>
            </w:tcMar>
            <w:vAlign w:val="center"/>
          </w:tcPr>
          <w:p w:rsidRPr="00FB0A09" w:rsidR="003F0CF6" w:rsidP="00987510" w:rsidRDefault="003F0CF6" w14:paraId="68D3C139" w14:textId="77777777">
            <w:pPr>
              <w:rPr>
                <w:rFonts w:ascii="Verdana" w:hAnsi="Verdana" w:cs="Arial"/>
                <w:sz w:val="24"/>
                <w:szCs w:val="24"/>
              </w:rPr>
            </w:pPr>
            <w:r w:rsidRPr="00FB0A09">
              <w:rPr>
                <w:rFonts w:ascii="Verdana" w:hAnsi="Verdana" w:cs="Arial"/>
                <w:sz w:val="24"/>
                <w:szCs w:val="24"/>
              </w:rPr>
              <w:t>Improved visibility of capacity, activity and turnaround.</w:t>
            </w:r>
          </w:p>
        </w:tc>
      </w:tr>
      <w:tr w:rsidRPr="00FB0A09" w:rsidR="003F0CF6" w:rsidTr="00987510" w14:paraId="03DA1677"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4678103D" w14:textId="77777777">
            <w:pPr>
              <w:rPr>
                <w:rFonts w:ascii="Verdana" w:hAnsi="Verdana" w:cs="Arial"/>
                <w:sz w:val="24"/>
                <w:szCs w:val="24"/>
              </w:rPr>
            </w:pPr>
            <w:r w:rsidRPr="00FB0A09">
              <w:rPr>
                <w:rFonts w:ascii="Verdana" w:hAnsi="Verdana" w:cs="Arial"/>
                <w:sz w:val="24"/>
                <w:szCs w:val="24"/>
              </w:rPr>
              <w:t>Regional Trauma and Orthopaedic</w:t>
            </w:r>
          </w:p>
        </w:tc>
        <w:tc>
          <w:tcPr>
            <w:tcW w:w="3456" w:type="dxa"/>
            <w:tcMar>
              <w:top w:w="80" w:type="dxa"/>
              <w:left w:w="80" w:type="dxa"/>
              <w:bottom w:w="80" w:type="dxa"/>
              <w:right w:w="80" w:type="dxa"/>
            </w:tcMar>
            <w:vAlign w:val="center"/>
          </w:tcPr>
          <w:p w:rsidRPr="00FB0A09" w:rsidR="003F0CF6" w:rsidP="00987510" w:rsidRDefault="003F0CF6" w14:paraId="0713DD5D" w14:textId="77777777">
            <w:pPr>
              <w:rPr>
                <w:rFonts w:ascii="Verdana" w:hAnsi="Verdana" w:cs="Arial"/>
                <w:sz w:val="24"/>
                <w:szCs w:val="24"/>
              </w:rPr>
            </w:pPr>
            <w:r w:rsidRPr="00FB0A09">
              <w:rPr>
                <w:rFonts w:ascii="Verdana" w:hAnsi="Verdana" w:cs="Arial"/>
                <w:sz w:val="24"/>
                <w:szCs w:val="24"/>
              </w:rPr>
              <w:t>Swansea Bay data in the All-Wales model; dashboard changes including Stage 4 injections.</w:t>
            </w:r>
          </w:p>
        </w:tc>
        <w:tc>
          <w:tcPr>
            <w:tcW w:w="3456" w:type="dxa"/>
            <w:tcMar>
              <w:top w:w="80" w:type="dxa"/>
              <w:left w:w="80" w:type="dxa"/>
              <w:bottom w:w="80" w:type="dxa"/>
              <w:right w:w="80" w:type="dxa"/>
            </w:tcMar>
            <w:vAlign w:val="center"/>
          </w:tcPr>
          <w:p w:rsidRPr="00FB0A09" w:rsidR="003F0CF6" w:rsidP="00987510" w:rsidRDefault="003F0CF6" w14:paraId="201FED2A" w14:textId="77777777">
            <w:pPr>
              <w:rPr>
                <w:rFonts w:ascii="Verdana" w:hAnsi="Verdana" w:cs="Arial"/>
                <w:sz w:val="24"/>
                <w:szCs w:val="24"/>
              </w:rPr>
            </w:pPr>
            <w:r w:rsidRPr="00FB0A09">
              <w:rPr>
                <w:rFonts w:ascii="Verdana" w:hAnsi="Verdana" w:cs="Arial"/>
                <w:sz w:val="24"/>
                <w:szCs w:val="24"/>
              </w:rPr>
              <w:t>Comparable regional modelling and pathway intelligence.</w:t>
            </w:r>
          </w:p>
        </w:tc>
      </w:tr>
      <w:tr w:rsidRPr="00FB0A09" w:rsidR="003F0CF6" w:rsidTr="00987510" w14:paraId="09C005FD"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609C7B2A" w14:textId="77777777">
            <w:pPr>
              <w:rPr>
                <w:rFonts w:ascii="Verdana" w:hAnsi="Verdana" w:cs="Arial"/>
                <w:sz w:val="24"/>
                <w:szCs w:val="24"/>
              </w:rPr>
            </w:pPr>
            <w:r w:rsidRPr="00FB0A09">
              <w:rPr>
                <w:rFonts w:ascii="Verdana" w:hAnsi="Verdana" w:cs="Arial"/>
                <w:sz w:val="24"/>
                <w:szCs w:val="24"/>
              </w:rPr>
              <w:t>Job plans and core capacity</w:t>
            </w:r>
          </w:p>
        </w:tc>
        <w:tc>
          <w:tcPr>
            <w:tcW w:w="3456" w:type="dxa"/>
            <w:tcMar>
              <w:top w:w="80" w:type="dxa"/>
              <w:left w:w="80" w:type="dxa"/>
              <w:bottom w:w="80" w:type="dxa"/>
              <w:right w:w="80" w:type="dxa"/>
            </w:tcMar>
            <w:vAlign w:val="center"/>
          </w:tcPr>
          <w:p w:rsidRPr="00FB0A09" w:rsidR="003F0CF6" w:rsidP="00987510" w:rsidRDefault="003F0CF6" w14:paraId="6E2DF357" w14:textId="77777777">
            <w:pPr>
              <w:rPr>
                <w:rFonts w:ascii="Verdana" w:hAnsi="Verdana" w:cs="Arial"/>
                <w:sz w:val="24"/>
                <w:szCs w:val="24"/>
              </w:rPr>
            </w:pPr>
            <w:r w:rsidRPr="00FB0A09">
              <w:rPr>
                <w:rFonts w:ascii="Verdana" w:hAnsi="Verdana" w:cs="Arial"/>
                <w:sz w:val="24"/>
                <w:szCs w:val="24"/>
              </w:rPr>
              <w:t>Outpatient (OP) core/non-core split proof of concept in Ear, Nose and Throat (ENT) and T&amp;O; Inpatient (IP) assignment of emergency theatre activity.</w:t>
            </w:r>
          </w:p>
        </w:tc>
        <w:tc>
          <w:tcPr>
            <w:tcW w:w="3456" w:type="dxa"/>
            <w:tcMar>
              <w:top w:w="80" w:type="dxa"/>
              <w:left w:w="80" w:type="dxa"/>
              <w:bottom w:w="80" w:type="dxa"/>
              <w:right w:w="80" w:type="dxa"/>
            </w:tcMar>
            <w:vAlign w:val="center"/>
          </w:tcPr>
          <w:p w:rsidRPr="00FB0A09" w:rsidR="003F0CF6" w:rsidP="00987510" w:rsidRDefault="003F0CF6" w14:paraId="73DD3ED2" w14:textId="77777777">
            <w:pPr>
              <w:rPr>
                <w:rFonts w:ascii="Verdana" w:hAnsi="Verdana" w:cs="Arial"/>
                <w:sz w:val="24"/>
                <w:szCs w:val="24"/>
              </w:rPr>
            </w:pPr>
            <w:r w:rsidRPr="00FB0A09">
              <w:rPr>
                <w:rFonts w:ascii="Verdana" w:hAnsi="Verdana" w:cs="Arial"/>
                <w:sz w:val="24"/>
                <w:szCs w:val="24"/>
              </w:rPr>
              <w:t>More accurate understanding of core capacity and consultant/specialty activity.</w:t>
            </w:r>
          </w:p>
        </w:tc>
      </w:tr>
      <w:tr w:rsidRPr="00FB0A09" w:rsidR="003F0CF6" w:rsidTr="00987510" w14:paraId="4E5836AB" w14:textId="77777777">
        <w:trPr>
          <w:cantSplit/>
          <w:jc w:val="center"/>
        </w:trPr>
        <w:tc>
          <w:tcPr>
            <w:tcW w:w="3456" w:type="dxa"/>
            <w:shd w:val="clear" w:color="auto" w:fill="E9EFF5"/>
            <w:tcMar>
              <w:top w:w="80" w:type="dxa"/>
              <w:left w:w="80" w:type="dxa"/>
              <w:bottom w:w="80" w:type="dxa"/>
              <w:right w:w="80" w:type="dxa"/>
            </w:tcMar>
            <w:vAlign w:val="center"/>
          </w:tcPr>
          <w:p w:rsidRPr="00FB0A09" w:rsidR="003F0CF6" w:rsidP="00987510" w:rsidRDefault="003F0CF6" w14:paraId="26B26C97" w14:textId="77777777">
            <w:pPr>
              <w:rPr>
                <w:rFonts w:ascii="Verdana" w:hAnsi="Verdana" w:cs="Arial"/>
                <w:sz w:val="24"/>
                <w:szCs w:val="24"/>
              </w:rPr>
            </w:pPr>
            <w:r w:rsidRPr="00FB0A09">
              <w:rPr>
                <w:rFonts w:ascii="Verdana" w:hAnsi="Verdana" w:cs="Arial"/>
                <w:sz w:val="24"/>
                <w:szCs w:val="24"/>
              </w:rPr>
              <w:t>Planned Care Vitals</w:t>
            </w:r>
          </w:p>
        </w:tc>
        <w:tc>
          <w:tcPr>
            <w:tcW w:w="3456" w:type="dxa"/>
            <w:tcMar>
              <w:top w:w="80" w:type="dxa"/>
              <w:left w:w="80" w:type="dxa"/>
              <w:bottom w:w="80" w:type="dxa"/>
              <w:right w:w="80" w:type="dxa"/>
            </w:tcMar>
            <w:vAlign w:val="center"/>
          </w:tcPr>
          <w:p w:rsidRPr="00FB0A09" w:rsidR="003F0CF6" w:rsidP="00987510" w:rsidRDefault="003F0CF6" w14:paraId="25FCA0BE" w14:textId="77777777">
            <w:pPr>
              <w:rPr>
                <w:rFonts w:ascii="Verdana" w:hAnsi="Verdana" w:cs="Arial"/>
                <w:sz w:val="24"/>
                <w:szCs w:val="24"/>
              </w:rPr>
            </w:pPr>
            <w:r w:rsidRPr="00FB0A09">
              <w:rPr>
                <w:rFonts w:ascii="Verdana" w:hAnsi="Verdana" w:cs="Arial"/>
                <w:sz w:val="24"/>
                <w:szCs w:val="24"/>
              </w:rPr>
              <w:t>New mapping tables and pathway-stage changes reflected in IP, OP, RTT and regional ophthalmology views.</w:t>
            </w:r>
          </w:p>
        </w:tc>
        <w:tc>
          <w:tcPr>
            <w:tcW w:w="3456" w:type="dxa"/>
            <w:tcMar>
              <w:top w:w="80" w:type="dxa"/>
              <w:left w:w="80" w:type="dxa"/>
              <w:bottom w:w="80" w:type="dxa"/>
              <w:right w:w="80" w:type="dxa"/>
            </w:tcMar>
            <w:vAlign w:val="center"/>
          </w:tcPr>
          <w:p w:rsidRPr="00FB0A09" w:rsidR="003F0CF6" w:rsidP="00987510" w:rsidRDefault="003F0CF6" w14:paraId="67AF623A" w14:textId="77777777">
            <w:pPr>
              <w:rPr>
                <w:rFonts w:ascii="Verdana" w:hAnsi="Verdana" w:cs="Arial"/>
                <w:sz w:val="24"/>
                <w:szCs w:val="24"/>
              </w:rPr>
            </w:pPr>
            <w:r w:rsidRPr="00FB0A09">
              <w:rPr>
                <w:rFonts w:ascii="Verdana" w:hAnsi="Verdana" w:cs="Arial"/>
                <w:sz w:val="24"/>
                <w:szCs w:val="24"/>
              </w:rPr>
              <w:t>More maintainable reporting and consistent definitions.</w:t>
            </w:r>
          </w:p>
        </w:tc>
      </w:tr>
    </w:tbl>
    <w:p w:rsidRPr="00FB0A09" w:rsidR="003F0CF6" w:rsidP="003F0CF6" w:rsidRDefault="003F0CF6" w14:paraId="293611AB" w14:textId="77777777">
      <w:pPr>
        <w:spacing w:after="0" w:line="240" w:lineRule="auto"/>
        <w:ind w:right="96"/>
        <w:jc w:val="both"/>
        <w:rPr>
          <w:rFonts w:ascii="Verdana" w:hAnsi="Verdana" w:cs="Arial"/>
          <w:bCs/>
          <w:sz w:val="24"/>
          <w:szCs w:val="24"/>
        </w:rPr>
      </w:pPr>
    </w:p>
    <w:p w:rsidRPr="00FB0A09" w:rsidR="003F0CF6" w:rsidP="003F0CF6" w:rsidRDefault="003F0CF6" w14:paraId="1A5094E8" w14:textId="77777777">
      <w:pPr>
        <w:spacing w:after="0" w:line="240" w:lineRule="auto"/>
        <w:ind w:right="96"/>
        <w:jc w:val="both"/>
        <w:rPr>
          <w:rFonts w:ascii="Verdana" w:hAnsi="Verdana" w:cs="Arial"/>
          <w:bCs/>
          <w:sz w:val="24"/>
          <w:szCs w:val="24"/>
        </w:rPr>
      </w:pPr>
    </w:p>
    <w:p w:rsidRPr="00FB0A09" w:rsidR="003F0CF6" w:rsidP="003F0CF6" w:rsidRDefault="003F0CF6" w14:paraId="206D3C35" w14:textId="77777777">
      <w:pPr>
        <w:spacing w:after="0" w:line="240" w:lineRule="auto"/>
        <w:ind w:right="96"/>
        <w:jc w:val="both"/>
        <w:rPr>
          <w:rFonts w:ascii="Verdana" w:hAnsi="Verdana" w:cs="Arial"/>
          <w:bCs/>
          <w:sz w:val="24"/>
          <w:szCs w:val="24"/>
        </w:rPr>
      </w:pPr>
    </w:p>
    <w:p w:rsidRPr="00FB0A09" w:rsidR="003F0CF6" w:rsidP="003F0CF6" w:rsidRDefault="003F0CF6" w14:paraId="19AB9260" w14:textId="77777777">
      <w:pPr>
        <w:spacing w:after="0" w:line="240" w:lineRule="auto"/>
        <w:ind w:right="96"/>
        <w:jc w:val="both"/>
        <w:rPr>
          <w:rFonts w:ascii="Verdana" w:hAnsi="Verdana" w:cs="Arial"/>
          <w:bCs/>
          <w:sz w:val="24"/>
          <w:szCs w:val="24"/>
        </w:rPr>
      </w:pPr>
    </w:p>
    <w:p w:rsidRPr="00FB0A09" w:rsidR="003F0CF6" w:rsidP="003F0CF6" w:rsidRDefault="003F0CF6" w14:paraId="661B2D89" w14:textId="77777777">
      <w:pPr>
        <w:spacing w:after="0" w:line="240" w:lineRule="auto"/>
        <w:ind w:right="96"/>
        <w:jc w:val="both"/>
        <w:rPr>
          <w:rFonts w:ascii="Verdana" w:hAnsi="Verdana" w:cs="Arial"/>
          <w:sz w:val="24"/>
          <w:szCs w:val="24"/>
          <w:u w:val="single"/>
        </w:rPr>
      </w:pPr>
      <w:r w:rsidRPr="00FB0A09">
        <w:rPr>
          <w:rFonts w:ascii="Verdana" w:hAnsi="Verdana" w:cs="Arial"/>
          <w:sz w:val="24"/>
          <w:szCs w:val="24"/>
          <w:u w:val="single"/>
        </w:rPr>
        <w:t>PRIORITIES FOR THE NEXT FEW MONTHS</w:t>
      </w:r>
    </w:p>
    <w:p w:rsidRPr="00FB0A09" w:rsidR="003F0CF6" w:rsidP="003F0CF6" w:rsidRDefault="003F0CF6" w14:paraId="3BAED79B" w14:textId="77777777">
      <w:pPr>
        <w:pStyle w:val="ListBullet"/>
        <w:spacing w:after="40"/>
        <w:rPr>
          <w:rFonts w:ascii="Verdana" w:hAnsi="Verdana"/>
          <w:sz w:val="24"/>
          <w:szCs w:val="24"/>
        </w:rPr>
      </w:pPr>
      <w:r w:rsidRPr="00FB0A09">
        <w:rPr>
          <w:rFonts w:ascii="Verdana" w:hAnsi="Verdana"/>
          <w:sz w:val="24"/>
          <w:szCs w:val="24"/>
        </w:rPr>
        <w:lastRenderedPageBreak/>
        <w:t>Embed and extend the MHLD Quality and Safety Dashboard, automate remaining community and statutory reporting, and evaluate the effect on governance and operational use.</w:t>
      </w:r>
    </w:p>
    <w:p w:rsidRPr="00FB0A09" w:rsidR="003F0CF6" w:rsidP="003F0CF6" w:rsidRDefault="003F0CF6" w14:paraId="3D92324C" w14:textId="77777777">
      <w:pPr>
        <w:pStyle w:val="ListBullet"/>
        <w:spacing w:after="40"/>
        <w:rPr>
          <w:rFonts w:ascii="Verdana" w:hAnsi="Verdana"/>
          <w:sz w:val="24"/>
          <w:szCs w:val="24"/>
        </w:rPr>
      </w:pPr>
      <w:r w:rsidRPr="00FB0A09">
        <w:rPr>
          <w:rFonts w:ascii="Verdana" w:hAnsi="Verdana"/>
          <w:sz w:val="24"/>
          <w:szCs w:val="24"/>
        </w:rPr>
        <w:t>Complete the current wave of operational dashboards, including safety huddle, nursing workforce, maternity/perinatal, risk, Radiology Vitals and priority Planned Care views.</w:t>
      </w:r>
    </w:p>
    <w:p w:rsidRPr="00FB0A09" w:rsidR="003F0CF6" w:rsidP="003F0CF6" w:rsidRDefault="003F0CF6" w14:paraId="2CA0510C" w14:textId="77777777">
      <w:pPr>
        <w:pStyle w:val="ListBullet"/>
        <w:spacing w:after="40"/>
        <w:rPr>
          <w:rFonts w:ascii="Verdana" w:hAnsi="Verdana"/>
          <w:sz w:val="24"/>
          <w:szCs w:val="24"/>
        </w:rPr>
      </w:pPr>
      <w:r w:rsidRPr="00FB0A09">
        <w:rPr>
          <w:rFonts w:ascii="Verdana" w:hAnsi="Verdana"/>
          <w:sz w:val="24"/>
          <w:szCs w:val="24"/>
        </w:rPr>
        <w:t>Use the UEC modelling suite to support winter decisions, Pathway 1 and Pathway 3 planning, Ward D implementation, evaluation of the three pillars and health-related delay improvement work.</w:t>
      </w:r>
    </w:p>
    <w:p w:rsidRPr="00FB0A09" w:rsidR="003F0CF6" w:rsidP="003F0CF6" w:rsidRDefault="003F0CF6" w14:paraId="1D51FF1F" w14:textId="77777777">
      <w:pPr>
        <w:pStyle w:val="ListBullet"/>
        <w:spacing w:after="40"/>
        <w:rPr>
          <w:rFonts w:ascii="Verdana" w:hAnsi="Verdana"/>
          <w:sz w:val="24"/>
          <w:szCs w:val="24"/>
        </w:rPr>
      </w:pPr>
      <w:r w:rsidRPr="00FB0A09">
        <w:rPr>
          <w:rFonts w:ascii="Verdana" w:hAnsi="Verdana"/>
          <w:sz w:val="24"/>
          <w:szCs w:val="24"/>
        </w:rPr>
        <w:t>Continue AI-supported validation and correspondence assessments through formal clinical safety, information governance, data-quality and human-validation controls.</w:t>
      </w:r>
    </w:p>
    <w:p w:rsidRPr="00FB0A09" w:rsidR="003F0CF6" w:rsidP="003F0CF6" w:rsidRDefault="003F0CF6" w14:paraId="6DB4FFDB" w14:textId="77777777">
      <w:pPr>
        <w:pStyle w:val="ListBullet"/>
        <w:spacing w:after="40"/>
        <w:rPr>
          <w:rFonts w:ascii="Verdana" w:hAnsi="Verdana"/>
          <w:sz w:val="24"/>
          <w:szCs w:val="24"/>
        </w:rPr>
      </w:pPr>
      <w:r w:rsidRPr="00FB0A09">
        <w:rPr>
          <w:rFonts w:ascii="Verdana" w:hAnsi="Verdana"/>
          <w:sz w:val="24"/>
          <w:szCs w:val="24"/>
        </w:rPr>
        <w:t>Progress the local CDR and additional dataset work as part of the Data Programme architecture, with clear interfaces to national developments.</w:t>
      </w:r>
    </w:p>
    <w:p w:rsidRPr="00FB0A09" w:rsidR="003F0CF6" w:rsidP="003F0CF6" w:rsidRDefault="003F0CF6" w14:paraId="53C86C38" w14:textId="77777777">
      <w:pPr>
        <w:pStyle w:val="ListBullet"/>
        <w:spacing w:after="40"/>
        <w:rPr>
          <w:rFonts w:ascii="Verdana" w:hAnsi="Verdana"/>
          <w:sz w:val="24"/>
          <w:szCs w:val="24"/>
        </w:rPr>
      </w:pPr>
      <w:r w:rsidRPr="00FB0A09">
        <w:rPr>
          <w:rFonts w:ascii="Verdana" w:hAnsi="Verdana"/>
          <w:sz w:val="24"/>
          <w:szCs w:val="24"/>
        </w:rPr>
        <w:t>Embed the Performance Accountability Framework and programme-level assurance so that analytical work consistently links trajectories, forecasts, actions, owners, benefits, risks and escalation.</w:t>
      </w:r>
    </w:p>
    <w:p w:rsidRPr="00FB0A09" w:rsidR="003F0CF6" w:rsidP="003F0CF6" w:rsidRDefault="003F0CF6" w14:paraId="4AEC7D54" w14:textId="77777777">
      <w:pPr>
        <w:pStyle w:val="ListBullet"/>
        <w:spacing w:after="40"/>
        <w:rPr>
          <w:rFonts w:ascii="Verdana" w:hAnsi="Verdana"/>
          <w:sz w:val="24"/>
          <w:szCs w:val="24"/>
        </w:rPr>
      </w:pPr>
      <w:proofErr w:type="spellStart"/>
      <w:r w:rsidRPr="00FB0A09">
        <w:rPr>
          <w:rFonts w:ascii="Verdana" w:hAnsi="Verdana"/>
          <w:sz w:val="24"/>
          <w:szCs w:val="24"/>
        </w:rPr>
        <w:t>Prioritise</w:t>
      </w:r>
      <w:proofErr w:type="spellEnd"/>
      <w:r w:rsidRPr="00FB0A09">
        <w:rPr>
          <w:rFonts w:ascii="Verdana" w:hAnsi="Verdana"/>
          <w:sz w:val="24"/>
          <w:szCs w:val="24"/>
        </w:rPr>
        <w:t xml:space="preserve"> the AI and automation portfolio against measurable patient, workforce, productivity and financial value, with benefits-</w:t>
      </w:r>
      <w:proofErr w:type="spellStart"/>
      <w:r w:rsidRPr="00FB0A09">
        <w:rPr>
          <w:rFonts w:ascii="Verdana" w:hAnsi="Verdana"/>
          <w:sz w:val="24"/>
          <w:szCs w:val="24"/>
        </w:rPr>
        <w:t>realisation</w:t>
      </w:r>
      <w:proofErr w:type="spellEnd"/>
      <w:r w:rsidRPr="00FB0A09">
        <w:rPr>
          <w:rFonts w:ascii="Verdana" w:hAnsi="Verdana"/>
          <w:sz w:val="24"/>
          <w:szCs w:val="24"/>
        </w:rPr>
        <w:t xml:space="preserve"> measures agreed before scale-up.</w:t>
      </w:r>
    </w:p>
    <w:p w:rsidRPr="00FB0A09" w:rsidR="003F0CF6" w:rsidP="003F0CF6" w:rsidRDefault="003F0CF6" w14:paraId="6D90E950" w14:textId="77777777">
      <w:pPr>
        <w:pStyle w:val="ListBullet"/>
        <w:spacing w:after="40"/>
        <w:rPr>
          <w:rFonts w:ascii="Verdana" w:hAnsi="Verdana"/>
          <w:sz w:val="24"/>
          <w:szCs w:val="24"/>
        </w:rPr>
      </w:pPr>
      <w:r w:rsidRPr="00FB0A09">
        <w:rPr>
          <w:rFonts w:ascii="Verdana" w:hAnsi="Verdana"/>
          <w:sz w:val="24"/>
          <w:szCs w:val="24"/>
        </w:rPr>
        <w:t>Continue the Data Literacy Programme and targeted support for operational teams to improve adoption of dashboards and self-service analysis.</w:t>
      </w:r>
    </w:p>
    <w:p w:rsidRPr="00FB0A09" w:rsidR="003F0CF6" w:rsidP="003F0CF6" w:rsidRDefault="003F0CF6" w14:paraId="6B538E2F" w14:textId="77777777">
      <w:pPr>
        <w:spacing w:after="0" w:line="240" w:lineRule="auto"/>
        <w:rPr>
          <w:rFonts w:ascii="Verdana" w:hAnsi="Verdana" w:cs="Arial"/>
          <w:bCs/>
          <w:sz w:val="24"/>
          <w:szCs w:val="24"/>
        </w:rPr>
      </w:pPr>
    </w:p>
    <w:p w:rsidRPr="00FB0A09" w:rsidR="003F0CF6" w:rsidP="003F0CF6" w:rsidRDefault="003F0CF6" w14:paraId="7F827F1B" w14:textId="77777777">
      <w:pPr>
        <w:pStyle w:val="ListParagraph"/>
        <w:numPr>
          <w:ilvl w:val="0"/>
          <w:numId w:val="1"/>
        </w:numPr>
        <w:spacing w:after="0" w:line="240" w:lineRule="auto"/>
        <w:rPr>
          <w:rFonts w:ascii="Verdana" w:hAnsi="Verdana" w:cs="Arial"/>
          <w:b/>
          <w:sz w:val="24"/>
          <w:szCs w:val="24"/>
        </w:rPr>
      </w:pPr>
      <w:r w:rsidRPr="00FB0A09">
        <w:rPr>
          <w:rFonts w:ascii="Verdana" w:hAnsi="Verdana" w:cs="Arial"/>
          <w:b/>
          <w:sz w:val="24"/>
          <w:szCs w:val="24"/>
        </w:rPr>
        <w:t>GOVERNANCE AND RISK ISSUES</w:t>
      </w:r>
    </w:p>
    <w:p w:rsidRPr="00FB0A09" w:rsidR="003F0CF6" w:rsidP="003F0CF6" w:rsidRDefault="003F0CF6" w14:paraId="4C532D83" w14:textId="77777777">
      <w:pPr>
        <w:rPr>
          <w:rFonts w:ascii="Verdana" w:hAnsi="Verdana" w:cs="Arial"/>
          <w:sz w:val="24"/>
          <w:szCs w:val="24"/>
        </w:rPr>
      </w:pPr>
      <w:r w:rsidRPr="00FB0A09">
        <w:rPr>
          <w:rFonts w:ascii="Verdana" w:hAnsi="Verdana" w:cs="Arial"/>
          <w:sz w:val="24"/>
          <w:szCs w:val="24"/>
        </w:rPr>
        <w:t>The portfolio is governed through the relevant operational, improvement and corporate routes, including Service Group performance reviews, programme boards, the Performance Accountability Framework and the Digital, Data, Research and Innovation Committee. Future reporting will increasingly show delivery status, dependencies, risks, milestones, intended benefits and evidence of adoption.</w:t>
      </w:r>
    </w:p>
    <w:p w:rsidRPr="00FB0A09" w:rsidR="003F0CF6" w:rsidP="003F0CF6" w:rsidRDefault="003F0CF6" w14:paraId="2E05DA6D" w14:textId="77777777">
      <w:pPr>
        <w:rPr>
          <w:rFonts w:ascii="Verdana" w:hAnsi="Verdana" w:cs="Arial"/>
          <w:sz w:val="24"/>
          <w:szCs w:val="24"/>
        </w:rPr>
      </w:pPr>
      <w:r w:rsidRPr="00FB0A09">
        <w:rPr>
          <w:rFonts w:ascii="Verdana" w:hAnsi="Verdana" w:cs="Arial"/>
          <w:sz w:val="24"/>
          <w:szCs w:val="24"/>
        </w:rPr>
        <w:t>The use of AI, voice dictation and unstructured clinical information requires clinical validation, information governance, data protection, cyber security, data-quality, access-control and clinical-safety arrangements. AI outputs will support, not replace, accountable clinical and operational decision-making. Cases that cannot be validated to the required standard will continue to be routed for human review.</w:t>
      </w:r>
    </w:p>
    <w:p w:rsidRPr="00FB0A09" w:rsidR="003F0CF6" w:rsidP="003F0CF6" w:rsidRDefault="003F0CF6" w14:paraId="3199474A" w14:textId="77777777">
      <w:pPr>
        <w:rPr>
          <w:rFonts w:ascii="Verdana" w:hAnsi="Verdana" w:cs="Arial"/>
          <w:sz w:val="24"/>
          <w:szCs w:val="24"/>
        </w:rPr>
      </w:pPr>
      <w:r w:rsidRPr="00FB0A09">
        <w:rPr>
          <w:rFonts w:ascii="Verdana" w:hAnsi="Verdana" w:cs="Arial"/>
          <w:sz w:val="24"/>
          <w:szCs w:val="24"/>
        </w:rPr>
        <w:t>The removal of the corporate risk relating to non-data-informed decision-making reflects material progress, including data literacy and wider use of BI. This does not remove the need to monitor service-level risks, legacy-</w:t>
      </w:r>
      <w:r w:rsidRPr="00FB0A09">
        <w:rPr>
          <w:rFonts w:ascii="Verdana" w:hAnsi="Verdana" w:cs="Arial"/>
          <w:sz w:val="24"/>
          <w:szCs w:val="24"/>
        </w:rPr>
        <w:lastRenderedPageBreak/>
        <w:t>system constraints, manual processes, inconsistent definitions, analytical capacity and adoption of new products.</w:t>
      </w:r>
    </w:p>
    <w:p w:rsidRPr="00FB0A09" w:rsidR="003F0CF6" w:rsidP="003F0CF6" w:rsidRDefault="003F0CF6" w14:paraId="6050A47E" w14:textId="77777777">
      <w:pPr>
        <w:pStyle w:val="ListParagraph"/>
        <w:spacing w:after="0" w:line="240" w:lineRule="auto"/>
        <w:rPr>
          <w:rFonts w:ascii="Verdana" w:hAnsi="Verdana" w:cs="Arial"/>
          <w:b/>
          <w:sz w:val="24"/>
          <w:szCs w:val="24"/>
        </w:rPr>
      </w:pPr>
    </w:p>
    <w:p w:rsidRPr="00FB0A09" w:rsidR="003F0CF6" w:rsidP="003F0CF6" w:rsidRDefault="003F0CF6" w14:paraId="10C361F9" w14:textId="77777777">
      <w:pPr>
        <w:pStyle w:val="ListParagraph"/>
        <w:numPr>
          <w:ilvl w:val="0"/>
          <w:numId w:val="1"/>
        </w:numPr>
        <w:spacing w:after="0" w:line="240" w:lineRule="auto"/>
        <w:rPr>
          <w:rFonts w:ascii="Verdana" w:hAnsi="Verdana" w:cs="Arial"/>
          <w:b/>
          <w:sz w:val="24"/>
          <w:szCs w:val="24"/>
        </w:rPr>
      </w:pPr>
      <w:r w:rsidRPr="00FB0A09">
        <w:rPr>
          <w:rFonts w:ascii="Verdana" w:hAnsi="Verdana" w:cs="Arial"/>
          <w:b/>
          <w:sz w:val="24"/>
          <w:szCs w:val="24"/>
        </w:rPr>
        <w:t xml:space="preserve"> FINANCIAL IMPLICATIONS</w:t>
      </w:r>
    </w:p>
    <w:p w:rsidRPr="00FB0A09" w:rsidR="003F0CF6" w:rsidP="003F0CF6" w:rsidRDefault="003F0CF6" w14:paraId="32924C06" w14:textId="77777777">
      <w:pPr>
        <w:rPr>
          <w:rFonts w:ascii="Verdana" w:hAnsi="Verdana" w:cs="Arial"/>
          <w:sz w:val="24"/>
          <w:szCs w:val="24"/>
        </w:rPr>
      </w:pPr>
      <w:r w:rsidRPr="00FB0A09">
        <w:rPr>
          <w:rFonts w:ascii="Verdana" w:hAnsi="Verdana" w:cs="Arial"/>
          <w:sz w:val="24"/>
          <w:szCs w:val="24"/>
        </w:rPr>
        <w:t>Financial implications: No separate financial approval is sought through this paper. The portfolio supports productivity, capacity release, avoidance of waste and improved targeting of recovery investment. Benefits will need to be baselined and tracked for AI, automation and major transformation analytics.</w:t>
      </w:r>
    </w:p>
    <w:p w:rsidRPr="00FB0A09" w:rsidR="003F0CF6" w:rsidP="003F0CF6" w:rsidRDefault="003F0CF6" w14:paraId="317B4F5B" w14:textId="77777777">
      <w:pPr>
        <w:rPr>
          <w:rFonts w:ascii="Verdana" w:hAnsi="Verdana" w:cs="Arial"/>
          <w:sz w:val="24"/>
          <w:szCs w:val="24"/>
        </w:rPr>
      </w:pPr>
      <w:r w:rsidRPr="00FB0A09">
        <w:rPr>
          <w:rFonts w:ascii="Verdana" w:hAnsi="Verdana" w:cs="Arial"/>
          <w:sz w:val="24"/>
          <w:szCs w:val="24"/>
        </w:rPr>
        <w:t>Workforce implications: The embedded support model and Data Literacy Programme build analytical capability across the Health Board. There are currently no vacancies across Digital Intelligence, as reported in the source paper. Delivery remains dependent on prioritisation of specialist capacity and active ownership within operational services.</w:t>
      </w:r>
    </w:p>
    <w:p w:rsidRPr="00FB0A09" w:rsidR="003F0CF6" w:rsidP="003F0CF6" w:rsidRDefault="003F0CF6" w14:paraId="62A03358" w14:textId="77777777">
      <w:pPr>
        <w:rPr>
          <w:rFonts w:ascii="Verdana" w:hAnsi="Verdana" w:cs="Arial"/>
          <w:sz w:val="24"/>
          <w:szCs w:val="24"/>
        </w:rPr>
      </w:pPr>
      <w:r w:rsidRPr="00FB0A09">
        <w:rPr>
          <w:rFonts w:ascii="Verdana" w:hAnsi="Verdana" w:cs="Arial"/>
          <w:sz w:val="24"/>
          <w:szCs w:val="24"/>
        </w:rPr>
        <w:t>Legal, equality and Welsh language implications: Data protection, clinical safety, equality, accessibility and Welsh-language needs must be assessed for patient-facing or workforce-facing digital and AI developments. Human oversight and proportionate validation will be retained.</w:t>
      </w:r>
    </w:p>
    <w:p w:rsidRPr="00FB0A09" w:rsidR="003F0CF6" w:rsidP="003F0CF6" w:rsidRDefault="003F0CF6" w14:paraId="36DE9647" w14:textId="77777777">
      <w:pPr>
        <w:rPr>
          <w:rFonts w:ascii="Verdana" w:hAnsi="Verdana" w:cs="Arial"/>
          <w:sz w:val="24"/>
          <w:szCs w:val="24"/>
        </w:rPr>
      </w:pPr>
      <w:r w:rsidRPr="00FB0A09">
        <w:rPr>
          <w:rFonts w:ascii="Verdana" w:hAnsi="Verdana" w:cs="Arial"/>
          <w:sz w:val="24"/>
          <w:szCs w:val="24"/>
        </w:rPr>
        <w:t>Long-term implications: The programme supports a more integrated, preventative and sustainable model of care by improving population intelligence, pathway visibility, planning capability and responsible use of automation. This contributes to the sustainable-development principle within the Well-being of Future Generations (Wales) Act 2015.</w:t>
      </w:r>
    </w:p>
    <w:p w:rsidRPr="00FB0A09" w:rsidR="003F0CF6" w:rsidP="003F0CF6" w:rsidRDefault="003F0CF6" w14:paraId="1437FD6F" w14:textId="77777777">
      <w:pPr>
        <w:pStyle w:val="ListParagraph"/>
        <w:spacing w:after="0" w:line="240" w:lineRule="auto"/>
        <w:rPr>
          <w:rFonts w:ascii="Verdana" w:hAnsi="Verdana" w:cs="Arial"/>
          <w:b/>
          <w:sz w:val="24"/>
          <w:szCs w:val="24"/>
        </w:rPr>
      </w:pPr>
    </w:p>
    <w:p w:rsidRPr="00FB0A09" w:rsidR="003F0CF6" w:rsidP="003F0CF6" w:rsidRDefault="003F0CF6" w14:paraId="4302446B" w14:textId="77777777">
      <w:pPr>
        <w:pStyle w:val="ListParagraph"/>
        <w:numPr>
          <w:ilvl w:val="0"/>
          <w:numId w:val="1"/>
        </w:numPr>
        <w:spacing w:after="0" w:line="240" w:lineRule="auto"/>
        <w:rPr>
          <w:rFonts w:ascii="Verdana" w:hAnsi="Verdana" w:cs="Arial"/>
          <w:b/>
          <w:sz w:val="24"/>
          <w:szCs w:val="24"/>
        </w:rPr>
      </w:pPr>
      <w:r w:rsidRPr="00FB0A09">
        <w:rPr>
          <w:rFonts w:ascii="Verdana" w:hAnsi="Verdana" w:cs="Arial"/>
          <w:b/>
          <w:sz w:val="24"/>
          <w:szCs w:val="24"/>
        </w:rPr>
        <w:t>RECOMMENDATION</w:t>
      </w:r>
    </w:p>
    <w:p w:rsidRPr="00FB0A09" w:rsidR="003F0CF6" w:rsidP="003F0CF6" w:rsidRDefault="003F0CF6" w14:paraId="4907A672" w14:textId="77777777">
      <w:pPr>
        <w:rPr>
          <w:rFonts w:ascii="Verdana" w:hAnsi="Verdana" w:cs="Arial"/>
          <w:sz w:val="24"/>
          <w:szCs w:val="24"/>
        </w:rPr>
      </w:pPr>
      <w:r w:rsidRPr="00FB0A09">
        <w:rPr>
          <w:rFonts w:ascii="Verdana" w:hAnsi="Verdana" w:cs="Arial"/>
          <w:sz w:val="24"/>
          <w:szCs w:val="24"/>
        </w:rPr>
        <w:t>Members are asked to:</w:t>
      </w:r>
    </w:p>
    <w:p w:rsidRPr="00FB0A09" w:rsidR="003F0CF6" w:rsidP="003F0CF6" w:rsidRDefault="003F0CF6" w14:paraId="45893AA1" w14:textId="77777777">
      <w:pPr>
        <w:pStyle w:val="ListBullet"/>
        <w:spacing w:after="40"/>
        <w:rPr>
          <w:rFonts w:ascii="Verdana" w:hAnsi="Verdana"/>
          <w:sz w:val="24"/>
          <w:szCs w:val="24"/>
        </w:rPr>
      </w:pPr>
      <w:r w:rsidRPr="00FB0A09">
        <w:rPr>
          <w:rFonts w:ascii="Verdana" w:hAnsi="Verdana"/>
          <w:sz w:val="24"/>
          <w:szCs w:val="24"/>
        </w:rPr>
        <w:t>receive and consider the contents of the report;</w:t>
      </w:r>
    </w:p>
    <w:p w:rsidRPr="00FB0A09" w:rsidR="003F0CF6" w:rsidP="003F0CF6" w:rsidRDefault="003F0CF6" w14:paraId="3C9B1CD0" w14:textId="77777777">
      <w:pPr>
        <w:pStyle w:val="ListBullet"/>
        <w:spacing w:after="40"/>
        <w:rPr>
          <w:rFonts w:ascii="Verdana" w:hAnsi="Verdana"/>
          <w:sz w:val="24"/>
          <w:szCs w:val="24"/>
        </w:rPr>
      </w:pPr>
      <w:r w:rsidRPr="00FB0A09">
        <w:rPr>
          <w:rFonts w:ascii="Verdana" w:hAnsi="Verdana"/>
          <w:sz w:val="24"/>
          <w:szCs w:val="24"/>
        </w:rPr>
        <w:t xml:space="preserve">note the progress delivered since May 2026 and the breadth of current work across Service Groups and transformation </w:t>
      </w:r>
      <w:proofErr w:type="spellStart"/>
      <w:r w:rsidRPr="00FB0A09">
        <w:rPr>
          <w:rFonts w:ascii="Verdana" w:hAnsi="Verdana"/>
          <w:sz w:val="24"/>
          <w:szCs w:val="24"/>
        </w:rPr>
        <w:t>programmes</w:t>
      </w:r>
      <w:proofErr w:type="spellEnd"/>
      <w:r w:rsidRPr="00FB0A09">
        <w:rPr>
          <w:rFonts w:ascii="Verdana" w:hAnsi="Verdana"/>
          <w:sz w:val="24"/>
          <w:szCs w:val="24"/>
        </w:rPr>
        <w:t>;</w:t>
      </w:r>
    </w:p>
    <w:p w:rsidRPr="00FB0A09" w:rsidR="003F0CF6" w:rsidP="003F0CF6" w:rsidRDefault="003F0CF6" w14:paraId="25AD27BD" w14:textId="77777777">
      <w:pPr>
        <w:pStyle w:val="ListBullet"/>
        <w:spacing w:after="40"/>
        <w:rPr>
          <w:rFonts w:ascii="Verdana" w:hAnsi="Verdana"/>
          <w:sz w:val="24"/>
          <w:szCs w:val="24"/>
        </w:rPr>
      </w:pPr>
      <w:r w:rsidRPr="00FB0A09">
        <w:rPr>
          <w:rFonts w:ascii="Verdana" w:hAnsi="Verdana"/>
          <w:sz w:val="24"/>
          <w:szCs w:val="24"/>
        </w:rPr>
        <w:t>note the alignment of the portfolio to the Data Programme and IMTP programme areas; and</w:t>
      </w:r>
    </w:p>
    <w:p w:rsidRPr="00FB0A09" w:rsidR="003F0CF6" w:rsidP="003F0CF6" w:rsidRDefault="003F0CF6" w14:paraId="7EDA3EC5" w14:textId="77777777">
      <w:pPr>
        <w:pStyle w:val="ListBullet"/>
        <w:spacing w:after="40"/>
        <w:rPr>
          <w:rFonts w:ascii="Verdana" w:hAnsi="Verdana"/>
          <w:sz w:val="24"/>
          <w:szCs w:val="24"/>
        </w:rPr>
      </w:pPr>
      <w:r w:rsidRPr="00FB0A09">
        <w:rPr>
          <w:rFonts w:ascii="Verdana" w:hAnsi="Verdana"/>
          <w:sz w:val="24"/>
          <w:szCs w:val="24"/>
        </w:rPr>
        <w:t xml:space="preserve">receive assurance that governance, clinical validation, information governance and benefits </w:t>
      </w:r>
      <w:proofErr w:type="spellStart"/>
      <w:r w:rsidRPr="00FB0A09">
        <w:rPr>
          <w:rFonts w:ascii="Verdana" w:hAnsi="Verdana"/>
          <w:sz w:val="24"/>
          <w:szCs w:val="24"/>
        </w:rPr>
        <w:t>realisation</w:t>
      </w:r>
      <w:proofErr w:type="spellEnd"/>
      <w:r w:rsidRPr="00FB0A09">
        <w:rPr>
          <w:rFonts w:ascii="Verdana" w:hAnsi="Verdana"/>
          <w:sz w:val="24"/>
          <w:szCs w:val="24"/>
        </w:rPr>
        <w:t xml:space="preserve"> will be built into the next phase of AI, data and analytical delivery.</w:t>
      </w:r>
    </w:p>
    <w:p w:rsidR="003F0CF6" w:rsidP="003F0CF6" w:rsidRDefault="003F0CF6" w14:paraId="3C3CE02E" w14:textId="77777777">
      <w:pPr>
        <w:spacing w:after="0" w:line="240" w:lineRule="auto"/>
        <w:jc w:val="center"/>
        <w:rPr>
          <w:rFonts w:ascii="Verdana" w:hAnsi="Verdana"/>
          <w:sz w:val="24"/>
          <w:szCs w:val="24"/>
        </w:rPr>
      </w:pPr>
    </w:p>
    <w:p w:rsidR="003F0CF6" w:rsidP="003F0CF6" w:rsidRDefault="003F0CF6" w14:paraId="61B4A6FE" w14:textId="77777777">
      <w:pPr>
        <w:spacing w:after="0" w:line="240" w:lineRule="auto"/>
        <w:rPr>
          <w:rFonts w:ascii="Verdana" w:hAnsi="Verdana"/>
          <w:sz w:val="24"/>
          <w:szCs w:val="24"/>
        </w:rPr>
      </w:pPr>
    </w:p>
    <w:p w:rsidRPr="00F8567E" w:rsidR="003F0CF6" w:rsidP="003F0CF6" w:rsidRDefault="003F0CF6" w14:paraId="450B4BE5" w14:textId="77777777">
      <w:pPr>
        <w:spacing w:after="0" w:line="240" w:lineRule="auto"/>
        <w:rPr>
          <w:rFonts w:ascii="Verdana" w:hAnsi="Verdana"/>
          <w:sz w:val="24"/>
          <w:szCs w:val="24"/>
        </w:rPr>
      </w:pPr>
    </w:p>
    <w:p w:rsidR="00FE7070" w:rsidRDefault="00FE7070" w14:paraId="6D290430" w14:textId="0CDFAA6B">
      <w:pPr>
        <w:rPr>
          <w:rFonts w:ascii="Verdana" w:hAnsi="Verdana" w:cs="Arial"/>
          <w:b/>
          <w:sz w:val="24"/>
          <w:szCs w:val="24"/>
        </w:rPr>
      </w:pPr>
    </w:p>
    <w:p w:rsidR="00F116EC" w:rsidRDefault="00F116EC" w14:paraId="52C3D65E" w14:textId="77777777">
      <w:pPr>
        <w:rPr>
          <w:rFonts w:ascii="Verdana" w:hAnsi="Verdana" w:cs="Arial"/>
          <w:b/>
          <w:sz w:val="24"/>
          <w:szCs w:val="24"/>
        </w:rPr>
      </w:pPr>
    </w:p>
    <w:tbl>
      <w:tblPr>
        <w:tblStyle w:val="TableGrid"/>
        <w:tblW w:w="9245" w:type="dxa"/>
        <w:tblLayout w:type="fixed"/>
        <w:tblLook w:val="04A0" w:firstRow="1" w:lastRow="0" w:firstColumn="1" w:lastColumn="0" w:noHBand="0" w:noVBand="1"/>
      </w:tblPr>
      <w:tblGrid>
        <w:gridCol w:w="1809"/>
        <w:gridCol w:w="661"/>
        <w:gridCol w:w="5151"/>
        <w:gridCol w:w="1624"/>
      </w:tblGrid>
      <w:tr w:rsidRPr="00F8567E" w:rsidR="00034194" w:rsidTr="49CD32AC" w14:paraId="6D290436" w14:textId="77777777">
        <w:tc>
          <w:tcPr>
            <w:tcW w:w="9245" w:type="dxa"/>
            <w:gridSpan w:val="4"/>
            <w:shd w:val="clear" w:color="auto" w:fill="D5DCE4" w:themeFill="text2" w:themeFillTint="33"/>
            <w:tcMar/>
          </w:tcPr>
          <w:p w:rsidRPr="001F2857" w:rsidR="00034194" w:rsidRDefault="0020539A" w14:paraId="6D290435" w14:textId="704162EF">
            <w:pPr>
              <w:rPr>
                <w:rFonts w:ascii="Verdana" w:hAnsi="Verdana" w:cs="Arial"/>
                <w:b/>
                <w:sz w:val="24"/>
                <w:szCs w:val="24"/>
              </w:rPr>
            </w:pPr>
            <w:r w:rsidRPr="00F8567E">
              <w:rPr>
                <w:rFonts w:ascii="Verdana" w:hAnsi="Verdana" w:cs="Arial"/>
                <w:b/>
                <w:sz w:val="24"/>
                <w:szCs w:val="24"/>
              </w:rPr>
              <w:lastRenderedPageBreak/>
              <w:t>Governance and Assurance</w:t>
            </w:r>
          </w:p>
        </w:tc>
      </w:tr>
      <w:tr w:rsidRPr="00F8567E" w:rsidR="00F5324A" w:rsidTr="49CD32AC" w14:paraId="6D29043A" w14:textId="77777777">
        <w:tc>
          <w:tcPr>
            <w:tcW w:w="1809" w:type="dxa"/>
            <w:vMerge w:val="restart"/>
            <w:tcMar/>
          </w:tcPr>
          <w:p w:rsidRPr="00F8567E" w:rsidR="00F5324A" w:rsidRDefault="00F5324A" w14:paraId="6D290437" w14:textId="77777777">
            <w:pPr>
              <w:rPr>
                <w:rFonts w:ascii="Verdana" w:hAnsi="Verdana" w:cs="Arial"/>
                <w:b/>
                <w:sz w:val="24"/>
                <w:szCs w:val="24"/>
              </w:rPr>
            </w:pPr>
            <w:r w:rsidRPr="00F8567E">
              <w:rPr>
                <w:rFonts w:ascii="Verdana" w:hAnsi="Verdana" w:cs="Arial"/>
                <w:b/>
                <w:sz w:val="24"/>
                <w:szCs w:val="24"/>
              </w:rPr>
              <w:t>Link to Enabling Objectives</w:t>
            </w:r>
          </w:p>
          <w:p w:rsidRPr="00F8567E" w:rsidR="00F5324A" w:rsidP="00133EA1" w:rsidRDefault="00F5324A" w14:paraId="6D290438" w14:textId="77777777">
            <w:pPr>
              <w:rPr>
                <w:rFonts w:ascii="Verdana" w:hAnsi="Verdana" w:cs="Arial"/>
                <w:b/>
                <w:sz w:val="24"/>
                <w:szCs w:val="24"/>
              </w:rPr>
            </w:pPr>
            <w:r w:rsidRPr="00F8567E">
              <w:rPr>
                <w:rFonts w:ascii="Verdana" w:hAnsi="Verdana" w:cs="Arial"/>
                <w:b/>
                <w:i/>
                <w:sz w:val="24"/>
                <w:szCs w:val="24"/>
              </w:rPr>
              <w:t>(</w:t>
            </w:r>
            <w:proofErr w:type="gramStart"/>
            <w:r w:rsidRPr="00F8567E">
              <w:rPr>
                <w:rFonts w:ascii="Verdana" w:hAnsi="Verdana" w:cs="Arial"/>
                <w:b/>
                <w:i/>
                <w:sz w:val="24"/>
                <w:szCs w:val="24"/>
              </w:rPr>
              <w:t>please</w:t>
            </w:r>
            <w:proofErr w:type="gramEnd"/>
            <w:r w:rsidRPr="00F8567E">
              <w:rPr>
                <w:rFonts w:ascii="Verdana" w:hAnsi="Verdana" w:cs="Arial"/>
                <w:b/>
                <w:i/>
                <w:sz w:val="24"/>
                <w:szCs w:val="24"/>
              </w:rPr>
              <w:t xml:space="preserve"> </w:t>
            </w:r>
            <w:r w:rsidRPr="00F8567E" w:rsidR="00133EA1">
              <w:rPr>
                <w:rFonts w:ascii="Verdana" w:hAnsi="Verdana" w:cs="Arial"/>
                <w:b/>
                <w:i/>
                <w:sz w:val="24"/>
                <w:szCs w:val="24"/>
              </w:rPr>
              <w:t>choose</w:t>
            </w:r>
            <w:r w:rsidRPr="00F8567E">
              <w:rPr>
                <w:rFonts w:ascii="Verdana" w:hAnsi="Verdana" w:cs="Arial"/>
                <w:b/>
                <w:i/>
                <w:sz w:val="24"/>
                <w:szCs w:val="24"/>
              </w:rPr>
              <w:t>)</w:t>
            </w:r>
          </w:p>
        </w:tc>
        <w:tc>
          <w:tcPr>
            <w:tcW w:w="7436" w:type="dxa"/>
            <w:gridSpan w:val="3"/>
            <w:shd w:val="clear" w:color="auto" w:fill="BDD6EE" w:themeFill="accent1" w:themeFillTint="66"/>
            <w:tcMar/>
          </w:tcPr>
          <w:p w:rsidRPr="00F8567E" w:rsidR="00F5324A" w:rsidP="00F5324A" w:rsidRDefault="00F5324A" w14:paraId="6D290439" w14:textId="77777777">
            <w:pPr>
              <w:jc w:val="both"/>
              <w:rPr>
                <w:rFonts w:ascii="Verdana" w:hAnsi="Verdana" w:cs="Arial"/>
                <w:b/>
                <w:sz w:val="24"/>
                <w:szCs w:val="24"/>
              </w:rPr>
            </w:pPr>
            <w:r w:rsidRPr="00F8567E">
              <w:rPr>
                <w:rFonts w:ascii="Verdana" w:hAnsi="Verdana" w:cs="Arial"/>
                <w:b/>
                <w:sz w:val="24"/>
                <w:szCs w:val="24"/>
              </w:rPr>
              <w:t>Supporting better health and wellbeing by actively promoting and empowering people to live well in resilient communities</w:t>
            </w:r>
          </w:p>
        </w:tc>
      </w:tr>
      <w:tr w:rsidRPr="00F8567E" w:rsidR="00F5324A" w:rsidTr="49CD32AC" w14:paraId="6D29043E" w14:textId="77777777">
        <w:tc>
          <w:tcPr>
            <w:tcW w:w="1809" w:type="dxa"/>
            <w:vMerge/>
            <w:tcMar/>
          </w:tcPr>
          <w:p w:rsidRPr="00F8567E" w:rsidR="00F5324A" w:rsidRDefault="00F5324A" w14:paraId="6D29043B" w14:textId="77777777">
            <w:pPr>
              <w:rPr>
                <w:rFonts w:ascii="Verdana" w:hAnsi="Verdana" w:cs="Arial"/>
                <w:b/>
                <w:sz w:val="24"/>
                <w:szCs w:val="24"/>
              </w:rPr>
            </w:pPr>
          </w:p>
        </w:tc>
        <w:tc>
          <w:tcPr>
            <w:tcW w:w="5812" w:type="dxa"/>
            <w:gridSpan w:val="2"/>
            <w:tcMar/>
          </w:tcPr>
          <w:p w:rsidRPr="00F8567E" w:rsidR="00F5324A" w:rsidP="00F5324A" w:rsidRDefault="00F5324A" w14:paraId="6D29043C" w14:textId="77777777">
            <w:pPr>
              <w:rPr>
                <w:rFonts w:ascii="Verdana" w:hAnsi="Verdana" w:cs="Arial"/>
                <w:sz w:val="24"/>
                <w:szCs w:val="24"/>
              </w:rPr>
            </w:pPr>
            <w:r w:rsidRPr="00F8567E">
              <w:rPr>
                <w:rFonts w:ascii="Verdana" w:hAnsi="Verdana" w:cs="Arial"/>
                <w:sz w:val="24"/>
                <w:szCs w:val="24"/>
              </w:rPr>
              <w:t>Partnerships for Improving Health and Wellbeing</w:t>
            </w:r>
          </w:p>
        </w:tc>
        <w:sdt>
          <w:sdtPr>
            <w:rPr>
              <w:rFonts w:ascii="Verdana" w:hAnsi="Verdana" w:cs="Arial"/>
              <w:sz w:val="24"/>
              <w:szCs w:val="24"/>
            </w:rPr>
            <w:id w:val="1705433169"/>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20539A" w:rsidRDefault="00B358A1" w14:paraId="6D29043D" w14:textId="191832D4">
                <w:pPr>
                  <w:jc w:val="center"/>
                  <w:rPr>
                    <w:rFonts w:ascii="Verdana" w:hAnsi="Verdana" w:cs="Arial"/>
                    <w:sz w:val="24"/>
                    <w:szCs w:val="24"/>
                  </w:rPr>
                </w:pPr>
                <w:r>
                  <w:rPr>
                    <w:rFonts w:hint="eastAsia" w:ascii="MS Gothic" w:hAnsi="MS Gothic" w:eastAsia="MS Gothic" w:cs="Arial"/>
                    <w:sz w:val="24"/>
                    <w:szCs w:val="24"/>
                  </w:rPr>
                  <w:t>☒</w:t>
                </w:r>
              </w:p>
            </w:tc>
          </w:sdtContent>
        </w:sdt>
      </w:tr>
      <w:tr w:rsidRPr="00F8567E" w:rsidR="00F5324A" w:rsidTr="49CD32AC" w14:paraId="6D290442" w14:textId="77777777">
        <w:tc>
          <w:tcPr>
            <w:tcW w:w="1809" w:type="dxa"/>
            <w:vMerge/>
            <w:tcMar/>
          </w:tcPr>
          <w:p w:rsidRPr="00F8567E" w:rsidR="00F5324A" w:rsidRDefault="00F5324A" w14:paraId="6D29043F" w14:textId="77777777">
            <w:pPr>
              <w:rPr>
                <w:rFonts w:ascii="Verdana" w:hAnsi="Verdana" w:cs="Arial"/>
                <w:b/>
                <w:sz w:val="24"/>
                <w:szCs w:val="24"/>
              </w:rPr>
            </w:pPr>
          </w:p>
        </w:tc>
        <w:tc>
          <w:tcPr>
            <w:tcW w:w="5812" w:type="dxa"/>
            <w:gridSpan w:val="2"/>
            <w:tcMar/>
          </w:tcPr>
          <w:p w:rsidRPr="00F8567E" w:rsidR="00F5324A" w:rsidP="00F5324A" w:rsidRDefault="00F5324A" w14:paraId="6D290440" w14:textId="77777777">
            <w:pPr>
              <w:rPr>
                <w:rFonts w:ascii="Verdana" w:hAnsi="Verdana" w:cs="Arial"/>
                <w:sz w:val="24"/>
                <w:szCs w:val="24"/>
              </w:rPr>
            </w:pPr>
            <w:r w:rsidRPr="00F8567E">
              <w:rPr>
                <w:rFonts w:ascii="Verdana" w:hAnsi="Verdana" w:cs="Arial"/>
                <w:sz w:val="24"/>
                <w:szCs w:val="24"/>
              </w:rPr>
              <w:t>Co-Production and Health Literacy</w:t>
            </w:r>
          </w:p>
        </w:tc>
        <w:sdt>
          <w:sdtPr>
            <w:rPr>
              <w:rFonts w:ascii="Verdana" w:hAnsi="Verdana" w:cs="Arial"/>
              <w:sz w:val="24"/>
              <w:szCs w:val="24"/>
            </w:rPr>
            <w:id w:val="1151252969"/>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20539A" w:rsidRDefault="00B358A1" w14:paraId="6D290441" w14:textId="75E90BF2">
                <w:pPr>
                  <w:jc w:val="center"/>
                  <w:rPr>
                    <w:rFonts w:ascii="Verdana" w:hAnsi="Verdana" w:cs="Arial"/>
                    <w:sz w:val="24"/>
                    <w:szCs w:val="24"/>
                  </w:rPr>
                </w:pPr>
                <w:r>
                  <w:rPr>
                    <w:rFonts w:hint="eastAsia" w:ascii="MS Gothic" w:hAnsi="MS Gothic" w:eastAsia="MS Gothic" w:cs="Arial"/>
                    <w:sz w:val="24"/>
                    <w:szCs w:val="24"/>
                  </w:rPr>
                  <w:t>☒</w:t>
                </w:r>
              </w:p>
            </w:tc>
          </w:sdtContent>
        </w:sdt>
      </w:tr>
      <w:tr w:rsidRPr="00F8567E" w:rsidR="00F5324A" w:rsidTr="49CD32AC" w14:paraId="6D290446" w14:textId="77777777">
        <w:tc>
          <w:tcPr>
            <w:tcW w:w="1809" w:type="dxa"/>
            <w:vMerge/>
            <w:tcMar/>
          </w:tcPr>
          <w:p w:rsidRPr="00F8567E" w:rsidR="00F5324A" w:rsidRDefault="00F5324A" w14:paraId="6D290443" w14:textId="77777777">
            <w:pPr>
              <w:rPr>
                <w:rFonts w:ascii="Verdana" w:hAnsi="Verdana" w:cs="Arial"/>
                <w:b/>
                <w:sz w:val="24"/>
                <w:szCs w:val="24"/>
              </w:rPr>
            </w:pPr>
          </w:p>
        </w:tc>
        <w:tc>
          <w:tcPr>
            <w:tcW w:w="5812" w:type="dxa"/>
            <w:gridSpan w:val="2"/>
            <w:tcMar/>
          </w:tcPr>
          <w:p w:rsidRPr="00F8567E" w:rsidR="00F5324A" w:rsidP="00F5324A" w:rsidRDefault="00F5324A" w14:paraId="6D290444" w14:textId="77777777">
            <w:pPr>
              <w:jc w:val="both"/>
              <w:rPr>
                <w:rFonts w:ascii="Verdana" w:hAnsi="Verdana" w:cs="Arial"/>
                <w:sz w:val="24"/>
                <w:szCs w:val="24"/>
              </w:rPr>
            </w:pPr>
            <w:r w:rsidRPr="00F8567E">
              <w:rPr>
                <w:rFonts w:ascii="Verdana" w:hAnsi="Verdana" w:cs="Arial"/>
                <w:sz w:val="24"/>
                <w:szCs w:val="24"/>
              </w:rPr>
              <w:t>Digitally Enabled Health and Wellbeing</w:t>
            </w:r>
          </w:p>
        </w:tc>
        <w:sdt>
          <w:sdtPr>
            <w:rPr>
              <w:rFonts w:ascii="Verdana" w:hAnsi="Verdana" w:cs="Arial"/>
              <w:sz w:val="24"/>
              <w:szCs w:val="24"/>
            </w:rPr>
            <w:id w:val="-1773847484"/>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20539A" w:rsidRDefault="00B358A1" w14:paraId="6D290445" w14:textId="231BFC94">
                <w:pPr>
                  <w:jc w:val="center"/>
                  <w:rPr>
                    <w:rFonts w:ascii="Verdana" w:hAnsi="Verdana" w:cs="Arial"/>
                    <w:sz w:val="24"/>
                    <w:szCs w:val="24"/>
                  </w:rPr>
                </w:pPr>
                <w:r>
                  <w:rPr>
                    <w:rFonts w:hint="eastAsia" w:ascii="MS Gothic" w:hAnsi="MS Gothic" w:eastAsia="MS Gothic" w:cs="Arial"/>
                    <w:sz w:val="24"/>
                    <w:szCs w:val="24"/>
                  </w:rPr>
                  <w:t>☒</w:t>
                </w:r>
              </w:p>
            </w:tc>
          </w:sdtContent>
        </w:sdt>
      </w:tr>
      <w:tr w:rsidRPr="00F8567E" w:rsidR="00F5324A" w:rsidTr="49CD32AC" w14:paraId="6D290449" w14:textId="77777777">
        <w:tc>
          <w:tcPr>
            <w:tcW w:w="1809" w:type="dxa"/>
            <w:vMerge/>
            <w:tcMar/>
          </w:tcPr>
          <w:p w:rsidRPr="00F8567E" w:rsidR="00F5324A" w:rsidP="00C107F2" w:rsidRDefault="00F5324A" w14:paraId="6D290447" w14:textId="77777777">
            <w:pPr>
              <w:rPr>
                <w:rFonts w:ascii="Verdana" w:hAnsi="Verdana" w:cs="Arial"/>
                <w:b/>
                <w:sz w:val="24"/>
                <w:szCs w:val="24"/>
              </w:rPr>
            </w:pPr>
          </w:p>
        </w:tc>
        <w:tc>
          <w:tcPr>
            <w:tcW w:w="7436" w:type="dxa"/>
            <w:gridSpan w:val="3"/>
            <w:shd w:val="clear" w:color="auto" w:fill="BDD6EE" w:themeFill="accent1" w:themeFillTint="66"/>
            <w:tcMar/>
          </w:tcPr>
          <w:p w:rsidRPr="00F8567E" w:rsidR="00F5324A" w:rsidP="00C107F2" w:rsidRDefault="00F5324A" w14:paraId="6D290448" w14:textId="77777777">
            <w:pPr>
              <w:rPr>
                <w:rFonts w:ascii="Verdana" w:hAnsi="Verdana" w:cs="Arial"/>
                <w:b/>
                <w:sz w:val="24"/>
                <w:szCs w:val="24"/>
              </w:rPr>
            </w:pPr>
            <w:r w:rsidRPr="00F8567E">
              <w:rPr>
                <w:rFonts w:ascii="Verdana" w:hAnsi="Verdana" w:cs="Arial"/>
                <w:b/>
                <w:sz w:val="24"/>
                <w:szCs w:val="24"/>
              </w:rPr>
              <w:t xml:space="preserve">Deliver better care through excellent health and care services achieving the outcomes that matter most to people </w:t>
            </w:r>
          </w:p>
        </w:tc>
      </w:tr>
      <w:tr w:rsidRPr="00F8567E" w:rsidR="00F5324A" w:rsidTr="49CD32AC" w14:paraId="6D29044D" w14:textId="77777777">
        <w:tc>
          <w:tcPr>
            <w:tcW w:w="1809" w:type="dxa"/>
            <w:vMerge/>
            <w:tcMar/>
          </w:tcPr>
          <w:p w:rsidRPr="00F8567E" w:rsidR="00F5324A" w:rsidP="00C107F2" w:rsidRDefault="00F5324A" w14:paraId="6D29044A" w14:textId="77777777">
            <w:pPr>
              <w:rPr>
                <w:rFonts w:ascii="Verdana" w:hAnsi="Verdana" w:cs="Arial"/>
                <w:b/>
                <w:sz w:val="24"/>
                <w:szCs w:val="24"/>
              </w:rPr>
            </w:pPr>
          </w:p>
        </w:tc>
        <w:tc>
          <w:tcPr>
            <w:tcW w:w="5812" w:type="dxa"/>
            <w:gridSpan w:val="2"/>
            <w:tcMar/>
          </w:tcPr>
          <w:p w:rsidRPr="00F8567E" w:rsidR="00F5324A" w:rsidP="00F5324A" w:rsidRDefault="00F5324A" w14:paraId="6D29044B" w14:textId="77777777">
            <w:pPr>
              <w:rPr>
                <w:rFonts w:ascii="Verdana" w:hAnsi="Verdana" w:cs="Arial"/>
                <w:sz w:val="24"/>
                <w:szCs w:val="24"/>
              </w:rPr>
            </w:pPr>
            <w:r w:rsidRPr="00F8567E">
              <w:rPr>
                <w:rFonts w:ascii="Verdana" w:hAnsi="Verdana" w:cs="Arial"/>
                <w:sz w:val="24"/>
                <w:szCs w:val="24"/>
              </w:rPr>
              <w:t xml:space="preserve">Best Value Outcomes and </w:t>
            </w:r>
            <w:proofErr w:type="gramStart"/>
            <w:r w:rsidRPr="00F8567E">
              <w:rPr>
                <w:rFonts w:ascii="Verdana" w:hAnsi="Verdana" w:cs="Arial"/>
                <w:sz w:val="24"/>
                <w:szCs w:val="24"/>
              </w:rPr>
              <w:t>High Quality</w:t>
            </w:r>
            <w:proofErr w:type="gramEnd"/>
            <w:r w:rsidRPr="00F8567E">
              <w:rPr>
                <w:rFonts w:ascii="Verdana" w:hAnsi="Verdana" w:cs="Arial"/>
                <w:sz w:val="24"/>
                <w:szCs w:val="24"/>
              </w:rPr>
              <w:t xml:space="preserve"> Care</w:t>
            </w:r>
          </w:p>
        </w:tc>
        <w:sdt>
          <w:sdtPr>
            <w:rPr>
              <w:rFonts w:ascii="Verdana" w:hAnsi="Verdana" w:cs="Arial"/>
              <w:sz w:val="24"/>
              <w:szCs w:val="24"/>
            </w:rPr>
            <w:id w:val="1190956866"/>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510C38" w14:paraId="6D29044C" w14:textId="428EDCBF">
                <w:pPr>
                  <w:jc w:val="center"/>
                  <w:rPr>
                    <w:rFonts w:ascii="Verdana" w:hAnsi="Verdana" w:cs="Arial"/>
                    <w:sz w:val="24"/>
                    <w:szCs w:val="24"/>
                  </w:rPr>
                </w:pPr>
                <w:r>
                  <w:rPr>
                    <w:rFonts w:hint="eastAsia" w:ascii="MS Gothic" w:hAnsi="MS Gothic" w:eastAsia="MS Gothic" w:cs="Arial"/>
                    <w:sz w:val="24"/>
                    <w:szCs w:val="24"/>
                  </w:rPr>
                  <w:t>☒</w:t>
                </w:r>
              </w:p>
            </w:tc>
          </w:sdtContent>
        </w:sdt>
      </w:tr>
      <w:tr w:rsidRPr="00F8567E" w:rsidR="00F5324A" w:rsidTr="49CD32AC" w14:paraId="6D290451" w14:textId="77777777">
        <w:tc>
          <w:tcPr>
            <w:tcW w:w="1809" w:type="dxa"/>
            <w:vMerge/>
            <w:tcMar/>
          </w:tcPr>
          <w:p w:rsidRPr="00F8567E" w:rsidR="00F5324A" w:rsidP="00C107F2" w:rsidRDefault="00F5324A" w14:paraId="6D29044E" w14:textId="77777777">
            <w:pPr>
              <w:rPr>
                <w:rFonts w:ascii="Verdana" w:hAnsi="Verdana" w:cs="Arial"/>
                <w:b/>
                <w:sz w:val="24"/>
                <w:szCs w:val="24"/>
              </w:rPr>
            </w:pPr>
          </w:p>
        </w:tc>
        <w:tc>
          <w:tcPr>
            <w:tcW w:w="5812" w:type="dxa"/>
            <w:gridSpan w:val="2"/>
            <w:tcMar/>
          </w:tcPr>
          <w:p w:rsidRPr="00F8567E" w:rsidR="00F5324A" w:rsidP="00F5324A" w:rsidRDefault="00F5324A" w14:paraId="6D29044F" w14:textId="77777777">
            <w:pPr>
              <w:rPr>
                <w:rFonts w:ascii="Verdana" w:hAnsi="Verdana" w:cs="Arial"/>
                <w:sz w:val="24"/>
                <w:szCs w:val="24"/>
              </w:rPr>
            </w:pPr>
            <w:r w:rsidRPr="00F8567E">
              <w:rPr>
                <w:rFonts w:ascii="Verdana" w:hAnsi="Verdana" w:cs="Arial"/>
                <w:sz w:val="24"/>
                <w:szCs w:val="24"/>
              </w:rPr>
              <w:t>Partnerships for Care</w:t>
            </w:r>
          </w:p>
        </w:tc>
        <w:sdt>
          <w:sdtPr>
            <w:rPr>
              <w:rFonts w:ascii="Verdana" w:hAnsi="Verdana" w:cs="Arial"/>
              <w:sz w:val="24"/>
              <w:szCs w:val="24"/>
            </w:rPr>
            <w:id w:val="832023854"/>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8F2B29" w14:paraId="6D290450" w14:textId="5DE56382">
                <w:pPr>
                  <w:jc w:val="center"/>
                  <w:rPr>
                    <w:rFonts w:ascii="Verdana" w:hAnsi="Verdana" w:cs="Arial"/>
                    <w:sz w:val="24"/>
                    <w:szCs w:val="24"/>
                  </w:rPr>
                </w:pPr>
                <w:r>
                  <w:rPr>
                    <w:rFonts w:hint="eastAsia" w:ascii="MS Gothic" w:hAnsi="MS Gothic" w:eastAsia="MS Gothic" w:cs="Arial"/>
                    <w:sz w:val="24"/>
                    <w:szCs w:val="24"/>
                  </w:rPr>
                  <w:t>☒</w:t>
                </w:r>
              </w:p>
            </w:tc>
          </w:sdtContent>
        </w:sdt>
      </w:tr>
      <w:tr w:rsidRPr="00F8567E" w:rsidR="00F5324A" w:rsidTr="49CD32AC" w14:paraId="6D290455" w14:textId="77777777">
        <w:tc>
          <w:tcPr>
            <w:tcW w:w="1809" w:type="dxa"/>
            <w:vMerge/>
            <w:tcMar/>
          </w:tcPr>
          <w:p w:rsidRPr="00F8567E" w:rsidR="00F5324A" w:rsidP="00C107F2" w:rsidRDefault="00F5324A" w14:paraId="6D290452" w14:textId="77777777">
            <w:pPr>
              <w:rPr>
                <w:rFonts w:ascii="Verdana" w:hAnsi="Verdana" w:cs="Arial"/>
                <w:b/>
                <w:sz w:val="24"/>
                <w:szCs w:val="24"/>
              </w:rPr>
            </w:pPr>
          </w:p>
        </w:tc>
        <w:tc>
          <w:tcPr>
            <w:tcW w:w="5812" w:type="dxa"/>
            <w:gridSpan w:val="2"/>
            <w:tcMar/>
          </w:tcPr>
          <w:p w:rsidRPr="00F8567E" w:rsidR="00F5324A" w:rsidP="00F5324A" w:rsidRDefault="00F5324A" w14:paraId="6D290453" w14:textId="77777777">
            <w:pPr>
              <w:rPr>
                <w:rFonts w:ascii="Verdana" w:hAnsi="Verdana" w:cs="Arial"/>
                <w:b/>
                <w:sz w:val="24"/>
                <w:szCs w:val="24"/>
              </w:rPr>
            </w:pPr>
            <w:r w:rsidRPr="00F8567E">
              <w:rPr>
                <w:rFonts w:ascii="Verdana" w:hAnsi="Verdana" w:cs="Arial"/>
                <w:sz w:val="24"/>
                <w:szCs w:val="24"/>
              </w:rPr>
              <w:t>Excellent Staff</w:t>
            </w:r>
          </w:p>
        </w:tc>
        <w:sdt>
          <w:sdtPr>
            <w:rPr>
              <w:rFonts w:ascii="Verdana" w:hAnsi="Verdana" w:cs="Arial"/>
              <w:sz w:val="24"/>
              <w:szCs w:val="24"/>
            </w:rPr>
            <w:id w:val="717472097"/>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BF53BB" w14:paraId="6D290454" w14:textId="259049D8">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59" w14:textId="77777777">
        <w:tc>
          <w:tcPr>
            <w:tcW w:w="1809" w:type="dxa"/>
            <w:vMerge/>
            <w:tcMar/>
          </w:tcPr>
          <w:p w:rsidRPr="00F8567E" w:rsidR="00F5324A" w:rsidP="00C107F2" w:rsidRDefault="00F5324A" w14:paraId="6D290456" w14:textId="77777777">
            <w:pPr>
              <w:rPr>
                <w:rFonts w:ascii="Verdana" w:hAnsi="Verdana" w:cs="Arial"/>
                <w:b/>
                <w:sz w:val="24"/>
                <w:szCs w:val="24"/>
              </w:rPr>
            </w:pPr>
          </w:p>
        </w:tc>
        <w:tc>
          <w:tcPr>
            <w:tcW w:w="5812" w:type="dxa"/>
            <w:gridSpan w:val="2"/>
            <w:tcMar/>
          </w:tcPr>
          <w:p w:rsidRPr="00F8567E" w:rsidR="00F5324A" w:rsidP="00F5324A" w:rsidRDefault="00F5324A" w14:paraId="6D290457" w14:textId="77777777">
            <w:pPr>
              <w:rPr>
                <w:rFonts w:ascii="Verdana" w:hAnsi="Verdana" w:cs="Arial"/>
                <w:b/>
                <w:sz w:val="24"/>
                <w:szCs w:val="24"/>
              </w:rPr>
            </w:pPr>
            <w:r w:rsidRPr="00F8567E">
              <w:rPr>
                <w:rFonts w:ascii="Verdana" w:hAnsi="Verdana" w:cs="Arial"/>
                <w:sz w:val="24"/>
                <w:szCs w:val="24"/>
              </w:rPr>
              <w:t>Digitally Enabled Care</w:t>
            </w:r>
          </w:p>
        </w:tc>
        <w:sdt>
          <w:sdtPr>
            <w:rPr>
              <w:rFonts w:ascii="Verdana" w:hAnsi="Verdana" w:cs="Arial"/>
              <w:sz w:val="24"/>
              <w:szCs w:val="24"/>
            </w:rPr>
            <w:id w:val="-12686039"/>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8F2B29" w14:paraId="6D290458" w14:textId="346FA4E6">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5D" w14:textId="77777777">
        <w:tc>
          <w:tcPr>
            <w:tcW w:w="1809" w:type="dxa"/>
            <w:vMerge/>
            <w:tcMar/>
          </w:tcPr>
          <w:p w:rsidRPr="00F8567E" w:rsidR="00F5324A" w:rsidP="00C107F2" w:rsidRDefault="00F5324A" w14:paraId="6D29045A" w14:textId="77777777">
            <w:pPr>
              <w:rPr>
                <w:rFonts w:ascii="Verdana" w:hAnsi="Verdana" w:cs="Arial"/>
                <w:b/>
                <w:sz w:val="24"/>
                <w:szCs w:val="24"/>
              </w:rPr>
            </w:pPr>
          </w:p>
        </w:tc>
        <w:tc>
          <w:tcPr>
            <w:tcW w:w="5812" w:type="dxa"/>
            <w:gridSpan w:val="2"/>
            <w:tcMar/>
          </w:tcPr>
          <w:p w:rsidRPr="00F8567E" w:rsidR="00F5324A" w:rsidP="00F5324A" w:rsidRDefault="00F5324A" w14:paraId="6D29045B" w14:textId="77777777">
            <w:pPr>
              <w:rPr>
                <w:rFonts w:ascii="Verdana" w:hAnsi="Verdana" w:cs="Arial"/>
                <w:b/>
                <w:sz w:val="24"/>
                <w:szCs w:val="24"/>
              </w:rPr>
            </w:pPr>
            <w:r w:rsidRPr="00F8567E">
              <w:rPr>
                <w:rFonts w:ascii="Verdana" w:hAnsi="Verdana" w:cs="Arial"/>
                <w:sz w:val="24"/>
                <w:szCs w:val="24"/>
              </w:rPr>
              <w:t>Outstanding Research, Innovation, Education and Learning</w:t>
            </w:r>
          </w:p>
        </w:tc>
        <w:sdt>
          <w:sdtPr>
            <w:rPr>
              <w:rFonts w:ascii="Verdana" w:hAnsi="Verdana" w:cs="Arial"/>
              <w:sz w:val="24"/>
              <w:szCs w:val="24"/>
            </w:rPr>
            <w:id w:val="216336744"/>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8F2B29" w14:paraId="6D29045C" w14:textId="72ACC0C7">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5F" w14:textId="77777777">
        <w:tc>
          <w:tcPr>
            <w:tcW w:w="9245" w:type="dxa"/>
            <w:gridSpan w:val="4"/>
            <w:shd w:val="clear" w:color="auto" w:fill="D5DCE4" w:themeFill="text2" w:themeFillTint="33"/>
            <w:tcMar/>
          </w:tcPr>
          <w:p w:rsidRPr="00F8567E" w:rsidR="00F5324A" w:rsidP="00C107F2" w:rsidRDefault="00F5324A" w14:paraId="6D29045E" w14:textId="77777777">
            <w:pPr>
              <w:rPr>
                <w:rFonts w:ascii="Verdana" w:hAnsi="Verdana" w:cs="Arial"/>
                <w:b/>
                <w:sz w:val="24"/>
                <w:szCs w:val="24"/>
              </w:rPr>
            </w:pPr>
            <w:r w:rsidRPr="00F8567E">
              <w:rPr>
                <w:rFonts w:ascii="Verdana" w:hAnsi="Verdana" w:cs="Arial"/>
                <w:b/>
                <w:sz w:val="24"/>
                <w:szCs w:val="24"/>
              </w:rPr>
              <w:t>Health and Care Standards</w:t>
            </w:r>
          </w:p>
        </w:tc>
      </w:tr>
      <w:tr w:rsidRPr="00F8567E" w:rsidR="00F5324A" w:rsidTr="49CD32AC" w14:paraId="6D290463" w14:textId="77777777">
        <w:tc>
          <w:tcPr>
            <w:tcW w:w="1809" w:type="dxa"/>
            <w:vMerge w:val="restart"/>
            <w:tcMar/>
          </w:tcPr>
          <w:p w:rsidRPr="00F8567E" w:rsidR="00F5324A" w:rsidP="00F5324A" w:rsidRDefault="00133EA1" w14:paraId="6D290460" w14:textId="77777777">
            <w:pPr>
              <w:rPr>
                <w:rFonts w:ascii="Verdana" w:hAnsi="Verdana" w:cs="Arial"/>
                <w:sz w:val="24"/>
                <w:szCs w:val="24"/>
              </w:rPr>
            </w:pPr>
            <w:r w:rsidRPr="00F8567E">
              <w:rPr>
                <w:rFonts w:ascii="Verdana" w:hAnsi="Verdana" w:cs="Arial"/>
                <w:b/>
                <w:i/>
                <w:sz w:val="24"/>
                <w:szCs w:val="24"/>
              </w:rPr>
              <w:t>(</w:t>
            </w:r>
            <w:proofErr w:type="gramStart"/>
            <w:r w:rsidRPr="00F8567E">
              <w:rPr>
                <w:rFonts w:ascii="Verdana" w:hAnsi="Verdana" w:cs="Arial"/>
                <w:b/>
                <w:i/>
                <w:sz w:val="24"/>
                <w:szCs w:val="24"/>
              </w:rPr>
              <w:t>please</w:t>
            </w:r>
            <w:proofErr w:type="gramEnd"/>
            <w:r w:rsidRPr="00F8567E">
              <w:rPr>
                <w:rFonts w:ascii="Verdana" w:hAnsi="Verdana" w:cs="Arial"/>
                <w:b/>
                <w:i/>
                <w:sz w:val="24"/>
                <w:szCs w:val="24"/>
              </w:rPr>
              <w:t xml:space="preserve"> choose)</w:t>
            </w:r>
          </w:p>
        </w:tc>
        <w:tc>
          <w:tcPr>
            <w:tcW w:w="5812" w:type="dxa"/>
            <w:gridSpan w:val="2"/>
            <w:tcMar/>
          </w:tcPr>
          <w:p w:rsidRPr="00F8567E" w:rsidR="00F5324A" w:rsidP="00C107F2" w:rsidRDefault="00F5324A" w14:paraId="6D290461" w14:textId="77777777">
            <w:pPr>
              <w:rPr>
                <w:rFonts w:ascii="Verdana" w:hAnsi="Verdana" w:cs="Arial"/>
                <w:sz w:val="24"/>
                <w:szCs w:val="24"/>
              </w:rPr>
            </w:pPr>
            <w:r w:rsidRPr="00F8567E">
              <w:rPr>
                <w:rFonts w:ascii="Verdana" w:hAnsi="Verdana" w:cs="Arial"/>
                <w:sz w:val="24"/>
                <w:szCs w:val="24"/>
              </w:rPr>
              <w:t>Staying Healthy</w:t>
            </w:r>
          </w:p>
        </w:tc>
        <w:sdt>
          <w:sdtPr>
            <w:rPr>
              <w:rFonts w:ascii="Verdana" w:hAnsi="Verdana" w:cs="Arial"/>
              <w:sz w:val="24"/>
              <w:szCs w:val="24"/>
            </w:rPr>
            <w:id w:val="937573542"/>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62" w14:textId="5EFB0DDA">
                <w:pPr>
                  <w:jc w:val="center"/>
                  <w:rPr>
                    <w:rFonts w:ascii="Verdana" w:hAnsi="Verdana" w:cs="Arial"/>
                    <w:sz w:val="24"/>
                    <w:szCs w:val="24"/>
                  </w:rPr>
                </w:pPr>
                <w:r>
                  <w:rPr>
                    <w:rFonts w:hint="eastAsia" w:ascii="MS Gothic" w:hAnsi="MS Gothic" w:eastAsia="MS Gothic" w:cs="Arial"/>
                    <w:sz w:val="24"/>
                    <w:szCs w:val="24"/>
                  </w:rPr>
                  <w:t>☒</w:t>
                </w:r>
              </w:p>
            </w:tc>
          </w:sdtContent>
        </w:sdt>
      </w:tr>
      <w:tr w:rsidRPr="00F8567E" w:rsidR="00F5324A" w:rsidTr="49CD32AC" w14:paraId="6D290467" w14:textId="77777777">
        <w:tc>
          <w:tcPr>
            <w:tcW w:w="1809" w:type="dxa"/>
            <w:vMerge/>
            <w:tcMar/>
          </w:tcPr>
          <w:p w:rsidRPr="00F8567E" w:rsidR="00F5324A" w:rsidP="00F5324A" w:rsidRDefault="00F5324A" w14:paraId="6D290464" w14:textId="77777777">
            <w:pPr>
              <w:rPr>
                <w:rFonts w:ascii="Verdana" w:hAnsi="Verdana" w:cs="Arial"/>
                <w:b/>
                <w:sz w:val="24"/>
                <w:szCs w:val="24"/>
              </w:rPr>
            </w:pPr>
          </w:p>
        </w:tc>
        <w:tc>
          <w:tcPr>
            <w:tcW w:w="5812" w:type="dxa"/>
            <w:gridSpan w:val="2"/>
            <w:tcMar/>
          </w:tcPr>
          <w:p w:rsidRPr="00F8567E" w:rsidR="00F5324A" w:rsidP="00F5324A" w:rsidRDefault="00F5324A" w14:paraId="6D290465" w14:textId="77777777">
            <w:pPr>
              <w:rPr>
                <w:rFonts w:ascii="Verdana" w:hAnsi="Verdana" w:cs="Arial"/>
                <w:b/>
                <w:sz w:val="24"/>
                <w:szCs w:val="24"/>
              </w:rPr>
            </w:pPr>
            <w:r w:rsidRPr="00F8567E">
              <w:rPr>
                <w:rFonts w:ascii="Verdana" w:hAnsi="Verdana" w:cs="Arial"/>
                <w:sz w:val="24"/>
                <w:szCs w:val="24"/>
              </w:rPr>
              <w:t>Safe Care</w:t>
            </w:r>
          </w:p>
        </w:tc>
        <w:sdt>
          <w:sdtPr>
            <w:rPr>
              <w:rFonts w:ascii="Verdana" w:hAnsi="Verdana" w:cs="Arial"/>
              <w:sz w:val="24"/>
              <w:szCs w:val="24"/>
            </w:rPr>
            <w:id w:val="-275186550"/>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66" w14:textId="5EA0A7AF">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6B" w14:textId="77777777">
        <w:tc>
          <w:tcPr>
            <w:tcW w:w="1809" w:type="dxa"/>
            <w:vMerge/>
            <w:tcMar/>
          </w:tcPr>
          <w:p w:rsidRPr="00F8567E" w:rsidR="00F5324A" w:rsidP="00F5324A" w:rsidRDefault="00F5324A" w14:paraId="6D290468" w14:textId="77777777">
            <w:pPr>
              <w:rPr>
                <w:rFonts w:ascii="Verdana" w:hAnsi="Verdana" w:cs="Arial"/>
                <w:b/>
                <w:sz w:val="24"/>
                <w:szCs w:val="24"/>
              </w:rPr>
            </w:pPr>
          </w:p>
        </w:tc>
        <w:tc>
          <w:tcPr>
            <w:tcW w:w="5812" w:type="dxa"/>
            <w:gridSpan w:val="2"/>
            <w:tcMar/>
          </w:tcPr>
          <w:p w:rsidRPr="00F8567E" w:rsidR="00F5324A" w:rsidP="00F5324A" w:rsidRDefault="00F5324A" w14:paraId="6D290469" w14:textId="5C719120">
            <w:pPr>
              <w:rPr>
                <w:rFonts w:ascii="Verdana" w:hAnsi="Verdana" w:cs="Arial"/>
                <w:b/>
                <w:sz w:val="24"/>
                <w:szCs w:val="24"/>
              </w:rPr>
            </w:pPr>
            <w:r w:rsidRPr="00F8567E">
              <w:rPr>
                <w:rFonts w:ascii="Verdana" w:hAnsi="Verdana" w:cs="Arial"/>
                <w:sz w:val="24"/>
                <w:szCs w:val="24"/>
              </w:rPr>
              <w:t>Effective Care</w:t>
            </w:r>
          </w:p>
        </w:tc>
        <w:sdt>
          <w:sdtPr>
            <w:rPr>
              <w:rFonts w:ascii="Verdana" w:hAnsi="Verdana" w:cs="Arial"/>
              <w:sz w:val="24"/>
              <w:szCs w:val="24"/>
            </w:rPr>
            <w:id w:val="-1590772104"/>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6A" w14:textId="49B36A75">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6F" w14:textId="77777777">
        <w:tc>
          <w:tcPr>
            <w:tcW w:w="1809" w:type="dxa"/>
            <w:vMerge/>
            <w:tcMar/>
          </w:tcPr>
          <w:p w:rsidRPr="00F8567E" w:rsidR="00F5324A" w:rsidP="00F5324A" w:rsidRDefault="00F5324A" w14:paraId="6D29046C" w14:textId="77777777">
            <w:pPr>
              <w:rPr>
                <w:rFonts w:ascii="Verdana" w:hAnsi="Verdana" w:cs="Arial"/>
                <w:b/>
                <w:sz w:val="24"/>
                <w:szCs w:val="24"/>
              </w:rPr>
            </w:pPr>
          </w:p>
        </w:tc>
        <w:tc>
          <w:tcPr>
            <w:tcW w:w="5812" w:type="dxa"/>
            <w:gridSpan w:val="2"/>
            <w:tcMar/>
          </w:tcPr>
          <w:p w:rsidRPr="00F8567E" w:rsidR="00F5324A" w:rsidP="00F5324A" w:rsidRDefault="00F5324A" w14:paraId="6D29046D" w14:textId="77777777">
            <w:pPr>
              <w:rPr>
                <w:rFonts w:ascii="Verdana" w:hAnsi="Verdana" w:cs="Arial"/>
                <w:b/>
                <w:sz w:val="24"/>
                <w:szCs w:val="24"/>
              </w:rPr>
            </w:pPr>
            <w:r w:rsidRPr="00F8567E">
              <w:rPr>
                <w:rFonts w:ascii="Verdana" w:hAnsi="Verdana" w:cs="Arial"/>
                <w:sz w:val="24"/>
                <w:szCs w:val="24"/>
              </w:rPr>
              <w:t>Dignified Care</w:t>
            </w:r>
          </w:p>
        </w:tc>
        <w:sdt>
          <w:sdtPr>
            <w:rPr>
              <w:rFonts w:ascii="Verdana" w:hAnsi="Verdana" w:cs="Arial"/>
              <w:sz w:val="24"/>
              <w:szCs w:val="24"/>
            </w:rPr>
            <w:id w:val="1427299090"/>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6E" w14:textId="62D25E7D">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73" w14:textId="77777777">
        <w:tc>
          <w:tcPr>
            <w:tcW w:w="1809" w:type="dxa"/>
            <w:vMerge/>
            <w:tcMar/>
          </w:tcPr>
          <w:p w:rsidRPr="00F8567E" w:rsidR="00F5324A" w:rsidP="00F5324A" w:rsidRDefault="00F5324A" w14:paraId="6D290470" w14:textId="77777777">
            <w:pPr>
              <w:rPr>
                <w:rFonts w:ascii="Verdana" w:hAnsi="Verdana" w:cs="Arial"/>
                <w:b/>
                <w:sz w:val="24"/>
                <w:szCs w:val="24"/>
              </w:rPr>
            </w:pPr>
          </w:p>
        </w:tc>
        <w:tc>
          <w:tcPr>
            <w:tcW w:w="5812" w:type="dxa"/>
            <w:gridSpan w:val="2"/>
            <w:tcMar/>
          </w:tcPr>
          <w:p w:rsidRPr="00F8567E" w:rsidR="00F5324A" w:rsidP="00F5324A" w:rsidRDefault="00F5324A" w14:paraId="6D290471" w14:textId="77777777">
            <w:pPr>
              <w:rPr>
                <w:rFonts w:ascii="Verdana" w:hAnsi="Verdana" w:cs="Arial"/>
                <w:b/>
                <w:sz w:val="24"/>
                <w:szCs w:val="24"/>
              </w:rPr>
            </w:pPr>
            <w:r w:rsidRPr="00F8567E">
              <w:rPr>
                <w:rFonts w:ascii="Verdana" w:hAnsi="Verdana" w:cs="Arial"/>
                <w:sz w:val="24"/>
                <w:szCs w:val="24"/>
              </w:rPr>
              <w:t>Timely Care</w:t>
            </w:r>
          </w:p>
        </w:tc>
        <w:sdt>
          <w:sdtPr>
            <w:rPr>
              <w:rFonts w:ascii="Verdana" w:hAnsi="Verdana" w:cs="Arial"/>
              <w:sz w:val="24"/>
              <w:szCs w:val="24"/>
            </w:rPr>
            <w:id w:val="-1511138502"/>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72" w14:textId="329D9C9E">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77" w14:textId="77777777">
        <w:tc>
          <w:tcPr>
            <w:tcW w:w="1809" w:type="dxa"/>
            <w:vMerge/>
            <w:tcMar/>
          </w:tcPr>
          <w:p w:rsidRPr="00F8567E" w:rsidR="00F5324A" w:rsidP="00F5324A" w:rsidRDefault="00F5324A" w14:paraId="6D290474" w14:textId="77777777">
            <w:pPr>
              <w:rPr>
                <w:rFonts w:ascii="Verdana" w:hAnsi="Verdana" w:cs="Arial"/>
                <w:b/>
                <w:sz w:val="24"/>
                <w:szCs w:val="24"/>
              </w:rPr>
            </w:pPr>
          </w:p>
        </w:tc>
        <w:tc>
          <w:tcPr>
            <w:tcW w:w="5812" w:type="dxa"/>
            <w:gridSpan w:val="2"/>
            <w:tcMar/>
          </w:tcPr>
          <w:p w:rsidRPr="00F8567E" w:rsidR="00F5324A" w:rsidP="00F5324A" w:rsidRDefault="00F5324A" w14:paraId="6D290475" w14:textId="77777777">
            <w:pPr>
              <w:rPr>
                <w:rFonts w:ascii="Verdana" w:hAnsi="Verdana" w:cs="Arial"/>
                <w:b/>
                <w:sz w:val="24"/>
                <w:szCs w:val="24"/>
              </w:rPr>
            </w:pPr>
            <w:r w:rsidRPr="00F8567E">
              <w:rPr>
                <w:rFonts w:ascii="Verdana" w:hAnsi="Verdana" w:cs="Arial"/>
                <w:sz w:val="24"/>
                <w:szCs w:val="24"/>
              </w:rPr>
              <w:t>Individual Care</w:t>
            </w:r>
          </w:p>
        </w:tc>
        <w:sdt>
          <w:sdtPr>
            <w:rPr>
              <w:rFonts w:ascii="Verdana" w:hAnsi="Verdana" w:cs="Arial"/>
              <w:sz w:val="24"/>
              <w:szCs w:val="24"/>
            </w:rPr>
            <w:id w:val="-1349403007"/>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76" w14:textId="611CBF28">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7B" w14:textId="77777777">
        <w:tc>
          <w:tcPr>
            <w:tcW w:w="1809" w:type="dxa"/>
            <w:vMerge/>
            <w:tcMar/>
          </w:tcPr>
          <w:p w:rsidRPr="00F8567E" w:rsidR="00F5324A" w:rsidP="00F5324A" w:rsidRDefault="00F5324A" w14:paraId="6D290478" w14:textId="77777777">
            <w:pPr>
              <w:rPr>
                <w:rFonts w:ascii="Verdana" w:hAnsi="Verdana" w:cs="Arial"/>
                <w:b/>
                <w:sz w:val="24"/>
                <w:szCs w:val="24"/>
              </w:rPr>
            </w:pPr>
          </w:p>
        </w:tc>
        <w:tc>
          <w:tcPr>
            <w:tcW w:w="5812" w:type="dxa"/>
            <w:gridSpan w:val="2"/>
            <w:tcMar/>
          </w:tcPr>
          <w:p w:rsidRPr="00F8567E" w:rsidR="00F5324A" w:rsidP="00F5324A" w:rsidRDefault="00F5324A" w14:paraId="6D290479" w14:textId="77777777">
            <w:pPr>
              <w:rPr>
                <w:rFonts w:ascii="Verdana" w:hAnsi="Verdana" w:cs="Arial"/>
                <w:b/>
                <w:sz w:val="24"/>
                <w:szCs w:val="24"/>
              </w:rPr>
            </w:pPr>
            <w:r w:rsidRPr="00F8567E">
              <w:rPr>
                <w:rFonts w:ascii="Verdana" w:hAnsi="Verdana" w:cs="Arial"/>
                <w:sz w:val="24"/>
                <w:szCs w:val="24"/>
              </w:rPr>
              <w:t>Staff and Resources</w:t>
            </w:r>
          </w:p>
        </w:tc>
        <w:sdt>
          <w:sdtPr>
            <w:rPr>
              <w:rFonts w:ascii="Verdana" w:hAnsi="Verdana" w:cs="Arial"/>
              <w:sz w:val="24"/>
              <w:szCs w:val="24"/>
            </w:rPr>
            <w:id w:val="-1357344251"/>
            <w14:checkbox>
              <w14:checked w14:val="1"/>
              <w14:checkedState w14:val="2612" w14:font="MS Gothic"/>
              <w14:uncheckedState w14:val="2610" w14:font="MS Gothic"/>
            </w14:checkbox>
          </w:sdtPr>
          <w:sdtEndPr>
            <w:rPr>
              <w:rFonts w:ascii="Verdana" w:hAnsi="Verdana" w:cs="Arial"/>
              <w:sz w:val="24"/>
              <w:szCs w:val="24"/>
            </w:rPr>
          </w:sdtEndPr>
          <w:sdtContent>
            <w:tc>
              <w:tcPr>
                <w:tcW w:w="1624" w:type="dxa"/>
                <w:tcMar/>
              </w:tcPr>
              <w:p w:rsidRPr="00F8567E" w:rsidR="00F5324A" w:rsidP="00133EA1" w:rsidRDefault="00A469D0" w14:paraId="6D29047A" w14:textId="3BE54024">
                <w:pPr>
                  <w:jc w:val="center"/>
                  <w:rPr>
                    <w:rFonts w:ascii="Verdana" w:hAnsi="Verdana" w:cs="Arial"/>
                    <w:b/>
                    <w:sz w:val="24"/>
                    <w:szCs w:val="24"/>
                  </w:rPr>
                </w:pPr>
                <w:r>
                  <w:rPr>
                    <w:rFonts w:hint="eastAsia" w:ascii="MS Gothic" w:hAnsi="MS Gothic" w:eastAsia="MS Gothic" w:cs="Arial"/>
                    <w:sz w:val="24"/>
                    <w:szCs w:val="24"/>
                  </w:rPr>
                  <w:t>☒</w:t>
                </w:r>
              </w:p>
            </w:tc>
          </w:sdtContent>
        </w:sdt>
      </w:tr>
      <w:tr w:rsidRPr="00F8567E" w:rsidR="00F5324A" w:rsidTr="49CD32AC" w14:paraId="6D29047D" w14:textId="77777777">
        <w:tc>
          <w:tcPr>
            <w:tcW w:w="9245" w:type="dxa"/>
            <w:gridSpan w:val="4"/>
            <w:shd w:val="clear" w:color="auto" w:fill="D5DCE4" w:themeFill="text2" w:themeFillTint="33"/>
            <w:tcMar/>
          </w:tcPr>
          <w:p w:rsidRPr="00F8567E" w:rsidR="00F5324A" w:rsidP="00F5324A" w:rsidRDefault="00F5324A" w14:paraId="6D29047C" w14:textId="77777777">
            <w:pPr>
              <w:rPr>
                <w:rFonts w:ascii="Verdana" w:hAnsi="Verdana" w:cs="Arial"/>
                <w:b/>
                <w:sz w:val="24"/>
                <w:szCs w:val="24"/>
              </w:rPr>
            </w:pPr>
            <w:r w:rsidRPr="00F8567E">
              <w:rPr>
                <w:rFonts w:ascii="Verdana" w:hAnsi="Verdana" w:cs="Arial"/>
                <w:b/>
                <w:sz w:val="24"/>
                <w:szCs w:val="24"/>
              </w:rPr>
              <w:t>Quality, Safety and Patient Experience</w:t>
            </w:r>
          </w:p>
        </w:tc>
      </w:tr>
      <w:tr w:rsidRPr="00F8567E" w:rsidR="00F5324A" w:rsidTr="49CD32AC" w14:paraId="6D290480" w14:textId="77777777">
        <w:tc>
          <w:tcPr>
            <w:tcW w:w="9245" w:type="dxa"/>
            <w:gridSpan w:val="4"/>
            <w:tcMar/>
          </w:tcPr>
          <w:p w:rsidRPr="00A77DAA" w:rsidR="00F5324A" w:rsidP="00A77DAA" w:rsidRDefault="007E61EA" w14:paraId="6D29047F" w14:textId="0054A7E3">
            <w:pPr>
              <w:rPr>
                <w:rFonts w:ascii="Verdana" w:hAnsi="Verdana"/>
                <w:sz w:val="24"/>
                <w:szCs w:val="24"/>
              </w:rPr>
            </w:pPr>
            <w:r w:rsidRPr="007E61EA">
              <w:rPr>
                <w:rFonts w:ascii="Verdana" w:hAnsi="Verdana"/>
                <w:sz w:val="24"/>
                <w:szCs w:val="24"/>
              </w:rPr>
              <w:t>The MHLD Quality and Safety Dashboard supports oversight of quality, safety, access, outcomes and experience. The Safety Huddle Dashboard and UEC modelling support patient-flow and bed-management decisions. AI-supported validation and correspondence work will retain appropriate clinical review and validation.</w:t>
            </w:r>
          </w:p>
        </w:tc>
      </w:tr>
      <w:tr w:rsidRPr="00F8567E" w:rsidR="00F5324A" w:rsidTr="49CD32AC" w14:paraId="6D290482" w14:textId="77777777">
        <w:tc>
          <w:tcPr>
            <w:tcW w:w="9245" w:type="dxa"/>
            <w:gridSpan w:val="4"/>
            <w:shd w:val="clear" w:color="auto" w:fill="D5DCE4" w:themeFill="text2" w:themeFillTint="33"/>
            <w:tcMar/>
          </w:tcPr>
          <w:p w:rsidRPr="00F8567E" w:rsidR="00F5324A" w:rsidP="00F5324A" w:rsidRDefault="00F5324A" w14:paraId="6D290481" w14:textId="77777777">
            <w:pPr>
              <w:rPr>
                <w:rFonts w:ascii="Verdana" w:hAnsi="Verdana" w:cs="Arial"/>
                <w:b/>
                <w:sz w:val="24"/>
                <w:szCs w:val="24"/>
              </w:rPr>
            </w:pPr>
            <w:r w:rsidRPr="00F8567E">
              <w:rPr>
                <w:rFonts w:ascii="Verdana" w:hAnsi="Verdana" w:cs="Arial"/>
                <w:b/>
                <w:sz w:val="24"/>
                <w:szCs w:val="24"/>
              </w:rPr>
              <w:t>Financial Implications</w:t>
            </w:r>
          </w:p>
        </w:tc>
      </w:tr>
      <w:tr w:rsidRPr="00F8567E" w:rsidR="00F5324A" w:rsidTr="49CD32AC" w14:paraId="6D290487" w14:textId="77777777">
        <w:tc>
          <w:tcPr>
            <w:tcW w:w="9245" w:type="dxa"/>
            <w:gridSpan w:val="4"/>
            <w:tcMar/>
          </w:tcPr>
          <w:p w:rsidRPr="00934267" w:rsidR="00F5324A" w:rsidP="00F5324A" w:rsidRDefault="00934267" w14:paraId="6D290486" w14:textId="467A2340">
            <w:pPr>
              <w:ind w:right="96"/>
              <w:rPr>
                <w:rFonts w:ascii="Verdana" w:hAnsi="Verdana" w:cs="Arial"/>
                <w:color w:val="FF0000"/>
                <w:sz w:val="24"/>
                <w:szCs w:val="24"/>
              </w:rPr>
            </w:pPr>
            <w:r w:rsidRPr="00934267">
              <w:rPr>
                <w:rFonts w:ascii="Verdana" w:hAnsi="Verdana" w:cs="Arial"/>
                <w:sz w:val="24"/>
                <w:szCs w:val="24"/>
              </w:rPr>
              <w:t>Not applicable.</w:t>
            </w:r>
          </w:p>
        </w:tc>
      </w:tr>
      <w:tr w:rsidRPr="00F8567E" w:rsidR="00F5324A" w:rsidTr="49CD32AC" w14:paraId="6D290489" w14:textId="77777777">
        <w:tc>
          <w:tcPr>
            <w:tcW w:w="9245" w:type="dxa"/>
            <w:gridSpan w:val="4"/>
            <w:shd w:val="clear" w:color="auto" w:fill="D5DCE4" w:themeFill="text2" w:themeFillTint="33"/>
            <w:tcMar/>
          </w:tcPr>
          <w:p w:rsidRPr="00F8567E" w:rsidR="00F5324A" w:rsidP="00F5324A" w:rsidRDefault="00F5324A" w14:paraId="6D290488" w14:textId="77777777">
            <w:pPr>
              <w:keepNext/>
              <w:keepLines/>
              <w:ind w:right="96"/>
              <w:rPr>
                <w:rFonts w:ascii="Verdana" w:hAnsi="Verdana" w:cs="Arial"/>
                <w:b/>
                <w:sz w:val="24"/>
                <w:szCs w:val="24"/>
              </w:rPr>
            </w:pPr>
            <w:r w:rsidRPr="00F8567E">
              <w:rPr>
                <w:rFonts w:ascii="Verdana" w:hAnsi="Verdana" w:cs="Arial"/>
                <w:b/>
                <w:sz w:val="24"/>
                <w:szCs w:val="24"/>
              </w:rPr>
              <w:t>Legal Implications (including equality and diversity assessment)</w:t>
            </w:r>
          </w:p>
        </w:tc>
      </w:tr>
      <w:tr w:rsidRPr="00F8567E" w:rsidR="00F5324A" w:rsidTr="49CD32AC" w14:paraId="6D29048C" w14:textId="77777777">
        <w:tc>
          <w:tcPr>
            <w:tcW w:w="9245" w:type="dxa"/>
            <w:gridSpan w:val="4"/>
            <w:tcMar/>
          </w:tcPr>
          <w:p w:rsidRPr="00A1784D" w:rsidR="00F5324A" w:rsidP="00A1784D" w:rsidRDefault="00A1784D" w14:paraId="6D29048B" w14:textId="19D37EA0">
            <w:pPr>
              <w:spacing w:line="300" w:lineRule="atLeast"/>
              <w:rPr>
                <w:rFonts w:ascii="Verdana" w:hAnsi="Verdana" w:eastAsia="Times New Roman" w:cs="Arial"/>
                <w:sz w:val="24"/>
                <w:szCs w:val="24"/>
                <w:lang w:eastAsia="en-GB"/>
              </w:rPr>
            </w:pPr>
            <w:r w:rsidRPr="00A1784D">
              <w:rPr>
                <w:rFonts w:ascii="Verdana" w:hAnsi="Verdana" w:eastAsia="Times New Roman" w:cs="Arial"/>
                <w:sz w:val="24"/>
                <w:szCs w:val="24"/>
                <w:lang w:eastAsia="en-GB"/>
              </w:rPr>
              <w:t>The use of Artificial Intelligence, voice dictations and unstructured clinical information will require appropriate information governance, data protection, clinical safety, access-control and validation arrangements. These requirements will be considered as part of the waiting list validation, Mental Health letters and local Clinical Data Repository work.</w:t>
            </w:r>
          </w:p>
        </w:tc>
      </w:tr>
      <w:tr w:rsidRPr="00F8567E" w:rsidR="00F5324A" w:rsidTr="49CD32AC" w14:paraId="6D29048E" w14:textId="77777777">
        <w:tc>
          <w:tcPr>
            <w:tcW w:w="9245" w:type="dxa"/>
            <w:gridSpan w:val="4"/>
            <w:shd w:val="clear" w:color="auto" w:fill="D5DCE4" w:themeFill="text2" w:themeFillTint="33"/>
            <w:tcMar/>
          </w:tcPr>
          <w:p w:rsidRPr="00F8567E" w:rsidR="00F5324A" w:rsidP="00F5324A" w:rsidRDefault="00F5324A" w14:paraId="6D29048D" w14:textId="77777777">
            <w:pPr>
              <w:ind w:right="96"/>
              <w:rPr>
                <w:rFonts w:ascii="Verdana" w:hAnsi="Verdana" w:cs="Arial"/>
                <w:b/>
                <w:color w:val="FF0000"/>
                <w:sz w:val="24"/>
                <w:szCs w:val="24"/>
              </w:rPr>
            </w:pPr>
            <w:r w:rsidRPr="00F8567E">
              <w:rPr>
                <w:rFonts w:ascii="Verdana" w:hAnsi="Verdana" w:cs="Arial"/>
                <w:b/>
                <w:sz w:val="24"/>
                <w:szCs w:val="24"/>
              </w:rPr>
              <w:t>Staffing Implications</w:t>
            </w:r>
          </w:p>
        </w:tc>
      </w:tr>
      <w:tr w:rsidRPr="00F8567E" w:rsidR="00671603" w:rsidTr="49CD32AC" w14:paraId="6D290491" w14:textId="77777777">
        <w:tc>
          <w:tcPr>
            <w:tcW w:w="9245" w:type="dxa"/>
            <w:gridSpan w:val="4"/>
            <w:tcMar/>
          </w:tcPr>
          <w:p w:rsidRPr="00671603" w:rsidR="00671603" w:rsidP="00671603" w:rsidRDefault="00671603" w14:paraId="6D290490" w14:textId="281BE68A">
            <w:pPr>
              <w:ind w:right="96"/>
              <w:rPr>
                <w:rFonts w:ascii="Verdana" w:hAnsi="Verdana" w:cs="Arial"/>
                <w:color w:val="FF0000"/>
                <w:sz w:val="24"/>
                <w:szCs w:val="24"/>
              </w:rPr>
            </w:pPr>
            <w:r w:rsidRPr="00671603">
              <w:rPr>
                <w:rFonts w:ascii="Verdana" w:hAnsi="Verdana" w:cs="Arial"/>
                <w:sz w:val="24"/>
                <w:szCs w:val="24"/>
              </w:rPr>
              <w:t>Across Digital Intelligence there are currently no vacancies.</w:t>
            </w:r>
          </w:p>
        </w:tc>
      </w:tr>
      <w:tr w:rsidRPr="00F8567E" w:rsidR="00671603" w:rsidTr="49CD32AC" w14:paraId="6D290493" w14:textId="77777777">
        <w:tc>
          <w:tcPr>
            <w:tcW w:w="9245" w:type="dxa"/>
            <w:gridSpan w:val="4"/>
            <w:shd w:val="clear" w:color="auto" w:fill="D5DCE4" w:themeFill="text2" w:themeFillTint="33"/>
            <w:tcMar/>
          </w:tcPr>
          <w:p w:rsidRPr="00F8567E" w:rsidR="00671603" w:rsidP="00671603" w:rsidRDefault="00671603" w14:paraId="6D290492" w14:textId="77777777">
            <w:pPr>
              <w:ind w:right="96"/>
              <w:rPr>
                <w:rFonts w:ascii="Verdana" w:hAnsi="Verdana" w:cs="Arial"/>
                <w:b/>
                <w:color w:val="FF0000"/>
                <w:sz w:val="24"/>
                <w:szCs w:val="24"/>
              </w:rPr>
            </w:pPr>
            <w:r w:rsidRPr="00F8567E">
              <w:rPr>
                <w:rFonts w:ascii="Verdana" w:hAnsi="Verdana" w:cs="Arial"/>
                <w:b/>
                <w:sz w:val="24"/>
                <w:szCs w:val="24"/>
              </w:rPr>
              <w:t>Long Term Implications (including the impact of the Well-being of Future Generations (Wales) Act 2015)</w:t>
            </w:r>
          </w:p>
        </w:tc>
      </w:tr>
      <w:tr w:rsidRPr="00F8567E" w:rsidR="00671603" w:rsidTr="49CD32AC" w14:paraId="6D290496" w14:textId="77777777">
        <w:tc>
          <w:tcPr>
            <w:tcW w:w="9245" w:type="dxa"/>
            <w:gridSpan w:val="4"/>
            <w:tcMar/>
          </w:tcPr>
          <w:p w:rsidRPr="00546C28" w:rsidR="00671603" w:rsidP="00671603" w:rsidRDefault="00546C28" w14:paraId="6D290495" w14:textId="196C9450">
            <w:pPr>
              <w:ind w:right="96"/>
              <w:rPr>
                <w:rFonts w:ascii="Verdana" w:hAnsi="Verdana" w:cs="Arial"/>
                <w:sz w:val="24"/>
                <w:szCs w:val="24"/>
              </w:rPr>
            </w:pPr>
            <w:r w:rsidRPr="00546C28">
              <w:rPr>
                <w:rFonts w:ascii="Verdana" w:hAnsi="Verdana" w:cs="Arial"/>
                <w:sz w:val="24"/>
                <w:szCs w:val="24"/>
              </w:rPr>
              <w:t>Not applicable.</w:t>
            </w:r>
          </w:p>
        </w:tc>
      </w:tr>
      <w:tr w:rsidRPr="00F8567E" w:rsidR="00671603" w:rsidTr="49CD32AC" w14:paraId="6D29049A" w14:textId="77777777">
        <w:tc>
          <w:tcPr>
            <w:tcW w:w="2470" w:type="dxa"/>
            <w:gridSpan w:val="2"/>
            <w:tcMar/>
          </w:tcPr>
          <w:p w:rsidRPr="00F8567E" w:rsidR="00671603" w:rsidP="00671603" w:rsidRDefault="00671603" w14:paraId="6D290497" w14:textId="77777777">
            <w:pPr>
              <w:ind w:right="96"/>
              <w:rPr>
                <w:rFonts w:ascii="Verdana" w:hAnsi="Verdana" w:cs="Arial"/>
                <w:color w:val="FF0000"/>
                <w:sz w:val="24"/>
                <w:szCs w:val="24"/>
              </w:rPr>
            </w:pPr>
            <w:r w:rsidRPr="00F8567E">
              <w:rPr>
                <w:rFonts w:ascii="Verdana" w:hAnsi="Verdana" w:cs="Arial"/>
                <w:b/>
                <w:color w:val="000000" w:themeColor="text1"/>
                <w:sz w:val="24"/>
                <w:szCs w:val="24"/>
              </w:rPr>
              <w:lastRenderedPageBreak/>
              <w:t>Report History</w:t>
            </w:r>
          </w:p>
        </w:tc>
        <w:tc>
          <w:tcPr>
            <w:tcW w:w="6775" w:type="dxa"/>
            <w:gridSpan w:val="2"/>
            <w:tcMar/>
          </w:tcPr>
          <w:p w:rsidRPr="00CD01F9" w:rsidR="00671603" w:rsidP="00671603" w:rsidRDefault="009123F6" w14:paraId="0FE210A2" w14:textId="38C2BF65">
            <w:pPr>
              <w:ind w:right="96"/>
              <w:rPr>
                <w:rFonts w:ascii="Verdana" w:hAnsi="Verdana" w:cs="Arial"/>
                <w:sz w:val="24"/>
                <w:szCs w:val="24"/>
              </w:rPr>
            </w:pPr>
            <w:r w:rsidRPr="49CD32AC" w:rsidR="009123F6">
              <w:rPr>
                <w:rFonts w:ascii="Verdana" w:hAnsi="Verdana" w:cs="Arial"/>
                <w:sz w:val="24"/>
                <w:szCs w:val="24"/>
              </w:rPr>
              <w:t>7</w:t>
            </w:r>
            <w:r w:rsidRPr="49CD32AC" w:rsidR="009123F6">
              <w:rPr>
                <w:rFonts w:ascii="Verdana" w:hAnsi="Verdana" w:cs="Arial"/>
                <w:sz w:val="24"/>
                <w:szCs w:val="24"/>
              </w:rPr>
              <w:t xml:space="preserve"> May</w:t>
            </w:r>
            <w:r w:rsidRPr="49CD32AC" w:rsidR="00671603">
              <w:rPr>
                <w:rFonts w:ascii="Verdana" w:hAnsi="Verdana" w:cs="Arial"/>
                <w:sz w:val="24"/>
                <w:szCs w:val="24"/>
              </w:rPr>
              <w:t xml:space="preserve"> 202</w:t>
            </w:r>
            <w:r w:rsidRPr="49CD32AC" w:rsidR="00671603">
              <w:rPr>
                <w:rFonts w:ascii="Verdana" w:hAnsi="Verdana" w:cs="Arial"/>
                <w:sz w:val="24"/>
                <w:szCs w:val="24"/>
              </w:rPr>
              <w:t>6</w:t>
            </w:r>
          </w:p>
          <w:p w:rsidRPr="00F8567E" w:rsidR="00671603" w:rsidP="00671603" w:rsidRDefault="00671603" w14:paraId="6D290499" w14:textId="77777777">
            <w:pPr>
              <w:ind w:right="96"/>
              <w:rPr>
                <w:rFonts w:ascii="Verdana" w:hAnsi="Verdana" w:cs="Arial"/>
                <w:color w:val="FF0000"/>
                <w:sz w:val="24"/>
                <w:szCs w:val="24"/>
              </w:rPr>
            </w:pPr>
          </w:p>
        </w:tc>
      </w:tr>
      <w:tr w:rsidRPr="00F8567E" w:rsidR="00671603" w:rsidTr="49CD32AC" w14:paraId="6D29049F" w14:textId="77777777">
        <w:tc>
          <w:tcPr>
            <w:tcW w:w="2470" w:type="dxa"/>
            <w:gridSpan w:val="2"/>
            <w:tcMar/>
          </w:tcPr>
          <w:p w:rsidRPr="00F8567E" w:rsidR="00671603" w:rsidP="00671603" w:rsidRDefault="00671603" w14:paraId="6D29049B" w14:textId="77777777">
            <w:pPr>
              <w:ind w:right="96"/>
              <w:rPr>
                <w:rFonts w:ascii="Verdana" w:hAnsi="Verdana" w:cs="Arial"/>
                <w:b/>
                <w:color w:val="000000" w:themeColor="text1"/>
                <w:sz w:val="24"/>
                <w:szCs w:val="24"/>
              </w:rPr>
            </w:pPr>
            <w:r w:rsidRPr="00F8567E">
              <w:rPr>
                <w:rFonts w:ascii="Verdana" w:hAnsi="Verdana" w:cs="Arial"/>
                <w:b/>
                <w:color w:val="000000" w:themeColor="text1"/>
                <w:sz w:val="24"/>
                <w:szCs w:val="24"/>
              </w:rPr>
              <w:t>Appendices</w:t>
            </w:r>
          </w:p>
        </w:tc>
        <w:tc>
          <w:tcPr>
            <w:tcW w:w="6775" w:type="dxa"/>
            <w:gridSpan w:val="2"/>
            <w:tcMar/>
          </w:tcPr>
          <w:p w:rsidRPr="00F8567E" w:rsidR="00671603" w:rsidP="00671603" w:rsidRDefault="00A77DAA" w14:paraId="6D29049E" w14:textId="67B0F325">
            <w:pPr>
              <w:ind w:right="96"/>
              <w:rPr>
                <w:rFonts w:ascii="Verdana" w:hAnsi="Verdana" w:cs="Arial"/>
                <w:color w:val="FF0000"/>
                <w:sz w:val="24"/>
                <w:szCs w:val="24"/>
              </w:rPr>
            </w:pPr>
            <w:r w:rsidRPr="00A77DAA">
              <w:rPr>
                <w:rFonts w:ascii="Verdana" w:hAnsi="Verdana" w:cs="Arial"/>
                <w:sz w:val="24"/>
                <w:szCs w:val="24"/>
              </w:rPr>
              <w:t>None</w:t>
            </w:r>
          </w:p>
        </w:tc>
      </w:tr>
    </w:tbl>
    <w:p w:rsidR="0038485C" w:rsidP="0038485C" w:rsidRDefault="0038485C" w14:paraId="372DEE95" w14:textId="0F6B9E3B">
      <w:pPr>
        <w:tabs>
          <w:tab w:val="left" w:pos="1340"/>
        </w:tabs>
        <w:rPr>
          <w:rFonts w:ascii="Verdana" w:hAnsi="Verdana"/>
          <w:sz w:val="24"/>
          <w:szCs w:val="24"/>
        </w:rPr>
      </w:pPr>
    </w:p>
    <w:sectPr w:rsidR="0038485C" w:rsidSect="00FE7070">
      <w:headerReference w:type="even" r:id="rId11"/>
      <w:headerReference w:type="default" r:id="rId12"/>
      <w:footerReference w:type="even" r:id="rId13"/>
      <w:footerReference w:type="default" r:id="rId14"/>
      <w:headerReference w:type="first" r:id="rId15"/>
      <w:footerReference w:type="first" r:id="rId16"/>
      <w:pgSz w:w="11906" w:h="16838" w:orient="portrait"/>
      <w:pgMar w:top="1843"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069A" w:rsidP="00C107F2" w:rsidRDefault="00DF069A" w14:paraId="75991FAE" w14:textId="77777777">
      <w:pPr>
        <w:spacing w:after="0" w:line="240" w:lineRule="auto"/>
      </w:pPr>
      <w:r>
        <w:separator/>
      </w:r>
    </w:p>
  </w:endnote>
  <w:endnote w:type="continuationSeparator" w:id="0">
    <w:p w:rsidR="00DF069A" w:rsidP="00C107F2" w:rsidRDefault="00DF069A" w14:paraId="43CD59D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7573" w:rsidRDefault="007E7573" w14:paraId="6E42D3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p14">
  <w:sdt>
    <w:sdtPr>
      <w:rPr>
        <w:rFonts w:ascii="Verdana" w:hAnsi="Verdana"/>
        <w:sz w:val="20"/>
        <w:szCs w:val="20"/>
      </w:rPr>
      <w:id w:val="443046536"/>
      <w:docPartObj>
        <w:docPartGallery w:val="Page Numbers (Bottom of Page)"/>
        <w:docPartUnique/>
      </w:docPartObj>
    </w:sdtPr>
    <w:sdtEndPr>
      <w:rPr>
        <w:rFonts w:ascii="Verdana" w:hAnsi="Verdana"/>
        <w:sz w:val="20"/>
        <w:szCs w:val="20"/>
      </w:rPr>
    </w:sdtEndPr>
    <w:sdtContent>
      <w:p w:rsidR="00736718" w:rsidP="0004232B" w:rsidRDefault="00F52272" w14:paraId="5219B4C8" w14:textId="1ADDE99B">
        <w:pPr>
          <w:pStyle w:val="Footer"/>
          <w:rPr>
            <w:rFonts w:ascii="Verdana" w:hAnsi="Verdana"/>
            <w:sz w:val="20"/>
            <w:szCs w:val="20"/>
          </w:rPr>
        </w:pPr>
        <w:r>
          <w:rPr>
            <w:noProof/>
          </w:rPr>
          <w:drawing>
            <wp:anchor distT="0" distB="0" distL="114300" distR="114300" simplePos="0" relativeHeight="251658241" behindDoc="0" locked="0" layoutInCell="1" allowOverlap="1" wp14:anchorId="65223FE8" wp14:editId="3840E6C0">
              <wp:simplePos x="0" y="0"/>
              <wp:positionH relativeFrom="column">
                <wp:posOffset>-438150</wp:posOffset>
              </wp:positionH>
              <wp:positionV relativeFrom="paragraph">
                <wp:posOffset>12065</wp:posOffset>
              </wp:positionV>
              <wp:extent cx="2035810" cy="551180"/>
              <wp:effectExtent l="0" t="0" r="0" b="0"/>
              <wp:wrapNone/>
              <wp:docPr id="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86116" name="Graphic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035810" cy="551180"/>
                      </a:xfrm>
                      <a:prstGeom prst="rect">
                        <a:avLst/>
                      </a:prstGeom>
                    </pic:spPr>
                  </pic:pic>
                </a:graphicData>
              </a:graphic>
            </wp:anchor>
          </w:drawing>
        </w:r>
      </w:p>
      <w:p w:rsidRPr="00366FDD" w:rsidR="0032747D" w:rsidP="00736718" w:rsidRDefault="0032747D" w14:paraId="5EE9C96C" w14:textId="52F5C015">
        <w:pPr>
          <w:pStyle w:val="Footer"/>
          <w:jc w:val="right"/>
          <w:rPr>
            <w:rFonts w:ascii="Verdana" w:hAnsi="Verdana"/>
            <w:sz w:val="20"/>
            <w:szCs w:val="20"/>
          </w:rPr>
        </w:pPr>
        <w:r w:rsidRPr="00366FDD">
          <w:rPr>
            <w:rFonts w:ascii="Verdana" w:hAnsi="Verdana"/>
            <w:sz w:val="20"/>
            <w:szCs w:val="20"/>
          </w:rPr>
          <w:fldChar w:fldCharType="begin"/>
        </w:r>
        <w:r w:rsidRPr="00366FDD">
          <w:rPr>
            <w:rFonts w:ascii="Verdana" w:hAnsi="Verdana"/>
            <w:sz w:val="20"/>
            <w:szCs w:val="20"/>
          </w:rPr>
          <w:instrText>PAGE   \* MERGEFORMAT</w:instrText>
        </w:r>
        <w:r w:rsidRPr="00366FDD">
          <w:rPr>
            <w:rFonts w:ascii="Verdana" w:hAnsi="Verdana"/>
            <w:sz w:val="20"/>
            <w:szCs w:val="20"/>
          </w:rPr>
          <w:fldChar w:fldCharType="separate"/>
        </w:r>
        <w:r w:rsidRPr="00366FDD">
          <w:rPr>
            <w:rFonts w:ascii="Verdana" w:hAnsi="Verdana"/>
            <w:sz w:val="20"/>
            <w:szCs w:val="20"/>
          </w:rPr>
          <w:t>2</w:t>
        </w:r>
        <w:r w:rsidRPr="00366FDD">
          <w:rPr>
            <w:rFonts w:ascii="Verdana" w:hAnsi="Verdana"/>
            <w:sz w:val="20"/>
            <w:szCs w:val="20"/>
          </w:rPr>
          <w:fldChar w:fldCharType="end"/>
        </w:r>
        <w:r w:rsidRPr="00366FDD" w:rsidR="005D3DF1">
          <w:rPr>
            <w:rFonts w:ascii="Verdana" w:hAnsi="Verdana"/>
            <w:sz w:val="20"/>
            <w:szCs w:val="20"/>
          </w:rPr>
          <w:t xml:space="preserve"> of </w:t>
        </w:r>
        <w:r w:rsidR="00BE1F82">
          <w:rPr>
            <w:rFonts w:ascii="Verdana" w:hAnsi="Verdana"/>
            <w:sz w:val="20"/>
            <w:szCs w:val="20"/>
          </w:rPr>
          <w:t>1</w:t>
        </w:r>
        <w:r w:rsidR="00A1784D">
          <w:rPr>
            <w:rFonts w:ascii="Verdana" w:hAnsi="Verdana"/>
            <w:sz w:val="20"/>
            <w:szCs w:val="20"/>
          </w:rPr>
          <w:t>3</w:t>
        </w:r>
      </w:p>
    </w:sdtContent>
  </w:sdt>
  <w:p w:rsidR="003324CB" w:rsidP="002B7C9A" w:rsidRDefault="00510C38" w14:paraId="6D2904A9" w14:textId="51E1218B">
    <w:pPr>
      <w:pStyle w:val="Footer"/>
      <w:jc w:val="right"/>
      <w:rPr>
        <w:rFonts w:ascii="Verdana" w:hAnsi="Verdana"/>
        <w:sz w:val="20"/>
        <w:szCs w:val="20"/>
      </w:rPr>
    </w:pPr>
    <w:r>
      <w:rPr>
        <w:rFonts w:ascii="Verdana" w:hAnsi="Verdana"/>
        <w:sz w:val="20"/>
        <w:szCs w:val="20"/>
      </w:rPr>
      <w:t>Digital Data Research and Innovation</w:t>
    </w:r>
    <w:r w:rsidRPr="00366FDD" w:rsidR="00366FDD">
      <w:rPr>
        <w:rFonts w:ascii="Verdana" w:hAnsi="Verdana"/>
        <w:sz w:val="20"/>
        <w:szCs w:val="20"/>
      </w:rPr>
      <w:t xml:space="preserve"> </w:t>
    </w:r>
    <w:r w:rsidRPr="00366FDD" w:rsidR="002B7C9A">
      <w:rPr>
        <w:rFonts w:ascii="Verdana" w:hAnsi="Verdana"/>
        <w:sz w:val="20"/>
        <w:szCs w:val="20"/>
      </w:rPr>
      <w:t xml:space="preserve">Committee – </w:t>
    </w:r>
    <w:r w:rsidR="007E7573">
      <w:rPr>
        <w:rFonts w:ascii="Verdana" w:hAnsi="Verdana"/>
        <w:sz w:val="20"/>
        <w:szCs w:val="20"/>
      </w:rPr>
      <w:t>17</w:t>
    </w:r>
    <w:r w:rsidRPr="00366FDD" w:rsidR="005D3DF1">
      <w:rPr>
        <w:rFonts w:ascii="Verdana" w:hAnsi="Verdana"/>
        <w:sz w:val="20"/>
        <w:szCs w:val="20"/>
      </w:rPr>
      <w:t xml:space="preserve"> </w:t>
    </w:r>
    <w:r w:rsidR="007E7573">
      <w:rPr>
        <w:rFonts w:ascii="Verdana" w:hAnsi="Verdana"/>
        <w:sz w:val="20"/>
        <w:szCs w:val="20"/>
      </w:rPr>
      <w:t>Sept</w:t>
    </w:r>
    <w:r w:rsidRPr="00366FDD" w:rsidR="005D3DF1">
      <w:rPr>
        <w:rFonts w:ascii="Verdana" w:hAnsi="Verdana"/>
        <w:sz w:val="20"/>
        <w:szCs w:val="20"/>
      </w:rPr>
      <w:t xml:space="preserve"> 202</w:t>
    </w:r>
    <w:r>
      <w:rPr>
        <w:rFonts w:ascii="Verdana" w:hAnsi="Verdana"/>
        <w:sz w:val="20"/>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7573" w:rsidRDefault="007E7573" w14:paraId="7E302F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069A" w:rsidP="00C107F2" w:rsidRDefault="00DF069A" w14:paraId="73DAE5A9" w14:textId="77777777">
      <w:pPr>
        <w:spacing w:after="0" w:line="240" w:lineRule="auto"/>
      </w:pPr>
      <w:r>
        <w:separator/>
      </w:r>
    </w:p>
  </w:footnote>
  <w:footnote w:type="continuationSeparator" w:id="0">
    <w:p w:rsidR="00DF069A" w:rsidP="00C107F2" w:rsidRDefault="00DF069A" w14:paraId="122A39A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7573" w:rsidRDefault="007E7573" w14:paraId="4F6CF5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7F720656">
          <wp:simplePos x="0" y="0"/>
          <wp:positionH relativeFrom="column">
            <wp:posOffset>1364974</wp:posOffset>
          </wp:positionH>
          <wp:positionV relativeFrom="paragraph">
            <wp:posOffset>-287572</wp:posOffset>
          </wp:positionV>
          <wp:extent cx="3124200" cy="751840"/>
          <wp:effectExtent l="0" t="0" r="0" b="0"/>
          <wp:wrapNone/>
          <wp:docPr id="1"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1242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7573" w:rsidRDefault="007E7573" w14:paraId="10ED5E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2F203D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abstractNumId w:val="1"/>
  </w:num>
  <w:num w:numId="2">
    <w:abstractNumId w:val="5"/>
  </w:num>
  <w:num w:numId="3">
    <w:abstractNumId w:val="4"/>
  </w:num>
  <w:num w:numId="4">
    <w:abstractNumId w:val="3"/>
  </w:num>
  <w:num w:numId="5">
    <w:abstractNumId w:val="2"/>
  </w:num>
  <w:num w:numId="6">
    <w:abstractNumId w:val="9"/>
  </w:num>
  <w:num w:numId="7">
    <w:abstractNumId w:val="10"/>
  </w:num>
  <w:num w:numId="8">
    <w:abstractNumId w:val="6"/>
  </w:num>
  <w:num w:numId="9">
    <w:abstractNumId w:val="7"/>
  </w:num>
  <w:num w:numId="10">
    <w:abstractNumId w:val="8"/>
  </w:num>
  <w:num w:numId="1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CA6"/>
    <w:rsid w:val="00021C60"/>
    <w:rsid w:val="00034194"/>
    <w:rsid w:val="0004232B"/>
    <w:rsid w:val="00054F8C"/>
    <w:rsid w:val="00083FC0"/>
    <w:rsid w:val="000F361B"/>
    <w:rsid w:val="00133EA1"/>
    <w:rsid w:val="00136186"/>
    <w:rsid w:val="0016096B"/>
    <w:rsid w:val="001F2857"/>
    <w:rsid w:val="0020539A"/>
    <w:rsid w:val="00233330"/>
    <w:rsid w:val="00241662"/>
    <w:rsid w:val="002518B7"/>
    <w:rsid w:val="002615E4"/>
    <w:rsid w:val="00272BD5"/>
    <w:rsid w:val="002950FF"/>
    <w:rsid w:val="00296CD9"/>
    <w:rsid w:val="002B7C9A"/>
    <w:rsid w:val="002C3DD6"/>
    <w:rsid w:val="0030739E"/>
    <w:rsid w:val="0032747D"/>
    <w:rsid w:val="003324CB"/>
    <w:rsid w:val="003338F1"/>
    <w:rsid w:val="00366FDD"/>
    <w:rsid w:val="0038485C"/>
    <w:rsid w:val="003B31B1"/>
    <w:rsid w:val="003C0FF8"/>
    <w:rsid w:val="003F0CF6"/>
    <w:rsid w:val="00414894"/>
    <w:rsid w:val="00421140"/>
    <w:rsid w:val="00427055"/>
    <w:rsid w:val="004464C5"/>
    <w:rsid w:val="0045630C"/>
    <w:rsid w:val="00461835"/>
    <w:rsid w:val="004671D2"/>
    <w:rsid w:val="00510C38"/>
    <w:rsid w:val="0052297E"/>
    <w:rsid w:val="00546C28"/>
    <w:rsid w:val="00574BCF"/>
    <w:rsid w:val="00576395"/>
    <w:rsid w:val="00585277"/>
    <w:rsid w:val="005D1652"/>
    <w:rsid w:val="005D2C4A"/>
    <w:rsid w:val="005D3DF1"/>
    <w:rsid w:val="005D5AFA"/>
    <w:rsid w:val="0060643C"/>
    <w:rsid w:val="006128A3"/>
    <w:rsid w:val="006201D0"/>
    <w:rsid w:val="00653AEC"/>
    <w:rsid w:val="00655190"/>
    <w:rsid w:val="00662218"/>
    <w:rsid w:val="00671603"/>
    <w:rsid w:val="00685AE0"/>
    <w:rsid w:val="006D1998"/>
    <w:rsid w:val="00703D77"/>
    <w:rsid w:val="00711095"/>
    <w:rsid w:val="0072604C"/>
    <w:rsid w:val="00736718"/>
    <w:rsid w:val="0075502E"/>
    <w:rsid w:val="00762BBE"/>
    <w:rsid w:val="00767E3E"/>
    <w:rsid w:val="007A060E"/>
    <w:rsid w:val="007E61EA"/>
    <w:rsid w:val="007E7573"/>
    <w:rsid w:val="00820546"/>
    <w:rsid w:val="008C15D9"/>
    <w:rsid w:val="008D0747"/>
    <w:rsid w:val="008F2B29"/>
    <w:rsid w:val="009112DC"/>
    <w:rsid w:val="009123F6"/>
    <w:rsid w:val="009262A0"/>
    <w:rsid w:val="00934267"/>
    <w:rsid w:val="009744AA"/>
    <w:rsid w:val="009801B7"/>
    <w:rsid w:val="00983F5E"/>
    <w:rsid w:val="00996159"/>
    <w:rsid w:val="009E7AF7"/>
    <w:rsid w:val="00A1784D"/>
    <w:rsid w:val="00A36B6A"/>
    <w:rsid w:val="00A469D0"/>
    <w:rsid w:val="00A77DAA"/>
    <w:rsid w:val="00A83E54"/>
    <w:rsid w:val="00A84941"/>
    <w:rsid w:val="00AD064D"/>
    <w:rsid w:val="00AD71BC"/>
    <w:rsid w:val="00B0479E"/>
    <w:rsid w:val="00B0564E"/>
    <w:rsid w:val="00B224D7"/>
    <w:rsid w:val="00B358A1"/>
    <w:rsid w:val="00B35ECC"/>
    <w:rsid w:val="00B517CF"/>
    <w:rsid w:val="00B667D3"/>
    <w:rsid w:val="00B70ED7"/>
    <w:rsid w:val="00BA2507"/>
    <w:rsid w:val="00BB764F"/>
    <w:rsid w:val="00BC241D"/>
    <w:rsid w:val="00BD7DAB"/>
    <w:rsid w:val="00BE1F82"/>
    <w:rsid w:val="00BF2D58"/>
    <w:rsid w:val="00BF53BB"/>
    <w:rsid w:val="00C107F2"/>
    <w:rsid w:val="00C2143D"/>
    <w:rsid w:val="00C33A04"/>
    <w:rsid w:val="00C56152"/>
    <w:rsid w:val="00C61658"/>
    <w:rsid w:val="00C95B3C"/>
    <w:rsid w:val="00CA1009"/>
    <w:rsid w:val="00CA6D65"/>
    <w:rsid w:val="00CB1C7D"/>
    <w:rsid w:val="00CD7AA5"/>
    <w:rsid w:val="00D00931"/>
    <w:rsid w:val="00D045E5"/>
    <w:rsid w:val="00DA0F82"/>
    <w:rsid w:val="00DA51E0"/>
    <w:rsid w:val="00DA76AD"/>
    <w:rsid w:val="00DD41FA"/>
    <w:rsid w:val="00DF069A"/>
    <w:rsid w:val="00E06294"/>
    <w:rsid w:val="00E242E5"/>
    <w:rsid w:val="00E87B30"/>
    <w:rsid w:val="00EF31AD"/>
    <w:rsid w:val="00F005AD"/>
    <w:rsid w:val="00F01249"/>
    <w:rsid w:val="00F06D6F"/>
    <w:rsid w:val="00F116EC"/>
    <w:rsid w:val="00F11CD2"/>
    <w:rsid w:val="00F1387A"/>
    <w:rsid w:val="00F5082D"/>
    <w:rsid w:val="00F52272"/>
    <w:rsid w:val="00F531BD"/>
    <w:rsid w:val="00F5324A"/>
    <w:rsid w:val="00F55629"/>
    <w:rsid w:val="00F57042"/>
    <w:rsid w:val="00F57C68"/>
    <w:rsid w:val="00F7169E"/>
    <w:rsid w:val="00F7288F"/>
    <w:rsid w:val="00F82EA6"/>
    <w:rsid w:val="00F8567E"/>
    <w:rsid w:val="00FA0CA9"/>
    <w:rsid w:val="00FA7D65"/>
    <w:rsid w:val="00FB0A09"/>
    <w:rsid w:val="00FC4D74"/>
    <w:rsid w:val="00FE0783"/>
    <w:rsid w:val="00FE7070"/>
    <w:rsid w:val="12413FBE"/>
    <w:rsid w:val="13B59198"/>
    <w:rsid w:val="1679652C"/>
    <w:rsid w:val="18557E57"/>
    <w:rsid w:val="49CD32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2903DC"/>
  <w15:docId w15:val="{30574D57-16E1-437E-8B96-ABAFCD43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paragraph" w:styleId="ListBullet">
    <w:name w:val="List Bullet"/>
    <w:basedOn w:val="Normal"/>
    <w:uiPriority w:val="99"/>
    <w:unhideWhenUsed/>
    <w:rsid w:val="003F0CF6"/>
    <w:pPr>
      <w:numPr>
        <w:numId w:val="11"/>
      </w:numPr>
      <w:spacing w:after="100" w:line="252" w:lineRule="auto"/>
      <w:contextualSpacing/>
    </w:pPr>
    <w:rPr>
      <w:rFonts w:ascii="Arial" w:hAnsi="Arial" w:eastAsiaTheme="minorEastAsia"/>
      <w:color w:val="2D2D2D"/>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edb016a33e894175" /><Relationship Type="http://schemas.microsoft.com/office/2011/relationships/commentsExtended" Target="commentsExtended.xml" Id="Rd2211dbd2c13478c" /><Relationship Type="http://schemas.microsoft.com/office/2011/relationships/people" Target="people.xml" Id="R5a8ffb1140334c10" /></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2C53-5C4E-4A50-9493-D52821F08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28</revision>
  <dcterms:created xsi:type="dcterms:W3CDTF">2026-09-09T08:52:00.0000000Z</dcterms:created>
  <dcterms:modified xsi:type="dcterms:W3CDTF">2026-09-09T15:48:13.6720630Z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