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7A5E0B" w14:textId="645FE6C4" w:rsidR="00E078F2" w:rsidRDefault="00565BEC" w:rsidP="00785B65">
      <w:pPr>
        <w:spacing w:after="0"/>
        <w:rPr>
          <w:b/>
          <w:bCs/>
        </w:rPr>
      </w:pPr>
      <w:r>
        <w:rPr>
          <w:b/>
          <w:bCs/>
        </w:rPr>
        <w:t>Appendix 1 Operational Performance – September 2026</w:t>
      </w:r>
    </w:p>
    <w:p w14:paraId="77365D29" w14:textId="77777777" w:rsidR="00565BEC" w:rsidRDefault="00565BEC" w:rsidP="00785B65">
      <w:pPr>
        <w:spacing w:after="0"/>
        <w:rPr>
          <w:b/>
          <w:bCs/>
        </w:rPr>
      </w:pPr>
    </w:p>
    <w:p w14:paraId="298714A2" w14:textId="77777777" w:rsidR="00565BEC" w:rsidRDefault="00565BEC" w:rsidP="00565BEC">
      <w:r w:rsidRPr="00565BEC">
        <w:rPr>
          <w:b/>
        </w:rPr>
        <w:t>OPEN AUDIT RECOMMENDATIONS</w:t>
      </w:r>
    </w:p>
    <w:p w14:paraId="0A25B69F" w14:textId="77777777" w:rsidR="00E078F2" w:rsidRDefault="00E078F2" w:rsidP="00785B65">
      <w:pPr>
        <w:spacing w:after="0"/>
        <w:rPr>
          <w:b/>
          <w:bCs/>
        </w:rPr>
      </w:pPr>
    </w:p>
    <w:p w14:paraId="70B4FF49" w14:textId="0A76C9BB" w:rsidR="00785B65" w:rsidRPr="00356041" w:rsidRDefault="00785B65" w:rsidP="00785B65">
      <w:pPr>
        <w:spacing w:after="0"/>
        <w:rPr>
          <w:b/>
          <w:bCs/>
        </w:rPr>
      </w:pPr>
      <w:r w:rsidRPr="00356041">
        <w:rPr>
          <w:b/>
          <w:bCs/>
        </w:rPr>
        <w:t>Technical Resilience Audit Report 2023/2024</w:t>
      </w:r>
    </w:p>
    <w:p w14:paraId="6AB291B2" w14:textId="77777777" w:rsidR="00785B65" w:rsidRPr="00356041" w:rsidRDefault="00785B65" w:rsidP="00785B65">
      <w:pPr>
        <w:spacing w:after="0" w:line="240" w:lineRule="auto"/>
      </w:pPr>
    </w:p>
    <w:p w14:paraId="5F8C555E" w14:textId="77777777" w:rsidR="00785B65" w:rsidRPr="00F8567E" w:rsidRDefault="00785B65" w:rsidP="00785B65">
      <w:pPr>
        <w:spacing w:after="0"/>
      </w:pPr>
      <w:r w:rsidRPr="005B5AD0">
        <w:t xml:space="preserve">The 2023 Technical Resilience Internal Audit identified that </w:t>
      </w:r>
      <w:r>
        <w:t xml:space="preserve">the </w:t>
      </w:r>
      <w:r w:rsidRPr="007714FE">
        <w:t xml:space="preserve">Neath Port Talbot Hospital </w:t>
      </w:r>
      <w:r>
        <w:t xml:space="preserve">data centre </w:t>
      </w:r>
      <w:r w:rsidRPr="007714FE">
        <w:t>does not have</w:t>
      </w:r>
      <w:r>
        <w:t xml:space="preserve"> a fire suppression system</w:t>
      </w:r>
      <w:r w:rsidRPr="007714FE">
        <w:t xml:space="preserve"> and made a</w:t>
      </w:r>
      <w:r w:rsidRPr="005B5AD0">
        <w:t xml:space="preserve"> medium-priority recommendation to </w:t>
      </w:r>
      <w:r w:rsidRPr="007714FE">
        <w:t>address this. Fire</w:t>
      </w:r>
      <w:r w:rsidRPr="005B5AD0">
        <w:t xml:space="preserve"> suppression</w:t>
      </w:r>
      <w:r w:rsidRPr="007714FE">
        <w:t xml:space="preserve"> is</w:t>
      </w:r>
      <w:r w:rsidRPr="005B5AD0">
        <w:t xml:space="preserve"> already </w:t>
      </w:r>
      <w:r w:rsidRPr="007714FE">
        <w:t xml:space="preserve">in place at </w:t>
      </w:r>
      <w:r w:rsidRPr="005B5AD0">
        <w:t xml:space="preserve">the Morriston data centre, </w:t>
      </w:r>
      <w:r w:rsidRPr="007714FE">
        <w:t>and</w:t>
      </w:r>
      <w:r w:rsidRPr="005B5AD0">
        <w:t xml:space="preserve"> capital funding </w:t>
      </w:r>
      <w:r w:rsidRPr="007714FE">
        <w:t xml:space="preserve">was </w:t>
      </w:r>
      <w:r w:rsidRPr="005B5AD0">
        <w:t xml:space="preserve">approved to implement </w:t>
      </w:r>
      <w:r w:rsidRPr="007714FE">
        <w:t>an equivalent solution</w:t>
      </w:r>
      <w:r w:rsidRPr="005B5AD0">
        <w:t xml:space="preserve"> at </w:t>
      </w:r>
      <w:r w:rsidRPr="007714FE">
        <w:t>Neath Port Talbot.</w:t>
      </w:r>
    </w:p>
    <w:p w14:paraId="25B3F315" w14:textId="77777777" w:rsidR="00785B65" w:rsidRPr="005B5AD0" w:rsidRDefault="00785B65" w:rsidP="00785B65">
      <w:pPr>
        <w:spacing w:after="0" w:line="240" w:lineRule="auto"/>
      </w:pPr>
    </w:p>
    <w:p w14:paraId="038130BE" w14:textId="77777777" w:rsidR="00785B65" w:rsidRDefault="00785B65" w:rsidP="00785B65">
      <w:pPr>
        <w:spacing w:after="0"/>
        <w:rPr>
          <w:kern w:val="2"/>
          <w:lang w:eastAsia="en-GB"/>
          <w14:ligatures w14:val="standardContextual"/>
        </w:rPr>
      </w:pPr>
      <w:r>
        <w:t>Delivery remains outstanding due to dependencies on the Private Finance Initiative (PFI) provider, associated design requirements and procurement activity, which have moved completion beyond the original March 2024 target. Digital Services continues to actively chase the PFI provider for progress, escalate through the appropriate routes and maintain oversight until the required fire suppression solution is delivered.</w:t>
      </w:r>
    </w:p>
    <w:p w14:paraId="6673B372" w14:textId="77777777" w:rsidR="00514645" w:rsidRDefault="00514645" w:rsidP="00785B65">
      <w:pPr>
        <w:spacing w:after="0"/>
      </w:pPr>
    </w:p>
    <w:p w14:paraId="61C83470" w14:textId="77777777" w:rsidR="000D5D0C" w:rsidRDefault="007229DF">
      <w:pPr>
        <w:spacing w:after="0"/>
      </w:pPr>
      <w:r w:rsidRPr="007229DF">
        <w:t>Given the time taken to deliver the required fire suppression solution, consideration is being given to formally managing this issue through the Health Board’s risk management process. The risk would focus</w:t>
      </w:r>
      <w:r w:rsidR="00000000">
        <w:t xml:space="preserve"> on </w:t>
      </w:r>
      <w:r w:rsidRPr="007229DF">
        <w:t xml:space="preserve">service </w:t>
      </w:r>
      <w:r w:rsidR="00000000">
        <w:t xml:space="preserve">availability and </w:t>
      </w:r>
      <w:r w:rsidRPr="007229DF">
        <w:t xml:space="preserve">the </w:t>
      </w:r>
      <w:r w:rsidR="00000000">
        <w:t xml:space="preserve">potential </w:t>
      </w:r>
      <w:r w:rsidRPr="007229DF">
        <w:t xml:space="preserve">for </w:t>
      </w:r>
      <w:r w:rsidR="00000000">
        <w:t xml:space="preserve">data </w:t>
      </w:r>
      <w:r w:rsidRPr="007229DF">
        <w:t xml:space="preserve">loss, </w:t>
      </w:r>
      <w:r w:rsidR="00000000">
        <w:t xml:space="preserve">with </w:t>
      </w:r>
      <w:r w:rsidRPr="007229DF">
        <w:t>mitigating controls</w:t>
      </w:r>
      <w:r w:rsidR="00000000">
        <w:t xml:space="preserve"> set out to manage </w:t>
      </w:r>
      <w:r w:rsidRPr="007229DF">
        <w:t>exposure through</w:t>
      </w:r>
      <w:r w:rsidR="00000000">
        <w:t xml:space="preserve"> appropriate failover </w:t>
      </w:r>
      <w:r w:rsidRPr="007229DF">
        <w:t xml:space="preserve">arrangements </w:t>
      </w:r>
      <w:r w:rsidR="00000000">
        <w:t xml:space="preserve">and resilient services for critical </w:t>
      </w:r>
      <w:r w:rsidRPr="007229DF">
        <w:t>systems.</w:t>
      </w:r>
    </w:p>
    <w:p w14:paraId="0E37A0C6" w14:textId="7FB7F906" w:rsidR="00785B65" w:rsidRDefault="00785B65" w:rsidP="00785B65">
      <w:pPr>
        <w:spacing w:after="0"/>
      </w:pPr>
    </w:p>
    <w:p w14:paraId="071F84CE" w14:textId="77777777" w:rsidR="00785B65" w:rsidRPr="001C4A62" w:rsidRDefault="00785B65" w:rsidP="00785B65">
      <w:pPr>
        <w:spacing w:after="0"/>
        <w:rPr>
          <w:b/>
          <w:bCs/>
        </w:rPr>
      </w:pPr>
      <w:r w:rsidRPr="001C4A62">
        <w:rPr>
          <w:b/>
          <w:bCs/>
        </w:rPr>
        <w:t>Data Quality Audit 2024/2025</w:t>
      </w:r>
    </w:p>
    <w:p w14:paraId="5F368124" w14:textId="77777777" w:rsidR="00785B65" w:rsidRDefault="00785B65" w:rsidP="00785B65">
      <w:pPr>
        <w:spacing w:after="0"/>
      </w:pPr>
    </w:p>
    <w:p w14:paraId="360F914A" w14:textId="77777777" w:rsidR="00A13A52" w:rsidRDefault="00A13A52" w:rsidP="00785B65">
      <w:pPr>
        <w:spacing w:after="0"/>
      </w:pPr>
    </w:p>
    <w:p w14:paraId="1BFD9F35" w14:textId="77777777" w:rsidR="00A13A52" w:rsidRDefault="00A13A52" w:rsidP="00785B65">
      <w:pPr>
        <w:spacing w:after="0"/>
      </w:pPr>
    </w:p>
    <w:p w14:paraId="490525A8" w14:textId="77777777" w:rsidR="00785B65" w:rsidRDefault="00785B65" w:rsidP="00785B65">
      <w:pPr>
        <w:spacing w:after="0"/>
        <w:rPr>
          <w:kern w:val="2"/>
          <w:lang w:eastAsia="en-GB"/>
          <w14:ligatures w14:val="standardContextual"/>
        </w:rPr>
      </w:pPr>
      <w:r>
        <w:t>The Data Quality Audit carried out in January 2025 identified that formal data quality activity was primarily focused on WPAS.</w:t>
      </w:r>
    </w:p>
    <w:p w14:paraId="6582873B" w14:textId="77777777" w:rsidR="00785B65" w:rsidRPr="006E2E07" w:rsidRDefault="00785B65" w:rsidP="00785B65">
      <w:pPr>
        <w:spacing w:after="0"/>
      </w:pPr>
    </w:p>
    <w:p w14:paraId="5B8ABD2C" w14:textId="77777777" w:rsidR="00785B65" w:rsidRDefault="00785B65" w:rsidP="00785B65">
      <w:pPr>
        <w:spacing w:after="0"/>
        <w:rPr>
          <w:kern w:val="2"/>
          <w:lang w:eastAsia="en-GB"/>
          <w14:ligatures w14:val="standardContextual"/>
        </w:rPr>
      </w:pPr>
      <w:r>
        <w:t>The Product Specialists in Digital Applications who manage clinical systems carry out various data quality tasks as part of their day-to-day duties, and data quality forms part of their job descriptions.</w:t>
      </w:r>
    </w:p>
    <w:p w14:paraId="7488198C" w14:textId="77777777" w:rsidR="00785B65" w:rsidRDefault="00785B65" w:rsidP="00785B65">
      <w:pPr>
        <w:spacing w:after="0"/>
      </w:pPr>
    </w:p>
    <w:p w14:paraId="24490486" w14:textId="77777777" w:rsidR="00785B65" w:rsidRDefault="00785B65" w:rsidP="00785B65">
      <w:pPr>
        <w:spacing w:after="0"/>
        <w:rPr>
          <w:b/>
          <w:bCs/>
        </w:rPr>
      </w:pPr>
      <w:r>
        <w:t>There are two outstanding audit actions relating to Data Quality Monitoring and Reporting for systems managed within Digital Systems:</w:t>
      </w:r>
    </w:p>
    <w:p w14:paraId="203F5B7A" w14:textId="77777777" w:rsidR="00785B65" w:rsidRPr="00514417" w:rsidRDefault="00785B65" w:rsidP="00785B65">
      <w:pPr>
        <w:spacing w:after="0"/>
      </w:pPr>
    </w:p>
    <w:p w14:paraId="39A52625" w14:textId="77777777" w:rsidR="00785B65" w:rsidRPr="00514417" w:rsidRDefault="00785B65" w:rsidP="00785B65">
      <w:pPr>
        <w:pStyle w:val="ListParagraph"/>
        <w:numPr>
          <w:ilvl w:val="0"/>
          <w:numId w:val="2"/>
        </w:numPr>
        <w:spacing w:after="120"/>
        <w:ind w:left="714" w:hanging="357"/>
        <w:contextualSpacing w:val="0"/>
      </w:pPr>
      <w:r w:rsidRPr="00C83DB2">
        <w:t>Data Quality Monitoring - data quality measures for the systems managed by Digital Services will be formalised, documented and monitored to allow reporting and therefore improved oversight.</w:t>
      </w:r>
    </w:p>
    <w:p w14:paraId="0FB53695" w14:textId="77777777" w:rsidR="00785B65" w:rsidRPr="00501B14" w:rsidRDefault="00785B65" w:rsidP="00785B65">
      <w:pPr>
        <w:pStyle w:val="ListParagraph"/>
        <w:numPr>
          <w:ilvl w:val="0"/>
          <w:numId w:val="2"/>
        </w:numPr>
      </w:pPr>
      <w:r>
        <w:lastRenderedPageBreak/>
        <w:t>Data Quality Reporting - provide data quality updates and improvement plans to the Information Governance Log (IGLOG) for systems managed within the Clinical Systems and Data Quality team in Digital Services.</w:t>
      </w:r>
    </w:p>
    <w:p w14:paraId="35FB9D24" w14:textId="0189616D" w:rsidR="00785B65" w:rsidRDefault="00785B65" w:rsidP="00785B65">
      <w:pPr>
        <w:spacing w:before="120" w:after="0"/>
        <w:rPr>
          <w:kern w:val="2"/>
          <w:lang w:eastAsia="en-GB"/>
          <w14:ligatures w14:val="standardContextual"/>
        </w:rPr>
      </w:pPr>
      <w:r>
        <w:t xml:space="preserve">This work has been delayed due to capacity within the team to formalise the processes that are followed and to then report them to IGLOG. The target date for completion of both these actions is </w:t>
      </w:r>
      <w:r w:rsidR="00672F8F">
        <w:t>Q</w:t>
      </w:r>
      <w:r w:rsidR="002E38C9">
        <w:t>3</w:t>
      </w:r>
      <w:r>
        <w:t xml:space="preserve"> 2026.</w:t>
      </w:r>
    </w:p>
    <w:p w14:paraId="10C82B99" w14:textId="77777777" w:rsidR="00785B65" w:rsidRDefault="00785B65" w:rsidP="00785B65">
      <w:pPr>
        <w:spacing w:after="0"/>
      </w:pPr>
    </w:p>
    <w:p w14:paraId="6A3D44ED" w14:textId="77777777" w:rsidR="00785B65" w:rsidRPr="00C92DF4" w:rsidRDefault="00785B65" w:rsidP="00785B65">
      <w:pPr>
        <w:spacing w:after="0"/>
        <w:rPr>
          <w:b/>
          <w:bCs/>
        </w:rPr>
      </w:pPr>
      <w:r w:rsidRPr="00C92DF4">
        <w:rPr>
          <w:b/>
          <w:bCs/>
        </w:rPr>
        <w:t>Signal System Audit 2024</w:t>
      </w:r>
    </w:p>
    <w:p w14:paraId="4B8A28B7" w14:textId="77777777" w:rsidR="00785B65" w:rsidRDefault="00785B65" w:rsidP="00785B65">
      <w:pPr>
        <w:spacing w:after="0"/>
      </w:pPr>
    </w:p>
    <w:p w14:paraId="603BDC22" w14:textId="5931087C" w:rsidR="00D14FC8" w:rsidRDefault="00D14FC8" w:rsidP="00785B65">
      <w:pPr>
        <w:spacing w:after="0"/>
      </w:pPr>
      <w:r>
        <w:t xml:space="preserve">Signal v4 which is currently in development </w:t>
      </w:r>
      <w:r w:rsidR="00C162A9">
        <w:t>with an anticipated go live in Q3 2026/ 27 will address this recommendation.</w:t>
      </w:r>
    </w:p>
    <w:p w14:paraId="037A1B3B" w14:textId="77777777" w:rsidR="00D14FC8" w:rsidRDefault="00D14FC8" w:rsidP="00785B65">
      <w:pPr>
        <w:spacing w:after="0"/>
      </w:pPr>
    </w:p>
    <w:p w14:paraId="0E48CE8C" w14:textId="77777777" w:rsidR="00785B65" w:rsidRDefault="00785B65" w:rsidP="00785B65">
      <w:pPr>
        <w:spacing w:after="0"/>
      </w:pPr>
      <w:r>
        <w:t>The Signal System Audit recommended that:</w:t>
      </w:r>
    </w:p>
    <w:p w14:paraId="1A289113" w14:textId="77777777" w:rsidR="00785B65" w:rsidRPr="00030985" w:rsidRDefault="00785B65" w:rsidP="00785B65">
      <w:pPr>
        <w:pStyle w:val="ListParagraph"/>
        <w:numPr>
          <w:ilvl w:val="0"/>
          <w:numId w:val="2"/>
        </w:numPr>
        <w:spacing w:before="120" w:after="0"/>
      </w:pPr>
      <w:r w:rsidRPr="00030985">
        <w:t>Management should consider implementing duplication controls for patients entered manually within SIGNAL.</w:t>
      </w:r>
    </w:p>
    <w:p w14:paraId="215252EE" w14:textId="77777777" w:rsidR="00785B65" w:rsidRDefault="00785B65" w:rsidP="00785B65">
      <w:pPr>
        <w:spacing w:before="120" w:after="0"/>
        <w:rPr>
          <w:kern w:val="2"/>
          <w:lang w:eastAsia="en-GB"/>
          <w14:ligatures w14:val="standardContextual"/>
        </w:rPr>
      </w:pPr>
      <w:r>
        <w:t>At the time of the audit, manual patient entry was expected to be limited to Mortuary use. It has since been confirmed that, with the release of Signal 4.0, all manually referred patients must be linked to a valid hospital number before admission, reducing the risk of duplicate records.</w:t>
      </w:r>
    </w:p>
    <w:p w14:paraId="6E4443CF" w14:textId="77777777" w:rsidR="00785B65" w:rsidRDefault="00785B65" w:rsidP="00785B65">
      <w:pPr>
        <w:spacing w:before="120" w:after="0"/>
        <w:rPr>
          <w:kern w:val="2"/>
          <w:lang w:eastAsia="en-GB"/>
          <w14:ligatures w14:val="standardContextual"/>
        </w:rPr>
      </w:pPr>
      <w:r>
        <w:t>Signal v4 is a highly complex development and represents a fundamental shift in the way in which Admissions, Discharges and Transfers (ADT) are processed.</w:t>
      </w:r>
    </w:p>
    <w:p w14:paraId="4BEA43C0" w14:textId="77777777" w:rsidR="00785B65" w:rsidRDefault="00785B65" w:rsidP="00785B65">
      <w:pPr>
        <w:spacing w:before="120" w:after="0"/>
        <w:rPr>
          <w:b/>
          <w:bCs/>
          <w:lang w:eastAsia="en-GB"/>
        </w:rPr>
      </w:pPr>
      <w:r>
        <w:rPr>
          <w:lang w:eastAsia="en-GB"/>
        </w:rPr>
        <w:t>Design work for Signal v4 started in April 2024. However, emerging high priority requirements for Signal resulted in this work being paused. This included integration with HEPMA and enhancements to support Discharge to Recover then Assess (D2RA).</w:t>
      </w:r>
    </w:p>
    <w:p w14:paraId="7535F7C9" w14:textId="77777777" w:rsidR="00785B65" w:rsidRDefault="00785B65" w:rsidP="00785B65">
      <w:pPr>
        <w:spacing w:before="120" w:after="0"/>
        <w:rPr>
          <w:kern w:val="2"/>
          <w:lang w:eastAsia="en-GB"/>
          <w14:ligatures w14:val="standardContextual"/>
        </w:rPr>
      </w:pPr>
      <w:r>
        <w:t>A change freeze for Signal was agreed by the Planned Care and Cancer Board to allow the focus on developing version 4. Testing is entering its final phases with an anticipated go live in Quarter 3 2026/27.</w:t>
      </w:r>
    </w:p>
    <w:p w14:paraId="36BC1E3E" w14:textId="77777777" w:rsidR="000D5D0C" w:rsidRDefault="000D5D0C"/>
    <w:sectPr w:rsidR="000D5D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741D6E"/>
    <w:multiLevelType w:val="hybridMultilevel"/>
    <w:tmpl w:val="5F50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846C3D"/>
    <w:multiLevelType w:val="hybridMultilevel"/>
    <w:tmpl w:val="6B16AD5E"/>
    <w:lvl w:ilvl="0" w:tplc="AB52EA96">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6850639">
    <w:abstractNumId w:val="1"/>
  </w:num>
  <w:num w:numId="2" w16cid:durableId="78592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65"/>
    <w:rsid w:val="00015F59"/>
    <w:rsid w:val="00017006"/>
    <w:rsid w:val="000249EE"/>
    <w:rsid w:val="000755FA"/>
    <w:rsid w:val="00095432"/>
    <w:rsid w:val="00097463"/>
    <w:rsid w:val="000B0BA1"/>
    <w:rsid w:val="000D5D0C"/>
    <w:rsid w:val="000D79D9"/>
    <w:rsid w:val="001007F4"/>
    <w:rsid w:val="001408C2"/>
    <w:rsid w:val="00160FBA"/>
    <w:rsid w:val="001742F0"/>
    <w:rsid w:val="001B6CCE"/>
    <w:rsid w:val="001C4F25"/>
    <w:rsid w:val="001C7F01"/>
    <w:rsid w:val="001D6BB8"/>
    <w:rsid w:val="002076C2"/>
    <w:rsid w:val="0022400E"/>
    <w:rsid w:val="00265D4F"/>
    <w:rsid w:val="002D1F1B"/>
    <w:rsid w:val="002E38C9"/>
    <w:rsid w:val="002E6970"/>
    <w:rsid w:val="003067A7"/>
    <w:rsid w:val="003122F7"/>
    <w:rsid w:val="003230D7"/>
    <w:rsid w:val="003912ED"/>
    <w:rsid w:val="003946BA"/>
    <w:rsid w:val="0039759C"/>
    <w:rsid w:val="003A5FA2"/>
    <w:rsid w:val="003B07EA"/>
    <w:rsid w:val="003B1AF4"/>
    <w:rsid w:val="003C0170"/>
    <w:rsid w:val="00401F21"/>
    <w:rsid w:val="00440A6C"/>
    <w:rsid w:val="00450B3B"/>
    <w:rsid w:val="00460836"/>
    <w:rsid w:val="00461288"/>
    <w:rsid w:val="004D7062"/>
    <w:rsid w:val="004F1431"/>
    <w:rsid w:val="00514645"/>
    <w:rsid w:val="00550794"/>
    <w:rsid w:val="00565BEC"/>
    <w:rsid w:val="0056656D"/>
    <w:rsid w:val="005F686E"/>
    <w:rsid w:val="006417B9"/>
    <w:rsid w:val="00641C9E"/>
    <w:rsid w:val="00671D9C"/>
    <w:rsid w:val="00672F8F"/>
    <w:rsid w:val="00684B5F"/>
    <w:rsid w:val="00695930"/>
    <w:rsid w:val="006C0F81"/>
    <w:rsid w:val="006E78A4"/>
    <w:rsid w:val="007229DF"/>
    <w:rsid w:val="00736B71"/>
    <w:rsid w:val="00785B65"/>
    <w:rsid w:val="007900A6"/>
    <w:rsid w:val="007C230B"/>
    <w:rsid w:val="008556D1"/>
    <w:rsid w:val="00871431"/>
    <w:rsid w:val="008961DD"/>
    <w:rsid w:val="008A3C6A"/>
    <w:rsid w:val="008A3D80"/>
    <w:rsid w:val="008C2D07"/>
    <w:rsid w:val="00916BAF"/>
    <w:rsid w:val="009568F8"/>
    <w:rsid w:val="00976D64"/>
    <w:rsid w:val="00977F9F"/>
    <w:rsid w:val="009845D6"/>
    <w:rsid w:val="009A466C"/>
    <w:rsid w:val="009B11BF"/>
    <w:rsid w:val="009D7D86"/>
    <w:rsid w:val="009F0FDC"/>
    <w:rsid w:val="009F4A64"/>
    <w:rsid w:val="00A13A52"/>
    <w:rsid w:val="00A13BD2"/>
    <w:rsid w:val="00A22D10"/>
    <w:rsid w:val="00A349A3"/>
    <w:rsid w:val="00A532E4"/>
    <w:rsid w:val="00A651F0"/>
    <w:rsid w:val="00A65A3B"/>
    <w:rsid w:val="00AB0245"/>
    <w:rsid w:val="00AC093C"/>
    <w:rsid w:val="00AC5056"/>
    <w:rsid w:val="00B440BC"/>
    <w:rsid w:val="00B84B98"/>
    <w:rsid w:val="00BA0502"/>
    <w:rsid w:val="00BC25E4"/>
    <w:rsid w:val="00BE0AC5"/>
    <w:rsid w:val="00C05B5F"/>
    <w:rsid w:val="00C162A9"/>
    <w:rsid w:val="00C33337"/>
    <w:rsid w:val="00C40C2B"/>
    <w:rsid w:val="00CB16B2"/>
    <w:rsid w:val="00CC1D36"/>
    <w:rsid w:val="00CC2802"/>
    <w:rsid w:val="00CE10B7"/>
    <w:rsid w:val="00CF196B"/>
    <w:rsid w:val="00D01F17"/>
    <w:rsid w:val="00D14FC8"/>
    <w:rsid w:val="00D434E1"/>
    <w:rsid w:val="00D546FC"/>
    <w:rsid w:val="00D94F7B"/>
    <w:rsid w:val="00DA2C94"/>
    <w:rsid w:val="00E02EDD"/>
    <w:rsid w:val="00E078F2"/>
    <w:rsid w:val="00E251C3"/>
    <w:rsid w:val="00E517E7"/>
    <w:rsid w:val="00E97A9E"/>
    <w:rsid w:val="00EA2BE4"/>
    <w:rsid w:val="00EB746C"/>
    <w:rsid w:val="00EC0F45"/>
    <w:rsid w:val="00EC341A"/>
    <w:rsid w:val="00F20101"/>
    <w:rsid w:val="00F27E0F"/>
    <w:rsid w:val="00F80382"/>
    <w:rsid w:val="00F828CA"/>
    <w:rsid w:val="00F85699"/>
    <w:rsid w:val="00FA6B03"/>
    <w:rsid w:val="00FB3287"/>
    <w:rsid w:val="00FB6E68"/>
    <w:rsid w:val="00FE5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3FD00"/>
  <w15:chartTrackingRefBased/>
  <w15:docId w15:val="{C7CC495C-2DEB-4930-A440-392A83D2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B65"/>
    <w:pPr>
      <w:spacing w:line="259" w:lineRule="auto"/>
    </w:pPr>
    <w:rPr>
      <w:rFonts w:ascii="Verdana" w:hAnsi="Verdana" w:cs="Arial"/>
      <w:kern w:val="0"/>
      <w14:ligatures w14:val="none"/>
    </w:rPr>
  </w:style>
  <w:style w:type="paragraph" w:styleId="Heading1">
    <w:name w:val="heading 1"/>
    <w:basedOn w:val="Normal"/>
    <w:next w:val="Normal"/>
    <w:link w:val="Heading1Char"/>
    <w:uiPriority w:val="9"/>
    <w:qFormat/>
    <w:rsid w:val="00785B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B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B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B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B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B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B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B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B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B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B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B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B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B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B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B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B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B65"/>
    <w:rPr>
      <w:rFonts w:eastAsiaTheme="majorEastAsia" w:cstheme="majorBidi"/>
      <w:color w:val="272727" w:themeColor="text1" w:themeTint="D8"/>
    </w:rPr>
  </w:style>
  <w:style w:type="paragraph" w:styleId="Title">
    <w:name w:val="Title"/>
    <w:basedOn w:val="Normal"/>
    <w:next w:val="Normal"/>
    <w:link w:val="TitleChar"/>
    <w:uiPriority w:val="10"/>
    <w:qFormat/>
    <w:rsid w:val="00785B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B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B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B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B65"/>
    <w:pPr>
      <w:spacing w:before="160"/>
      <w:jc w:val="center"/>
    </w:pPr>
    <w:rPr>
      <w:i/>
      <w:iCs/>
      <w:color w:val="404040" w:themeColor="text1" w:themeTint="BF"/>
    </w:rPr>
  </w:style>
  <w:style w:type="character" w:customStyle="1" w:styleId="QuoteChar">
    <w:name w:val="Quote Char"/>
    <w:basedOn w:val="DefaultParagraphFont"/>
    <w:link w:val="Quote"/>
    <w:uiPriority w:val="29"/>
    <w:rsid w:val="00785B65"/>
    <w:rPr>
      <w:i/>
      <w:iCs/>
      <w:color w:val="404040" w:themeColor="text1" w:themeTint="BF"/>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785B65"/>
    <w:pPr>
      <w:ind w:left="720"/>
      <w:contextualSpacing/>
    </w:pPr>
  </w:style>
  <w:style w:type="character" w:styleId="IntenseEmphasis">
    <w:name w:val="Intense Emphasis"/>
    <w:basedOn w:val="DefaultParagraphFont"/>
    <w:uiPriority w:val="21"/>
    <w:qFormat/>
    <w:rsid w:val="00785B65"/>
    <w:rPr>
      <w:i/>
      <w:iCs/>
      <w:color w:val="0F4761" w:themeColor="accent1" w:themeShade="BF"/>
    </w:rPr>
  </w:style>
  <w:style w:type="paragraph" w:styleId="IntenseQuote">
    <w:name w:val="Intense Quote"/>
    <w:basedOn w:val="Normal"/>
    <w:next w:val="Normal"/>
    <w:link w:val="IntenseQuoteChar"/>
    <w:uiPriority w:val="30"/>
    <w:qFormat/>
    <w:rsid w:val="00785B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B65"/>
    <w:rPr>
      <w:i/>
      <w:iCs/>
      <w:color w:val="0F4761" w:themeColor="accent1" w:themeShade="BF"/>
    </w:rPr>
  </w:style>
  <w:style w:type="character" w:styleId="IntenseReference">
    <w:name w:val="Intense Reference"/>
    <w:basedOn w:val="DefaultParagraphFont"/>
    <w:uiPriority w:val="32"/>
    <w:qFormat/>
    <w:rsid w:val="00785B65"/>
    <w:rPr>
      <w:b/>
      <w:bCs/>
      <w:smallCaps/>
      <w:color w:val="0F4761" w:themeColor="accent1" w:themeShade="BF"/>
      <w:spacing w:val="5"/>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qFormat/>
    <w:rsid w:val="00785B65"/>
  </w:style>
  <w:style w:type="character" w:styleId="CommentReference">
    <w:name w:val="annotation reference"/>
    <w:basedOn w:val="DefaultParagraphFont"/>
    <w:uiPriority w:val="99"/>
    <w:semiHidden/>
    <w:unhideWhenUsed/>
    <w:rsid w:val="00EA2BE4"/>
    <w:rPr>
      <w:sz w:val="16"/>
      <w:szCs w:val="16"/>
    </w:rPr>
  </w:style>
  <w:style w:type="paragraph" w:styleId="CommentText">
    <w:name w:val="annotation text"/>
    <w:basedOn w:val="Normal"/>
    <w:link w:val="CommentTextChar"/>
    <w:uiPriority w:val="99"/>
    <w:unhideWhenUsed/>
    <w:rsid w:val="00EA2BE4"/>
    <w:pPr>
      <w:spacing w:line="240" w:lineRule="auto"/>
    </w:pPr>
    <w:rPr>
      <w:sz w:val="20"/>
      <w:szCs w:val="20"/>
    </w:rPr>
  </w:style>
  <w:style w:type="character" w:customStyle="1" w:styleId="CommentTextChar">
    <w:name w:val="Comment Text Char"/>
    <w:basedOn w:val="DefaultParagraphFont"/>
    <w:link w:val="CommentText"/>
    <w:uiPriority w:val="99"/>
    <w:rsid w:val="00EA2BE4"/>
    <w:rPr>
      <w:rFonts w:ascii="Verdana" w:hAnsi="Verdana"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A2BE4"/>
    <w:rPr>
      <w:b/>
      <w:bCs/>
    </w:rPr>
  </w:style>
  <w:style w:type="character" w:customStyle="1" w:styleId="CommentSubjectChar">
    <w:name w:val="Comment Subject Char"/>
    <w:basedOn w:val="CommentTextChar"/>
    <w:link w:val="CommentSubject"/>
    <w:uiPriority w:val="99"/>
    <w:semiHidden/>
    <w:rsid w:val="00EA2BE4"/>
    <w:rPr>
      <w:rFonts w:ascii="Verdana" w:hAnsi="Verdana"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26716C-FAA9-4650-B0FB-D260EF25A676}"/>
</file>

<file path=customXml/itemProps2.xml><?xml version="1.0" encoding="utf-8"?>
<ds:datastoreItem xmlns:ds="http://schemas.openxmlformats.org/officeDocument/2006/customXml" ds:itemID="{1389D850-8EF2-48B4-B05F-866D17778232}">
  <ds:schemaRefs>
    <ds:schemaRef ds:uri="http://schemas.microsoft.com/office/2006/metadata/properties"/>
    <ds:schemaRef ds:uri="http://schemas.microsoft.com/office/infopath/2007/PartnerControls"/>
    <ds:schemaRef ds:uri="2cdd0f6b-12eb-4a7c-9667-d7cbf3b2c716"/>
  </ds:schemaRefs>
</ds:datastoreItem>
</file>

<file path=customXml/itemProps3.xml><?xml version="1.0" encoding="utf-8"?>
<ds:datastoreItem xmlns:ds="http://schemas.openxmlformats.org/officeDocument/2006/customXml" ds:itemID="{E450BDB7-2532-4090-A420-C6E0EB8E59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538</Words>
  <Characters>3071</Characters>
  <Application>Microsoft Office Word</Application>
  <DocSecurity>0</DocSecurity>
  <Lines>25</Lines>
  <Paragraphs>7</Paragraphs>
  <ScaleCrop>false</ScaleCrop>
  <Company>SBU</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Levi (Swansea Bay UHB - Digital Services)</dc:creator>
  <cp:keywords/>
  <dc:description/>
  <cp:lastModifiedBy>Rachel Levi (Swansea Bay UHB - Digital Services)</cp:lastModifiedBy>
  <cp:revision>13</cp:revision>
  <dcterms:created xsi:type="dcterms:W3CDTF">2026-09-03T16:31:00Z</dcterms:created>
  <dcterms:modified xsi:type="dcterms:W3CDTF">2026-09-04T16:16:00Z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ies>
</file>