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595831" w14:textId="51EFA032" w:rsidR="00E50C67" w:rsidRDefault="00E50C67" w:rsidP="00E50C67">
      <w:pPr>
        <w:spacing w:after="0" w:line="240" w:lineRule="auto"/>
        <w:textAlignment w:val="baseline"/>
        <w:rPr>
          <w:rFonts w:ascii="Verdana" w:eastAsia="Times New Roman" w:hAnsi="Verdana" w:cs="Segoe UI"/>
          <w:sz w:val="24"/>
          <w:szCs w:val="24"/>
          <w:lang w:eastAsia="en-GB"/>
        </w:rPr>
      </w:pPr>
      <w:r>
        <w:rPr>
          <w:rStyle w:val="normaltextrun"/>
          <w:rFonts w:ascii="Verdana" w:hAnsi="Verdana"/>
          <w:b/>
          <w:bCs/>
          <w:color w:val="000000"/>
          <w:shd w:val="clear" w:color="auto" w:fill="FFFFFF"/>
        </w:rPr>
        <w:t>Appendix 1 – Digital delivery: Q2 progress report</w:t>
      </w:r>
      <w:r>
        <w:rPr>
          <w:rStyle w:val="eop"/>
          <w:rFonts w:ascii="Verdana" w:hAnsi="Verdana"/>
          <w:color w:val="000000"/>
          <w:shd w:val="clear" w:color="auto" w:fill="FFFFFF"/>
        </w:rPr>
        <w:t> </w:t>
      </w:r>
    </w:p>
    <w:p w14:paraId="4729AFF1" w14:textId="77777777" w:rsidR="00E50C67" w:rsidRDefault="00E50C67" w:rsidP="00E50C67">
      <w:pPr>
        <w:spacing w:after="0" w:line="240" w:lineRule="auto"/>
        <w:textAlignment w:val="baseline"/>
        <w:rPr>
          <w:rFonts w:ascii="Verdana" w:eastAsia="Times New Roman" w:hAnsi="Verdana" w:cs="Segoe UI"/>
          <w:sz w:val="24"/>
          <w:szCs w:val="24"/>
          <w:lang w:eastAsia="en-GB"/>
        </w:rPr>
      </w:pPr>
    </w:p>
    <w:p w14:paraId="6BA58B79" w14:textId="2E9938ED"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The Red Amber Green (RAG) status used within this report is set out below.   </w:t>
      </w:r>
    </w:p>
    <w:p w14:paraId="48E47E9E"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00DA4F57"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sz w:val="24"/>
          <w:szCs w:val="24"/>
          <w:lang w:eastAsia="en-GB"/>
        </w:rPr>
        <w:t>Table 1</w:t>
      </w:r>
      <w:r w:rsidRPr="00E50C67">
        <w:rPr>
          <w:rFonts w:ascii="Verdana" w:eastAsia="Times New Roman" w:hAnsi="Verdana" w:cs="Segoe UI"/>
          <w:sz w:val="24"/>
          <w:szCs w:val="24"/>
          <w:lang w:eastAsia="en-GB"/>
        </w:rPr>
        <w:t> </w:t>
      </w:r>
    </w:p>
    <w:p w14:paraId="52226B36"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5"/>
        <w:gridCol w:w="7890"/>
      </w:tblGrid>
      <w:tr w:rsidR="00E50C67" w:rsidRPr="00E50C67" w14:paraId="6110430B" w14:textId="77777777" w:rsidTr="00E50C67">
        <w:trPr>
          <w:trHeight w:val="300"/>
        </w:trPr>
        <w:tc>
          <w:tcPr>
            <w:tcW w:w="1095" w:type="dxa"/>
            <w:tcBorders>
              <w:top w:val="single" w:sz="6" w:space="0" w:color="auto"/>
              <w:left w:val="single" w:sz="6" w:space="0" w:color="auto"/>
              <w:bottom w:val="single" w:sz="6" w:space="0" w:color="auto"/>
              <w:right w:val="single" w:sz="6" w:space="0" w:color="auto"/>
            </w:tcBorders>
            <w:shd w:val="clear" w:color="auto" w:fill="00B050"/>
            <w:hideMark/>
          </w:tcPr>
          <w:p w14:paraId="0D77CFB6" w14:textId="77777777" w:rsidR="00E50C67" w:rsidRPr="00E50C67" w:rsidRDefault="00E50C67" w:rsidP="00E50C67">
            <w:pPr>
              <w:spacing w:after="0" w:line="240" w:lineRule="auto"/>
              <w:textAlignment w:val="baseline"/>
              <w:rPr>
                <w:rFonts w:ascii="Times New Roman" w:eastAsia="Times New Roman" w:hAnsi="Times New Roman" w:cs="Times New Roman"/>
                <w:sz w:val="24"/>
                <w:szCs w:val="24"/>
                <w:lang w:eastAsia="en-GB"/>
              </w:rPr>
            </w:pPr>
            <w:r w:rsidRPr="00E50C67">
              <w:rPr>
                <w:rFonts w:ascii="Verdana" w:eastAsia="Times New Roman" w:hAnsi="Verdana" w:cs="Times New Roman"/>
                <w:b/>
                <w:bCs/>
                <w:sz w:val="24"/>
                <w:szCs w:val="24"/>
                <w:lang w:eastAsia="en-GB"/>
              </w:rPr>
              <w:t>Green</w:t>
            </w:r>
            <w:r w:rsidRPr="00E50C67">
              <w:rPr>
                <w:rFonts w:ascii="Verdana" w:eastAsia="Times New Roman" w:hAnsi="Verdana" w:cs="Times New Roman"/>
                <w:sz w:val="24"/>
                <w:szCs w:val="24"/>
                <w:lang w:eastAsia="en-GB"/>
              </w:rPr>
              <w:t> </w:t>
            </w:r>
          </w:p>
        </w:tc>
        <w:tc>
          <w:tcPr>
            <w:tcW w:w="7890" w:type="dxa"/>
            <w:tcBorders>
              <w:top w:val="single" w:sz="6" w:space="0" w:color="auto"/>
              <w:left w:val="nil"/>
              <w:bottom w:val="single" w:sz="6" w:space="0" w:color="auto"/>
              <w:right w:val="single" w:sz="6" w:space="0" w:color="auto"/>
            </w:tcBorders>
            <w:shd w:val="clear" w:color="auto" w:fill="auto"/>
            <w:hideMark/>
          </w:tcPr>
          <w:p w14:paraId="486836EF" w14:textId="77777777" w:rsidR="00E50C67" w:rsidRPr="00E50C67" w:rsidRDefault="00E50C67" w:rsidP="00E50C67">
            <w:pPr>
              <w:spacing w:after="0" w:line="240" w:lineRule="auto"/>
              <w:textAlignment w:val="baseline"/>
              <w:rPr>
                <w:rFonts w:ascii="Times New Roman" w:eastAsia="Times New Roman" w:hAnsi="Times New Roman" w:cs="Times New Roman"/>
                <w:sz w:val="24"/>
                <w:szCs w:val="24"/>
                <w:lang w:eastAsia="en-GB"/>
              </w:rPr>
            </w:pPr>
            <w:r w:rsidRPr="00E50C67">
              <w:rPr>
                <w:rFonts w:ascii="Verdana" w:eastAsia="Times New Roman" w:hAnsi="Verdana" w:cs="Times New Roman"/>
                <w:b/>
                <w:bCs/>
                <w:sz w:val="24"/>
                <w:szCs w:val="24"/>
                <w:lang w:eastAsia="en-GB"/>
              </w:rPr>
              <w:t xml:space="preserve">ON TRACK </w:t>
            </w:r>
            <w:r w:rsidRPr="00E50C67">
              <w:rPr>
                <w:rFonts w:ascii="Verdana" w:eastAsia="Times New Roman" w:hAnsi="Verdana" w:cs="Times New Roman"/>
                <w:sz w:val="24"/>
                <w:szCs w:val="24"/>
                <w:lang w:eastAsia="en-GB"/>
              </w:rPr>
              <w:t>- Action progressing as planned and to agreed timelines </w:t>
            </w:r>
          </w:p>
        </w:tc>
      </w:tr>
      <w:tr w:rsidR="00E50C67" w:rsidRPr="00E50C67" w14:paraId="5905F7B6" w14:textId="77777777" w:rsidTr="00E50C67">
        <w:trPr>
          <w:trHeight w:val="300"/>
        </w:trPr>
        <w:tc>
          <w:tcPr>
            <w:tcW w:w="1095" w:type="dxa"/>
            <w:tcBorders>
              <w:top w:val="nil"/>
              <w:left w:val="single" w:sz="6" w:space="0" w:color="auto"/>
              <w:bottom w:val="single" w:sz="6" w:space="0" w:color="auto"/>
              <w:right w:val="single" w:sz="6" w:space="0" w:color="auto"/>
            </w:tcBorders>
            <w:shd w:val="clear" w:color="auto" w:fill="FFC000"/>
            <w:hideMark/>
          </w:tcPr>
          <w:p w14:paraId="47E8DD21" w14:textId="77777777" w:rsidR="00E50C67" w:rsidRPr="00E50C67" w:rsidRDefault="00E50C67" w:rsidP="00E50C67">
            <w:pPr>
              <w:spacing w:after="0" w:line="240" w:lineRule="auto"/>
              <w:textAlignment w:val="baseline"/>
              <w:rPr>
                <w:rFonts w:ascii="Times New Roman" w:eastAsia="Times New Roman" w:hAnsi="Times New Roman" w:cs="Times New Roman"/>
                <w:sz w:val="24"/>
                <w:szCs w:val="24"/>
                <w:lang w:eastAsia="en-GB"/>
              </w:rPr>
            </w:pPr>
            <w:r w:rsidRPr="00E50C67">
              <w:rPr>
                <w:rFonts w:ascii="Verdana" w:eastAsia="Times New Roman" w:hAnsi="Verdana" w:cs="Times New Roman"/>
                <w:b/>
                <w:bCs/>
                <w:sz w:val="24"/>
                <w:szCs w:val="24"/>
                <w:lang w:eastAsia="en-GB"/>
              </w:rPr>
              <w:t>Amber</w:t>
            </w:r>
            <w:r w:rsidRPr="00E50C67">
              <w:rPr>
                <w:rFonts w:ascii="Verdana" w:eastAsia="Times New Roman" w:hAnsi="Verdana" w:cs="Times New Roman"/>
                <w:sz w:val="24"/>
                <w:szCs w:val="24"/>
                <w:lang w:eastAsia="en-GB"/>
              </w:rPr>
              <w:t> </w:t>
            </w:r>
          </w:p>
        </w:tc>
        <w:tc>
          <w:tcPr>
            <w:tcW w:w="7890" w:type="dxa"/>
            <w:tcBorders>
              <w:top w:val="nil"/>
              <w:left w:val="nil"/>
              <w:bottom w:val="single" w:sz="6" w:space="0" w:color="auto"/>
              <w:right w:val="single" w:sz="6" w:space="0" w:color="auto"/>
            </w:tcBorders>
            <w:shd w:val="clear" w:color="auto" w:fill="auto"/>
            <w:hideMark/>
          </w:tcPr>
          <w:p w14:paraId="4B78168D" w14:textId="77777777" w:rsidR="00E50C67" w:rsidRPr="00E50C67" w:rsidRDefault="00E50C67" w:rsidP="00E50C67">
            <w:pPr>
              <w:spacing w:after="0" w:line="240" w:lineRule="auto"/>
              <w:textAlignment w:val="baseline"/>
              <w:rPr>
                <w:rFonts w:ascii="Times New Roman" w:eastAsia="Times New Roman" w:hAnsi="Times New Roman" w:cs="Times New Roman"/>
                <w:sz w:val="24"/>
                <w:szCs w:val="24"/>
                <w:lang w:eastAsia="en-GB"/>
              </w:rPr>
            </w:pPr>
            <w:r w:rsidRPr="00E50C67">
              <w:rPr>
                <w:rFonts w:ascii="Verdana" w:eastAsia="Times New Roman" w:hAnsi="Verdana" w:cs="Times New Roman"/>
                <w:b/>
                <w:bCs/>
                <w:sz w:val="24"/>
                <w:szCs w:val="24"/>
                <w:lang w:eastAsia="en-GB"/>
              </w:rPr>
              <w:t>OFF TRACK</w:t>
            </w:r>
            <w:r w:rsidRPr="00E50C67">
              <w:rPr>
                <w:rFonts w:ascii="Verdana" w:eastAsia="Times New Roman" w:hAnsi="Verdana" w:cs="Times New Roman"/>
                <w:sz w:val="24"/>
                <w:szCs w:val="24"/>
                <w:lang w:eastAsia="en-GB"/>
              </w:rPr>
              <w:t xml:space="preserve"> - Action not progressing as planned/to original timelines, however this is manageable, and mitigating actions are in place </w:t>
            </w:r>
          </w:p>
        </w:tc>
      </w:tr>
      <w:tr w:rsidR="00E50C67" w:rsidRPr="00E50C67" w14:paraId="0AB1F544" w14:textId="77777777" w:rsidTr="00E50C67">
        <w:trPr>
          <w:trHeight w:val="300"/>
        </w:trPr>
        <w:tc>
          <w:tcPr>
            <w:tcW w:w="1095" w:type="dxa"/>
            <w:tcBorders>
              <w:top w:val="nil"/>
              <w:left w:val="single" w:sz="6" w:space="0" w:color="auto"/>
              <w:bottom w:val="single" w:sz="6" w:space="0" w:color="auto"/>
              <w:right w:val="single" w:sz="6" w:space="0" w:color="auto"/>
            </w:tcBorders>
            <w:shd w:val="clear" w:color="auto" w:fill="FF0000"/>
            <w:hideMark/>
          </w:tcPr>
          <w:p w14:paraId="54FCEED0" w14:textId="77777777" w:rsidR="00E50C67" w:rsidRPr="00E50C67" w:rsidRDefault="00E50C67" w:rsidP="00E50C67">
            <w:pPr>
              <w:spacing w:after="0" w:line="240" w:lineRule="auto"/>
              <w:textAlignment w:val="baseline"/>
              <w:rPr>
                <w:rFonts w:ascii="Times New Roman" w:eastAsia="Times New Roman" w:hAnsi="Times New Roman" w:cs="Times New Roman"/>
                <w:sz w:val="24"/>
                <w:szCs w:val="24"/>
                <w:lang w:eastAsia="en-GB"/>
              </w:rPr>
            </w:pPr>
            <w:r w:rsidRPr="00E50C67">
              <w:rPr>
                <w:rFonts w:ascii="Verdana" w:eastAsia="Times New Roman" w:hAnsi="Verdana" w:cs="Times New Roman"/>
                <w:b/>
                <w:bCs/>
                <w:sz w:val="24"/>
                <w:szCs w:val="24"/>
                <w:lang w:eastAsia="en-GB"/>
              </w:rPr>
              <w:t>Red</w:t>
            </w:r>
            <w:r w:rsidRPr="00E50C67">
              <w:rPr>
                <w:rFonts w:ascii="Verdana" w:eastAsia="Times New Roman" w:hAnsi="Verdana" w:cs="Times New Roman"/>
                <w:sz w:val="24"/>
                <w:szCs w:val="24"/>
                <w:lang w:eastAsia="en-GB"/>
              </w:rPr>
              <w:t> </w:t>
            </w:r>
          </w:p>
        </w:tc>
        <w:tc>
          <w:tcPr>
            <w:tcW w:w="7890" w:type="dxa"/>
            <w:tcBorders>
              <w:top w:val="nil"/>
              <w:left w:val="nil"/>
              <w:bottom w:val="single" w:sz="6" w:space="0" w:color="auto"/>
              <w:right w:val="single" w:sz="6" w:space="0" w:color="auto"/>
            </w:tcBorders>
            <w:shd w:val="clear" w:color="auto" w:fill="auto"/>
            <w:hideMark/>
          </w:tcPr>
          <w:p w14:paraId="06627869" w14:textId="77777777" w:rsidR="00E50C67" w:rsidRPr="00E50C67" w:rsidRDefault="00E50C67" w:rsidP="00E50C67">
            <w:pPr>
              <w:spacing w:after="0" w:line="240" w:lineRule="auto"/>
              <w:textAlignment w:val="baseline"/>
              <w:rPr>
                <w:rFonts w:ascii="Times New Roman" w:eastAsia="Times New Roman" w:hAnsi="Times New Roman" w:cs="Times New Roman"/>
                <w:sz w:val="24"/>
                <w:szCs w:val="24"/>
                <w:lang w:eastAsia="en-GB"/>
              </w:rPr>
            </w:pPr>
            <w:r w:rsidRPr="00E50C67">
              <w:rPr>
                <w:rFonts w:ascii="Verdana" w:eastAsia="Times New Roman" w:hAnsi="Verdana" w:cs="Times New Roman"/>
                <w:b/>
                <w:bCs/>
                <w:sz w:val="24"/>
                <w:szCs w:val="24"/>
                <w:lang w:eastAsia="en-GB"/>
              </w:rPr>
              <w:t>OFF TRACK </w:t>
            </w:r>
            <w:r w:rsidRPr="00E50C67">
              <w:rPr>
                <w:rFonts w:ascii="Verdana" w:eastAsia="Times New Roman" w:hAnsi="Verdana" w:cs="Times New Roman"/>
                <w:sz w:val="24"/>
                <w:szCs w:val="24"/>
                <w:lang w:eastAsia="en-GB"/>
              </w:rPr>
              <w:t>- Action not progressing as planned/to original timelines, there are significant issues which require escalating </w:t>
            </w:r>
          </w:p>
        </w:tc>
      </w:tr>
    </w:tbl>
    <w:p w14:paraId="681AF01E"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6C7A9480" w14:textId="77777777" w:rsidR="00E50C67" w:rsidRPr="00E50C67" w:rsidRDefault="00E50C67" w:rsidP="00E50C67">
      <w:pPr>
        <w:spacing w:after="0" w:line="240" w:lineRule="auto"/>
        <w:textAlignment w:val="baseline"/>
        <w:rPr>
          <w:rFonts w:ascii="Segoe UI" w:eastAsia="Times New Roman" w:hAnsi="Segoe UI" w:cs="Segoe UI"/>
          <w:b/>
          <w:bCs/>
          <w:sz w:val="18"/>
          <w:szCs w:val="18"/>
          <w:lang w:eastAsia="en-GB"/>
        </w:rPr>
      </w:pPr>
      <w:r w:rsidRPr="00E50C67">
        <w:rPr>
          <w:rFonts w:ascii="Verdana" w:eastAsia="Times New Roman" w:hAnsi="Verdana" w:cs="Segoe UI"/>
          <w:b/>
          <w:bCs/>
          <w:i/>
          <w:iCs/>
          <w:sz w:val="24"/>
          <w:szCs w:val="24"/>
          <w:u w:val="single"/>
          <w:lang w:eastAsia="en-GB"/>
        </w:rPr>
        <w:t>Planned Care </w:t>
      </w:r>
      <w:r w:rsidRPr="00E50C67">
        <w:rPr>
          <w:rFonts w:ascii="Verdana" w:eastAsia="Times New Roman" w:hAnsi="Verdana" w:cs="Segoe UI"/>
          <w:b/>
          <w:bCs/>
          <w:sz w:val="24"/>
          <w:szCs w:val="24"/>
          <w:lang w:eastAsia="en-GB"/>
        </w:rPr>
        <w:t> </w:t>
      </w:r>
    </w:p>
    <w:p w14:paraId="359FD807" w14:textId="77777777" w:rsidR="00E50C67" w:rsidRPr="00E50C67" w:rsidRDefault="00E50C67" w:rsidP="00E50C67">
      <w:pPr>
        <w:spacing w:after="0" w:line="240" w:lineRule="auto"/>
        <w:textAlignment w:val="baseline"/>
        <w:rPr>
          <w:rFonts w:ascii="Segoe UI" w:eastAsia="Times New Roman" w:hAnsi="Segoe UI" w:cs="Segoe UI"/>
          <w:b/>
          <w:bCs/>
          <w:sz w:val="18"/>
          <w:szCs w:val="18"/>
          <w:lang w:eastAsia="en-GB"/>
        </w:rPr>
      </w:pPr>
      <w:r w:rsidRPr="00E50C67">
        <w:rPr>
          <w:rFonts w:ascii="Verdana" w:eastAsia="Times New Roman" w:hAnsi="Verdana" w:cs="Segoe UI"/>
          <w:b/>
          <w:bCs/>
          <w:sz w:val="24"/>
          <w:szCs w:val="24"/>
          <w:lang w:eastAsia="en-GB"/>
        </w:rPr>
        <w:t> </w:t>
      </w:r>
    </w:p>
    <w:p w14:paraId="502F632D"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Signal</w:t>
      </w:r>
      <w:r w:rsidRPr="00E50C67">
        <w:rPr>
          <w:rFonts w:ascii="Verdana" w:eastAsia="Times New Roman" w:hAnsi="Verdana" w:cs="Segoe UI"/>
          <w:sz w:val="24"/>
          <w:szCs w:val="24"/>
          <w:lang w:eastAsia="en-GB"/>
        </w:rPr>
        <w:t xml:space="preserve"> </w:t>
      </w:r>
      <w:r w:rsidRPr="00E50C67">
        <w:rPr>
          <w:rFonts w:ascii="Verdana" w:eastAsia="Times New Roman" w:hAnsi="Verdana" w:cs="Segoe UI"/>
          <w:b/>
          <w:bCs/>
          <w:i/>
          <w:iCs/>
          <w:color w:val="70AD47"/>
          <w:sz w:val="24"/>
          <w:szCs w:val="24"/>
          <w:lang w:eastAsia="en-GB"/>
        </w:rPr>
        <w:t>&lt;Green&gt;:</w:t>
      </w:r>
      <w:r w:rsidRPr="00E50C67">
        <w:rPr>
          <w:rFonts w:ascii="Verdana" w:eastAsia="Times New Roman" w:hAnsi="Verdana" w:cs="Segoe UI"/>
          <w:color w:val="70AD47"/>
          <w:sz w:val="24"/>
          <w:szCs w:val="24"/>
          <w:lang w:eastAsia="en-GB"/>
        </w:rPr>
        <w:t xml:space="preserve"> </w:t>
      </w:r>
      <w:r w:rsidRPr="00E50C67">
        <w:rPr>
          <w:rFonts w:ascii="Verdana" w:eastAsia="Times New Roman" w:hAnsi="Verdana" w:cs="Segoe UI"/>
          <w:sz w:val="24"/>
          <w:szCs w:val="24"/>
          <w:lang w:eastAsia="en-GB"/>
        </w:rPr>
        <w:t>Version 3.5 was successfully deployed in June which included the capturing of mental health metrics to support regulation 28 reporting requirements, care after death functionality and performance enhancements.  </w:t>
      </w:r>
    </w:p>
    <w:p w14:paraId="44FC9EFF"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2A6C7AD3"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Welsh Clinical Portal (WCP)</w:t>
      </w:r>
      <w:r w:rsidRPr="00E50C67">
        <w:rPr>
          <w:rFonts w:ascii="Verdana" w:eastAsia="Times New Roman" w:hAnsi="Verdana" w:cs="Segoe UI"/>
          <w:b/>
          <w:bCs/>
          <w:sz w:val="24"/>
          <w:szCs w:val="24"/>
          <w:lang w:eastAsia="en-GB"/>
        </w:rPr>
        <w:t xml:space="preserve"> </w:t>
      </w:r>
      <w:r w:rsidRPr="00E50C67">
        <w:rPr>
          <w:rFonts w:ascii="Verdana" w:eastAsia="Times New Roman" w:hAnsi="Verdana" w:cs="Segoe UI"/>
          <w:b/>
          <w:bCs/>
          <w:i/>
          <w:iCs/>
          <w:color w:val="70AD47"/>
          <w:sz w:val="24"/>
          <w:szCs w:val="24"/>
          <w:lang w:eastAsia="en-GB"/>
        </w:rPr>
        <w:t>&lt;Green&gt;:</w:t>
      </w:r>
      <w:r w:rsidRPr="00E50C67">
        <w:rPr>
          <w:rFonts w:ascii="Verdana" w:eastAsia="Times New Roman" w:hAnsi="Verdana" w:cs="Segoe UI"/>
          <w:color w:val="70AD47"/>
          <w:sz w:val="24"/>
          <w:szCs w:val="24"/>
          <w:lang w:eastAsia="en-GB"/>
        </w:rPr>
        <w:t> </w:t>
      </w:r>
    </w:p>
    <w:p w14:paraId="1EB0B07E"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7B6FA251"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Hospital Initiated Referral (HIR) functionality</w:t>
      </w:r>
      <w:r w:rsidRPr="00E50C67">
        <w:rPr>
          <w:rFonts w:ascii="Verdana" w:eastAsia="Times New Roman" w:hAnsi="Verdana" w:cs="Segoe UI"/>
          <w:sz w:val="24"/>
          <w:szCs w:val="24"/>
          <w:lang w:eastAsia="en-GB"/>
        </w:rPr>
        <w:t xml:space="preserve"> has been developed in Welsh Clinical Portal (WCP) to enable the electronic sending of internal hospital referrals. Referrals from all services to Neurology went live at the end of June with a view an additional 3 services (Dermatology, Respiratory and Urology) will go live in July. This will inform a Health Board deployment in Q3 FY2025/2026.   </w:t>
      </w:r>
    </w:p>
    <w:p w14:paraId="04B307BF"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633CE9D9"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xml:space="preserve">Defects identified by SBUHB in the testing of the </w:t>
      </w:r>
      <w:r w:rsidRPr="00E50C67">
        <w:rPr>
          <w:rFonts w:ascii="Verdana" w:eastAsia="Times New Roman" w:hAnsi="Verdana" w:cs="Segoe UI"/>
          <w:b/>
          <w:bCs/>
          <w:sz w:val="24"/>
          <w:szCs w:val="24"/>
          <w:lang w:eastAsia="en-GB"/>
        </w:rPr>
        <w:t>Colposcopy and Screening module</w:t>
      </w:r>
      <w:r w:rsidRPr="00E50C67">
        <w:rPr>
          <w:rFonts w:ascii="Verdana" w:eastAsia="Times New Roman" w:hAnsi="Verdana" w:cs="Segoe UI"/>
          <w:sz w:val="24"/>
          <w:szCs w:val="24"/>
          <w:lang w:eastAsia="en-GB"/>
        </w:rPr>
        <w:t xml:space="preserve"> of Welsh Clinical Portal (WCP) have been resolved, a revised go live for early July (subject to all Wales approval) has been proposed. Daily calls to maintain momentum on defect resolution continues. DHCW have confirmed they will continue to support CANISC for 16 weeks post go live to support migration off the legacy system. </w:t>
      </w:r>
    </w:p>
    <w:p w14:paraId="32E42444"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755016E6"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Swansea Bay Patient Portal </w:t>
      </w:r>
      <w:r w:rsidRPr="00E50C67">
        <w:rPr>
          <w:rFonts w:ascii="Verdana" w:eastAsia="Times New Roman" w:hAnsi="Verdana" w:cs="Segoe UI"/>
          <w:b/>
          <w:bCs/>
          <w:i/>
          <w:iCs/>
          <w:color w:val="70AD47"/>
          <w:sz w:val="24"/>
          <w:szCs w:val="24"/>
          <w:lang w:eastAsia="en-GB"/>
        </w:rPr>
        <w:t>&lt;Green&gt;:</w:t>
      </w:r>
      <w:r w:rsidRPr="00E50C67">
        <w:rPr>
          <w:rFonts w:ascii="Verdana" w:eastAsia="Times New Roman" w:hAnsi="Verdana" w:cs="Segoe UI"/>
          <w:i/>
          <w:iCs/>
          <w:color w:val="70AD47"/>
          <w:sz w:val="24"/>
          <w:szCs w:val="24"/>
          <w:lang w:eastAsia="en-GB"/>
        </w:rPr>
        <w:t xml:space="preserve"> </w:t>
      </w:r>
      <w:r w:rsidRPr="00E50C67">
        <w:rPr>
          <w:rFonts w:ascii="Verdana" w:eastAsia="Times New Roman" w:hAnsi="Verdana" w:cs="Segoe UI"/>
          <w:sz w:val="24"/>
          <w:szCs w:val="24"/>
          <w:lang w:eastAsia="en-GB"/>
        </w:rPr>
        <w:t>A public communication campaign to promote the availability and benefits of the Swansea Bay Patient Portal (SBPP) continues. Total number of patients registered to date is 14,150. A text messaging campaign to further increase adoption is scheduled from mid-July. The ministerial launch of the NHS Wales app has been deferred from September 2025. Further work is required to ensure consistency and wider deployment of the features by GP Practices. </w:t>
      </w:r>
    </w:p>
    <w:p w14:paraId="1C8B595D"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28EFF62A"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lastRenderedPageBreak/>
        <w:t xml:space="preserve">Hybrid Mail </w:t>
      </w:r>
      <w:r w:rsidRPr="00E50C67">
        <w:rPr>
          <w:rFonts w:ascii="Verdana" w:eastAsia="Times New Roman" w:hAnsi="Verdana" w:cs="Segoe UI"/>
          <w:b/>
          <w:bCs/>
          <w:i/>
          <w:iCs/>
          <w:color w:val="92D050"/>
          <w:sz w:val="24"/>
          <w:szCs w:val="24"/>
          <w:lang w:eastAsia="en-GB"/>
        </w:rPr>
        <w:t xml:space="preserve">&lt;Green&gt;: </w:t>
      </w:r>
      <w:r w:rsidRPr="00E50C67">
        <w:rPr>
          <w:rFonts w:ascii="Verdana" w:eastAsia="Times New Roman" w:hAnsi="Verdana" w:cs="Segoe UI"/>
          <w:sz w:val="24"/>
          <w:szCs w:val="24"/>
          <w:lang w:eastAsia="en-GB"/>
        </w:rPr>
        <w:t>9 services are live with the solution; 2 new services went live during the reporting period. A task and finish group has been established to oversee adoption of the solution across services. The group will focus on embedding the use of the patient portal, including the hybrid mail offering as part of the patient booking process. It will also report on financial efficiencies derived from the project.   </w:t>
      </w:r>
    </w:p>
    <w:p w14:paraId="18C377A3"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1DD15B8B"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Open Eyes </w:t>
      </w:r>
      <w:r w:rsidRPr="00E50C67">
        <w:rPr>
          <w:rFonts w:ascii="Verdana" w:eastAsia="Times New Roman" w:hAnsi="Verdana" w:cs="Segoe UI"/>
          <w:b/>
          <w:bCs/>
          <w:i/>
          <w:iCs/>
          <w:color w:val="92D050"/>
          <w:sz w:val="24"/>
          <w:szCs w:val="24"/>
          <w:lang w:eastAsia="en-GB"/>
        </w:rPr>
        <w:t>&lt;Green&gt;:</w:t>
      </w:r>
      <w:r w:rsidRPr="00E50C67">
        <w:rPr>
          <w:rFonts w:ascii="Verdana" w:eastAsia="Times New Roman" w:hAnsi="Verdana" w:cs="Segoe UI"/>
          <w:color w:val="A8D08D"/>
          <w:sz w:val="24"/>
          <w:szCs w:val="24"/>
          <w:lang w:eastAsia="en-GB"/>
        </w:rPr>
        <w:t xml:space="preserve"> </w:t>
      </w:r>
      <w:r w:rsidRPr="00E50C67">
        <w:rPr>
          <w:rFonts w:ascii="Verdana" w:eastAsia="Times New Roman" w:hAnsi="Verdana" w:cs="Segoe UI"/>
          <w:sz w:val="24"/>
          <w:szCs w:val="24"/>
          <w:lang w:eastAsia="en-GB"/>
        </w:rPr>
        <w:t>The regional Project Board and a Clinical Reference Group have been established to ensure alignment with clinical priorities and governance, both met in June 2025. The technical configuration is in progress, including process mapping and establishment of minimum data sets. A go-live date for a minimum viable product has been proposed for September 2025. Welsh Government has allocated £50,000 for the project, while SBUHB is reallocating internal resources to support implementation and ongoing costs.</w:t>
      </w:r>
      <w:r w:rsidRPr="00E50C67">
        <w:rPr>
          <w:rFonts w:ascii="Verdana" w:eastAsia="Times New Roman" w:hAnsi="Verdana" w:cs="Segoe UI"/>
          <w:i/>
          <w:iCs/>
          <w:color w:val="FFC000"/>
          <w:sz w:val="24"/>
          <w:szCs w:val="24"/>
          <w:lang w:eastAsia="en-GB"/>
        </w:rPr>
        <w:t> </w:t>
      </w:r>
      <w:r w:rsidRPr="00E50C67">
        <w:rPr>
          <w:rFonts w:ascii="Verdana" w:eastAsia="Times New Roman" w:hAnsi="Verdana" w:cs="Segoe UI"/>
          <w:color w:val="FFC000"/>
          <w:sz w:val="24"/>
          <w:szCs w:val="24"/>
          <w:lang w:eastAsia="en-GB"/>
        </w:rPr>
        <w:t> </w:t>
      </w:r>
    </w:p>
    <w:p w14:paraId="03B1A73C"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51696410"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Digital Health Assessment Solution </w:t>
      </w:r>
      <w:r w:rsidRPr="00E50C67">
        <w:rPr>
          <w:rFonts w:ascii="Verdana" w:eastAsia="Times New Roman" w:hAnsi="Verdana" w:cs="Segoe UI"/>
          <w:b/>
          <w:bCs/>
          <w:i/>
          <w:iCs/>
          <w:color w:val="FFC000"/>
          <w:sz w:val="24"/>
          <w:szCs w:val="24"/>
          <w:lang w:eastAsia="en-GB"/>
        </w:rPr>
        <w:t>&lt;Amber&gt;:</w:t>
      </w:r>
      <w:r w:rsidRPr="00E50C67">
        <w:rPr>
          <w:rFonts w:ascii="Verdana" w:eastAsia="Times New Roman" w:hAnsi="Verdana" w:cs="Segoe UI"/>
          <w:b/>
          <w:bCs/>
          <w:i/>
          <w:iCs/>
          <w:sz w:val="24"/>
          <w:szCs w:val="24"/>
          <w:lang w:eastAsia="en-GB"/>
        </w:rPr>
        <w:t xml:space="preserve"> </w:t>
      </w:r>
      <w:r w:rsidRPr="00E50C67">
        <w:rPr>
          <w:rFonts w:ascii="Verdana" w:eastAsia="Times New Roman" w:hAnsi="Verdana" w:cs="Segoe UI"/>
          <w:sz w:val="24"/>
          <w:szCs w:val="24"/>
          <w:lang w:eastAsia="en-GB"/>
        </w:rPr>
        <w:t>2 services went live collecting Digital Health Assessments (DHA’s) during this reporting period; 11 services are now live.  Automatic form triggers from surgical waiting lists are due to go live 3rd July ‘25. This automatic trigger will enable frailty screening for patients waiting for surgery. The final automatic form trigger is from referral into the Health Board, due to go live at the beginning of September ’25, completing configuration of automatic form triggers from agreed patient activity events.  </w:t>
      </w:r>
    </w:p>
    <w:p w14:paraId="5330ADA7"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0D82B278"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The Health Board continues to support work nationally including:  </w:t>
      </w:r>
    </w:p>
    <w:p w14:paraId="6A054E0E" w14:textId="77777777" w:rsidR="00E50C67" w:rsidRPr="00E50C67" w:rsidRDefault="00E50C67" w:rsidP="00E50C67">
      <w:pPr>
        <w:numPr>
          <w:ilvl w:val="0"/>
          <w:numId w:val="1"/>
        </w:numPr>
        <w:spacing w:after="0" w:line="240" w:lineRule="auto"/>
        <w:ind w:left="855" w:firstLine="0"/>
        <w:textAlignment w:val="baseline"/>
        <w:rPr>
          <w:rFonts w:ascii="Verdana" w:eastAsia="Times New Roman" w:hAnsi="Verdana" w:cs="Segoe UI"/>
          <w:sz w:val="24"/>
          <w:szCs w:val="24"/>
          <w:lang w:eastAsia="en-GB"/>
        </w:rPr>
      </w:pPr>
      <w:r w:rsidRPr="00E50C67">
        <w:rPr>
          <w:rFonts w:ascii="Verdana" w:eastAsia="Times New Roman" w:hAnsi="Verdana" w:cs="Segoe UI"/>
          <w:sz w:val="24"/>
          <w:szCs w:val="24"/>
          <w:lang w:eastAsia="en-GB"/>
        </w:rPr>
        <w:t>Single Sign-On for Promptly Health – Completed. </w:t>
      </w:r>
    </w:p>
    <w:p w14:paraId="68904C38" w14:textId="77777777" w:rsidR="00E50C67" w:rsidRPr="00E50C67" w:rsidRDefault="00E50C67" w:rsidP="00E50C67">
      <w:pPr>
        <w:numPr>
          <w:ilvl w:val="0"/>
          <w:numId w:val="2"/>
        </w:numPr>
        <w:spacing w:after="0" w:line="240" w:lineRule="auto"/>
        <w:ind w:left="855" w:firstLine="0"/>
        <w:textAlignment w:val="baseline"/>
        <w:rPr>
          <w:rFonts w:ascii="Verdana" w:eastAsia="Times New Roman" w:hAnsi="Verdana" w:cs="Segoe UI"/>
          <w:sz w:val="24"/>
          <w:szCs w:val="24"/>
          <w:lang w:eastAsia="en-GB"/>
        </w:rPr>
      </w:pPr>
      <w:r w:rsidRPr="00E50C67">
        <w:rPr>
          <w:rFonts w:ascii="Verdana" w:eastAsia="Times New Roman" w:hAnsi="Verdana" w:cs="Segoe UI"/>
          <w:sz w:val="24"/>
          <w:szCs w:val="24"/>
          <w:lang w:eastAsia="en-GB"/>
        </w:rPr>
        <w:t>Promptly Health Patient Portal via NHS App – Roll out plan received and work commencing on relevant documentation.  </w:t>
      </w:r>
    </w:p>
    <w:p w14:paraId="02C8F815" w14:textId="77777777" w:rsidR="00E50C67" w:rsidRPr="00E50C67" w:rsidRDefault="00E50C67" w:rsidP="00E50C67">
      <w:pPr>
        <w:numPr>
          <w:ilvl w:val="0"/>
          <w:numId w:val="3"/>
        </w:numPr>
        <w:spacing w:after="0" w:line="240" w:lineRule="auto"/>
        <w:ind w:left="855" w:firstLine="0"/>
        <w:textAlignment w:val="baseline"/>
        <w:rPr>
          <w:rFonts w:ascii="Verdana" w:eastAsia="Times New Roman" w:hAnsi="Verdana" w:cs="Segoe UI"/>
          <w:sz w:val="24"/>
          <w:szCs w:val="24"/>
          <w:lang w:eastAsia="en-GB"/>
        </w:rPr>
      </w:pPr>
      <w:r w:rsidRPr="00E50C67">
        <w:rPr>
          <w:rFonts w:ascii="Verdana" w:eastAsia="Times New Roman" w:hAnsi="Verdana" w:cs="Segoe UI"/>
          <w:sz w:val="24"/>
          <w:szCs w:val="24"/>
          <w:lang w:eastAsia="en-GB"/>
        </w:rPr>
        <w:t>Data Standards for Patient Reported Outcome Measures (PROMs) Standard Operating Model (PSOM) – work ongoing with the national Value Transformation team and Promptly Health. </w:t>
      </w:r>
    </w:p>
    <w:p w14:paraId="72E1FB24" w14:textId="77777777" w:rsidR="00E50C67" w:rsidRPr="00E50C67" w:rsidRDefault="00E50C67" w:rsidP="00E50C67">
      <w:pPr>
        <w:numPr>
          <w:ilvl w:val="0"/>
          <w:numId w:val="4"/>
        </w:numPr>
        <w:spacing w:after="0" w:line="240" w:lineRule="auto"/>
        <w:ind w:left="855" w:firstLine="0"/>
        <w:textAlignment w:val="baseline"/>
        <w:rPr>
          <w:rFonts w:ascii="Verdana" w:eastAsia="Times New Roman" w:hAnsi="Verdana" w:cs="Segoe UI"/>
          <w:sz w:val="24"/>
          <w:szCs w:val="24"/>
          <w:lang w:eastAsia="en-GB"/>
        </w:rPr>
      </w:pPr>
      <w:r w:rsidRPr="00E50C67">
        <w:rPr>
          <w:rFonts w:ascii="Verdana" w:eastAsia="Times New Roman" w:hAnsi="Verdana" w:cs="Segoe UI"/>
          <w:sz w:val="24"/>
          <w:szCs w:val="24"/>
          <w:lang w:eastAsia="en-GB"/>
        </w:rPr>
        <w:t>Engagement/analytics view within Promptly Health – Completed testing with final sign-off due for the end of June ’25. </w:t>
      </w:r>
    </w:p>
    <w:p w14:paraId="626C9927" w14:textId="77777777" w:rsidR="00E50C67" w:rsidRPr="00E50C67" w:rsidRDefault="00E50C67" w:rsidP="00E50C67">
      <w:pPr>
        <w:numPr>
          <w:ilvl w:val="0"/>
          <w:numId w:val="5"/>
        </w:numPr>
        <w:spacing w:after="0" w:line="240" w:lineRule="auto"/>
        <w:ind w:left="855" w:firstLine="0"/>
        <w:textAlignment w:val="baseline"/>
        <w:rPr>
          <w:rFonts w:ascii="Verdana" w:eastAsia="Times New Roman" w:hAnsi="Verdana" w:cs="Segoe UI"/>
          <w:sz w:val="24"/>
          <w:szCs w:val="24"/>
          <w:lang w:eastAsia="en-GB"/>
        </w:rPr>
      </w:pPr>
      <w:r w:rsidRPr="00E50C67">
        <w:rPr>
          <w:rFonts w:ascii="Verdana" w:eastAsia="Times New Roman" w:hAnsi="Verdana" w:cs="Segoe UI"/>
          <w:sz w:val="24"/>
          <w:szCs w:val="24"/>
          <w:lang w:eastAsia="en-GB"/>
        </w:rPr>
        <w:t>Digital Health Assessments viewed within Welsh Clinical Portal (WCP) – Digital Health Care Wales (DHCW) are currently engaging with the national Value Transformation team for National PROMs visualisations. Health Boards will submit an ‘All Health Board’ request for local PROM visualisations. </w:t>
      </w:r>
    </w:p>
    <w:p w14:paraId="7B3C4E7F"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539C5C77"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3Ps Waiting Well National programme </w:t>
      </w:r>
      <w:r w:rsidRPr="00E50C67">
        <w:rPr>
          <w:rFonts w:ascii="Verdana" w:eastAsia="Times New Roman" w:hAnsi="Verdana" w:cs="Segoe UI"/>
          <w:b/>
          <w:bCs/>
          <w:color w:val="70AD47"/>
          <w:sz w:val="24"/>
          <w:szCs w:val="24"/>
          <w:lang w:eastAsia="en-GB"/>
        </w:rPr>
        <w:t>&lt;Green&gt;:</w:t>
      </w:r>
      <w:r w:rsidRPr="00E50C67">
        <w:rPr>
          <w:rFonts w:ascii="Verdana" w:eastAsia="Times New Roman" w:hAnsi="Verdana" w:cs="Segoe UI"/>
          <w:color w:val="70AD47"/>
          <w:sz w:val="24"/>
          <w:szCs w:val="24"/>
          <w:lang w:eastAsia="en-GB"/>
        </w:rPr>
        <w:t xml:space="preserve"> </w:t>
      </w:r>
      <w:r w:rsidRPr="00E50C67">
        <w:rPr>
          <w:rFonts w:ascii="Verdana" w:eastAsia="Times New Roman" w:hAnsi="Verdana" w:cs="Segoe UI"/>
          <w:sz w:val="24"/>
          <w:szCs w:val="24"/>
          <w:lang w:eastAsia="en-GB"/>
        </w:rPr>
        <w:t xml:space="preserve">PROMOTING Healthy Lifestyle, PREVENTING Deterioration and PREPARING patients for treatment or surgery.  Waiting Well (WW) website link and Quick Response (QR) code (included on patient letters), have been sent to 353k patients to date, an increase of 110k since last reporting period. There were 2,050 hits to the website in May ‘25, compared to the baseline of 476 in March ’24. The Single Point of Contact team is now in place, with </w:t>
      </w:r>
      <w:r w:rsidRPr="00E50C67">
        <w:rPr>
          <w:rFonts w:ascii="Verdana" w:eastAsia="Times New Roman" w:hAnsi="Verdana" w:cs="Segoe UI"/>
          <w:sz w:val="24"/>
          <w:szCs w:val="24"/>
          <w:lang w:eastAsia="en-GB"/>
        </w:rPr>
        <w:lastRenderedPageBreak/>
        <w:t>an additional 3.0 whole time equivalent (WTE) call handlers now recruited. </w:t>
      </w:r>
    </w:p>
    <w:p w14:paraId="309424A9"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3E4F42A8"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Health Screening Questionnaire (HSQ) screens patients referred for surgery to understand how ‘fit for surgery’ they are. The digital system to use is under review – waiting confirmation from Planned Care Board end of July 2025. The Health Screening Questionnaire continues to be manually collected by the Single Point of Contact (SPOC) team with a view to move over to digital system when confirmed.  </w:t>
      </w:r>
    </w:p>
    <w:p w14:paraId="01BD0A04"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4C35ECE8"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The Waiting Well holistic assessment question set is currently seeking sign-off, going live in Promptly system at the beginning of September ’25, this will be manually collected via MS Forms in the interim. The Health Board will be sending this question set to patients newly referred to the Health Board, which signposts patients to services that promote healthy lifestyle and self-management of symptoms. </w:t>
      </w:r>
    </w:p>
    <w:p w14:paraId="4BCE55A0"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45B7C7B2"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u w:val="single"/>
          <w:lang w:eastAsia="en-GB"/>
        </w:rPr>
        <w:t>Diagnostics </w:t>
      </w:r>
      <w:r w:rsidRPr="00E50C67">
        <w:rPr>
          <w:rFonts w:ascii="Verdana" w:eastAsia="Times New Roman" w:hAnsi="Verdana" w:cs="Segoe UI"/>
          <w:sz w:val="24"/>
          <w:szCs w:val="24"/>
          <w:lang w:eastAsia="en-GB"/>
        </w:rPr>
        <w:t> </w:t>
      </w:r>
    </w:p>
    <w:p w14:paraId="3674D912"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3BB86679"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Laboratory Information Management System 2 </w:t>
      </w:r>
      <w:r w:rsidRPr="00E50C67">
        <w:rPr>
          <w:rFonts w:ascii="Verdana" w:eastAsia="Times New Roman" w:hAnsi="Verdana" w:cs="Segoe UI"/>
          <w:b/>
          <w:bCs/>
          <w:i/>
          <w:iCs/>
          <w:color w:val="FF0000"/>
          <w:sz w:val="24"/>
          <w:szCs w:val="24"/>
          <w:lang w:eastAsia="en-GB"/>
        </w:rPr>
        <w:t>&lt;Red&gt;:</w:t>
      </w:r>
      <w:r w:rsidRPr="00E50C67">
        <w:rPr>
          <w:rFonts w:ascii="Verdana" w:eastAsia="Times New Roman" w:hAnsi="Verdana" w:cs="Segoe UI"/>
          <w:color w:val="FF0000"/>
          <w:sz w:val="24"/>
          <w:szCs w:val="24"/>
          <w:lang w:eastAsia="en-GB"/>
        </w:rPr>
        <w:t xml:space="preserve"> </w:t>
      </w:r>
      <w:r w:rsidRPr="00E50C67">
        <w:rPr>
          <w:rFonts w:ascii="Verdana" w:eastAsia="Times New Roman" w:hAnsi="Verdana" w:cs="Segoe UI"/>
          <w:color w:val="000000"/>
          <w:sz w:val="24"/>
          <w:szCs w:val="24"/>
          <w:lang w:eastAsia="en-GB"/>
        </w:rPr>
        <w:t xml:space="preserve">User Acceptance testing of the new </w:t>
      </w:r>
      <w:r w:rsidRPr="00E50C67">
        <w:rPr>
          <w:rFonts w:ascii="Verdana" w:eastAsia="Times New Roman" w:hAnsi="Verdana" w:cs="Segoe UI"/>
          <w:b/>
          <w:bCs/>
          <w:color w:val="000000"/>
          <w:sz w:val="24"/>
          <w:szCs w:val="24"/>
          <w:lang w:eastAsia="en-GB"/>
        </w:rPr>
        <w:t>Laboratory Information Management System (LIMS)</w:t>
      </w:r>
      <w:r w:rsidRPr="00E50C67">
        <w:rPr>
          <w:rFonts w:ascii="Verdana" w:eastAsia="Times New Roman" w:hAnsi="Verdana" w:cs="Segoe UI"/>
          <w:color w:val="000000"/>
          <w:sz w:val="24"/>
          <w:szCs w:val="24"/>
          <w:lang w:eastAsia="en-GB"/>
        </w:rPr>
        <w:t xml:space="preserve"> is ongoing and has highlighted a significant number of issues, putting the all-Wales October 2025 deadline at risk. </w:t>
      </w:r>
    </w:p>
    <w:p w14:paraId="2C400F1E"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color w:val="000000"/>
          <w:sz w:val="24"/>
          <w:szCs w:val="24"/>
          <w:lang w:eastAsia="en-GB"/>
        </w:rPr>
        <w:t> </w:t>
      </w:r>
    </w:p>
    <w:p w14:paraId="3090BF9A"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color w:val="000000"/>
          <w:sz w:val="24"/>
          <w:szCs w:val="24"/>
          <w:lang w:eastAsia="en-GB"/>
        </w:rPr>
        <w:t>A proposal from the National Programme Board was presented to Chief Executives and Directors of Digital (11</w:t>
      </w:r>
      <w:r w:rsidRPr="00E50C67">
        <w:rPr>
          <w:rFonts w:ascii="Verdana" w:eastAsia="Times New Roman" w:hAnsi="Verdana" w:cs="Segoe UI"/>
          <w:color w:val="000000"/>
          <w:sz w:val="19"/>
          <w:szCs w:val="19"/>
          <w:vertAlign w:val="superscript"/>
          <w:lang w:eastAsia="en-GB"/>
        </w:rPr>
        <w:t>th</w:t>
      </w:r>
      <w:r w:rsidRPr="00E50C67">
        <w:rPr>
          <w:rFonts w:ascii="Verdana" w:eastAsia="Times New Roman" w:hAnsi="Verdana" w:cs="Segoe UI"/>
          <w:color w:val="000000"/>
          <w:sz w:val="24"/>
          <w:szCs w:val="24"/>
          <w:lang w:eastAsia="en-GB"/>
        </w:rPr>
        <w:t xml:space="preserve"> June), proposing to: </w:t>
      </w:r>
    </w:p>
    <w:p w14:paraId="3C133849" w14:textId="77777777" w:rsidR="00E50C67" w:rsidRPr="00E50C67" w:rsidRDefault="00E50C67" w:rsidP="00E50C67">
      <w:pPr>
        <w:numPr>
          <w:ilvl w:val="0"/>
          <w:numId w:val="6"/>
        </w:numPr>
        <w:spacing w:after="0" w:line="240" w:lineRule="auto"/>
        <w:ind w:left="1080" w:firstLine="0"/>
        <w:textAlignment w:val="baseline"/>
        <w:rPr>
          <w:rFonts w:ascii="Verdana" w:eastAsia="Times New Roman" w:hAnsi="Verdana" w:cs="Segoe UI"/>
          <w:sz w:val="24"/>
          <w:szCs w:val="24"/>
          <w:lang w:eastAsia="en-GB"/>
        </w:rPr>
      </w:pPr>
      <w:r w:rsidRPr="00E50C67">
        <w:rPr>
          <w:rFonts w:ascii="Verdana" w:eastAsia="Times New Roman" w:hAnsi="Verdana" w:cs="Segoe UI"/>
          <w:color w:val="000000"/>
          <w:sz w:val="24"/>
          <w:szCs w:val="24"/>
          <w:lang w:eastAsia="en-GB"/>
        </w:rPr>
        <w:t>Shift the rollout strategy from organisation-specific to pathology discipline-specific. </w:t>
      </w:r>
    </w:p>
    <w:p w14:paraId="48630AFB" w14:textId="77777777" w:rsidR="00E50C67" w:rsidRPr="00E50C67" w:rsidRDefault="00E50C67" w:rsidP="00E50C67">
      <w:pPr>
        <w:numPr>
          <w:ilvl w:val="0"/>
          <w:numId w:val="7"/>
        </w:numPr>
        <w:spacing w:after="0" w:line="240" w:lineRule="auto"/>
        <w:ind w:left="1080" w:firstLine="0"/>
        <w:textAlignment w:val="baseline"/>
        <w:rPr>
          <w:rFonts w:ascii="Verdana" w:eastAsia="Times New Roman" w:hAnsi="Verdana" w:cs="Segoe UI"/>
          <w:sz w:val="24"/>
          <w:szCs w:val="24"/>
          <w:lang w:eastAsia="en-GB"/>
        </w:rPr>
      </w:pPr>
      <w:r w:rsidRPr="00E50C67">
        <w:rPr>
          <w:rFonts w:ascii="Verdana" w:eastAsia="Times New Roman" w:hAnsi="Verdana" w:cs="Segoe UI"/>
          <w:color w:val="000000"/>
          <w:sz w:val="24"/>
          <w:szCs w:val="24"/>
          <w:lang w:eastAsia="en-GB"/>
        </w:rPr>
        <w:t>Extend availability of the current LIMS to December 2025. </w:t>
      </w:r>
    </w:p>
    <w:p w14:paraId="1AA91D72"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color w:val="000000"/>
          <w:sz w:val="24"/>
          <w:szCs w:val="24"/>
          <w:lang w:eastAsia="en-GB"/>
        </w:rPr>
        <w:t> </w:t>
      </w:r>
    </w:p>
    <w:p w14:paraId="64DB6538"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color w:val="000000"/>
          <w:sz w:val="24"/>
          <w:szCs w:val="24"/>
          <w:lang w:eastAsia="en-GB"/>
        </w:rPr>
        <w:t>The proposal has an estimated cost of £1.6m across Wales. The Health Board awaits confirmation of the proportion of costs attributable to SBUHB to inform local discussions.  </w:t>
      </w:r>
    </w:p>
    <w:p w14:paraId="4FC70822"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color w:val="000000"/>
          <w:sz w:val="24"/>
          <w:szCs w:val="24"/>
          <w:lang w:eastAsia="en-GB"/>
        </w:rPr>
        <w:t> </w:t>
      </w:r>
    </w:p>
    <w:p w14:paraId="218FE4AF"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color w:val="000000"/>
          <w:sz w:val="24"/>
          <w:szCs w:val="24"/>
          <w:lang w:eastAsia="en-GB"/>
        </w:rPr>
        <w:t>Swansea Bay is the only Health Board in Wales reliant on the current LIMS for Blood Transfusion, creating an additional pressure to transition to the new LIMS by the end of December 2025. </w:t>
      </w:r>
    </w:p>
    <w:p w14:paraId="2844C95E"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71EDF309"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Radiology Information System Procurement </w:t>
      </w:r>
      <w:r w:rsidRPr="00E50C67">
        <w:rPr>
          <w:rFonts w:ascii="Verdana" w:eastAsia="Times New Roman" w:hAnsi="Verdana" w:cs="Segoe UI"/>
          <w:b/>
          <w:bCs/>
          <w:i/>
          <w:iCs/>
          <w:color w:val="FFC000"/>
          <w:sz w:val="24"/>
          <w:szCs w:val="24"/>
          <w:lang w:eastAsia="en-GB"/>
        </w:rPr>
        <w:t>&lt;Amber&gt;:</w:t>
      </w:r>
      <w:r w:rsidRPr="00E50C67">
        <w:rPr>
          <w:rFonts w:ascii="Verdana" w:eastAsia="Times New Roman" w:hAnsi="Verdana" w:cs="Segoe UI"/>
          <w:b/>
          <w:bCs/>
          <w:color w:val="FFC000"/>
          <w:sz w:val="24"/>
          <w:szCs w:val="24"/>
          <w:lang w:eastAsia="en-GB"/>
        </w:rPr>
        <w:t xml:space="preserve"> </w:t>
      </w:r>
      <w:r w:rsidRPr="00E50C67">
        <w:rPr>
          <w:rFonts w:ascii="Verdana" w:eastAsia="Times New Roman" w:hAnsi="Verdana" w:cs="Segoe UI"/>
          <w:color w:val="000000"/>
          <w:sz w:val="24"/>
          <w:szCs w:val="24"/>
          <w:lang w:eastAsia="en-GB"/>
        </w:rPr>
        <w:t xml:space="preserve">This ambitious national programme will replace the current Radiology Information System (RIS) and Picture Archive Communication System (PACS). The Health Board is scheduled to go live in October ‘25. A letter has been sent to Philips to request a revision to the Health Board go live date in response to local and national concerns relating to </w:t>
      </w:r>
      <w:proofErr w:type="spellStart"/>
      <w:r w:rsidRPr="00E50C67">
        <w:rPr>
          <w:rFonts w:ascii="Verdana" w:eastAsia="Times New Roman" w:hAnsi="Verdana" w:cs="Segoe UI"/>
          <w:color w:val="000000"/>
          <w:sz w:val="24"/>
          <w:szCs w:val="24"/>
          <w:lang w:eastAsia="en-GB"/>
        </w:rPr>
        <w:t>Phillps</w:t>
      </w:r>
      <w:proofErr w:type="spellEnd"/>
      <w:r w:rsidRPr="00E50C67">
        <w:rPr>
          <w:rFonts w:ascii="Verdana" w:eastAsia="Times New Roman" w:hAnsi="Verdana" w:cs="Segoe UI"/>
          <w:color w:val="000000"/>
          <w:sz w:val="24"/>
          <w:szCs w:val="24"/>
          <w:lang w:eastAsia="en-GB"/>
        </w:rPr>
        <w:t xml:space="preserve"> delayed delivery. A response has been received and whilst it needs to be assured by the national programme board, it validates the Health Board suggestion of deferring the Swansea Bay go live from October 2025 to </w:t>
      </w:r>
      <w:r w:rsidRPr="00E50C67">
        <w:rPr>
          <w:rFonts w:ascii="Verdana" w:eastAsia="Times New Roman" w:hAnsi="Verdana" w:cs="Segoe UI"/>
          <w:color w:val="000000"/>
          <w:sz w:val="24"/>
          <w:szCs w:val="24"/>
          <w:lang w:eastAsia="en-GB"/>
        </w:rPr>
        <w:lastRenderedPageBreak/>
        <w:t>February 2026. The SBU current PACS contract (Fuji) has been extended to March 2027 by way of mitigation should delivery timescales slip beyond March 2026. A delayed go live to February /March 2026 has an associated benefit of reduced dual running costs alongside the Fuji contract. </w:t>
      </w:r>
    </w:p>
    <w:p w14:paraId="5091A2F2"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color w:val="000000"/>
          <w:sz w:val="24"/>
          <w:szCs w:val="24"/>
          <w:lang w:eastAsia="en-GB"/>
        </w:rPr>
        <w:t> </w:t>
      </w:r>
    </w:p>
    <w:p w14:paraId="7E24EF5C"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u w:val="single"/>
          <w:lang w:eastAsia="en-GB"/>
        </w:rPr>
        <w:t>Women and Children</w:t>
      </w:r>
      <w:r w:rsidRPr="00E50C67">
        <w:rPr>
          <w:rFonts w:ascii="Verdana" w:eastAsia="Times New Roman" w:hAnsi="Verdana" w:cs="Segoe UI"/>
          <w:sz w:val="24"/>
          <w:szCs w:val="24"/>
          <w:lang w:eastAsia="en-GB"/>
        </w:rPr>
        <w:t> </w:t>
      </w:r>
    </w:p>
    <w:p w14:paraId="69FF8744"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Digital Maternity </w:t>
      </w:r>
      <w:r w:rsidRPr="00E50C67">
        <w:rPr>
          <w:rFonts w:ascii="Verdana" w:eastAsia="Times New Roman" w:hAnsi="Verdana" w:cs="Segoe UI"/>
          <w:b/>
          <w:bCs/>
          <w:i/>
          <w:iCs/>
          <w:color w:val="70AD47"/>
          <w:sz w:val="24"/>
          <w:szCs w:val="24"/>
          <w:lang w:eastAsia="en-GB"/>
        </w:rPr>
        <w:t>&lt;Green&gt;:</w:t>
      </w:r>
      <w:r w:rsidRPr="00E50C67">
        <w:rPr>
          <w:rFonts w:ascii="Verdana" w:eastAsia="Times New Roman" w:hAnsi="Verdana" w:cs="Segoe UI"/>
          <w:i/>
          <w:iCs/>
          <w:color w:val="70AD47"/>
          <w:sz w:val="24"/>
          <w:szCs w:val="24"/>
          <w:lang w:eastAsia="en-GB"/>
        </w:rPr>
        <w:t xml:space="preserve"> </w:t>
      </w:r>
      <w:r w:rsidRPr="00E50C67">
        <w:rPr>
          <w:rFonts w:ascii="Verdana" w:eastAsia="Times New Roman" w:hAnsi="Verdana" w:cs="Segoe UI"/>
          <w:sz w:val="24"/>
          <w:szCs w:val="24"/>
          <w:lang w:eastAsia="en-GB"/>
        </w:rPr>
        <w:t>The local business case has been approved by Welsh Government, recruitment and planning is underway. The inaugural project board took place on 2</w:t>
      </w:r>
      <w:r w:rsidRPr="00E50C67">
        <w:rPr>
          <w:rFonts w:ascii="Verdana" w:eastAsia="Times New Roman" w:hAnsi="Verdana" w:cs="Segoe UI"/>
          <w:sz w:val="19"/>
          <w:szCs w:val="19"/>
          <w:vertAlign w:val="superscript"/>
          <w:lang w:eastAsia="en-GB"/>
        </w:rPr>
        <w:t>nd</w:t>
      </w:r>
      <w:r w:rsidRPr="00E50C67">
        <w:rPr>
          <w:rFonts w:ascii="Verdana" w:eastAsia="Times New Roman" w:hAnsi="Verdana" w:cs="Segoe UI"/>
          <w:sz w:val="24"/>
          <w:szCs w:val="24"/>
          <w:lang w:eastAsia="en-GB"/>
        </w:rPr>
        <w:t xml:space="preserve"> June.  </w:t>
      </w:r>
    </w:p>
    <w:p w14:paraId="0AF53CCF"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7D2A8366"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u w:val="single"/>
          <w:lang w:eastAsia="en-GB"/>
        </w:rPr>
        <w:t>Unscheduled Care</w:t>
      </w:r>
      <w:r w:rsidRPr="00E50C67">
        <w:rPr>
          <w:rFonts w:ascii="Verdana" w:eastAsia="Times New Roman" w:hAnsi="Verdana" w:cs="Segoe UI"/>
          <w:sz w:val="24"/>
          <w:szCs w:val="24"/>
          <w:lang w:eastAsia="en-GB"/>
        </w:rPr>
        <w:t> </w:t>
      </w:r>
    </w:p>
    <w:p w14:paraId="62FFD4B7"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Unscheduled Care and Emergency system </w:t>
      </w:r>
      <w:r w:rsidRPr="00E50C67">
        <w:rPr>
          <w:rFonts w:ascii="Verdana" w:eastAsia="Times New Roman" w:hAnsi="Verdana" w:cs="Segoe UI"/>
          <w:b/>
          <w:bCs/>
          <w:i/>
          <w:iCs/>
          <w:color w:val="70AD47"/>
          <w:sz w:val="24"/>
          <w:szCs w:val="24"/>
          <w:lang w:eastAsia="en-GB"/>
        </w:rPr>
        <w:t>&lt;Green&gt;:</w:t>
      </w:r>
      <w:r w:rsidRPr="00E50C67">
        <w:rPr>
          <w:rFonts w:ascii="Verdana" w:eastAsia="Times New Roman" w:hAnsi="Verdana" w:cs="Segoe UI"/>
          <w:color w:val="70AD47"/>
          <w:sz w:val="24"/>
          <w:szCs w:val="24"/>
          <w:lang w:eastAsia="en-GB"/>
        </w:rPr>
        <w:t xml:space="preserve"> </w:t>
      </w:r>
      <w:r w:rsidRPr="00E50C67">
        <w:rPr>
          <w:rFonts w:ascii="Verdana" w:eastAsia="Times New Roman" w:hAnsi="Verdana" w:cs="Segoe UI"/>
          <w:sz w:val="24"/>
          <w:szCs w:val="24"/>
          <w:lang w:eastAsia="en-GB"/>
        </w:rPr>
        <w:t>The digital team continue to engage with the Emergency Department capital redesign programme. A letter summarising the Health Board’s proposed approach including its intention to bid for funding for an unscheduled and emergency care system has been drafted for submission to Welsh Government.  </w:t>
      </w:r>
    </w:p>
    <w:p w14:paraId="0B9069A5"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3E318767"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Welsh Emergency Care Data Set (WECDS) </w:t>
      </w:r>
      <w:r w:rsidRPr="00E50C67">
        <w:rPr>
          <w:rFonts w:ascii="Verdana" w:eastAsia="Times New Roman" w:hAnsi="Verdana" w:cs="Segoe UI"/>
          <w:b/>
          <w:bCs/>
          <w:i/>
          <w:iCs/>
          <w:color w:val="FFC000"/>
          <w:sz w:val="24"/>
          <w:szCs w:val="24"/>
          <w:lang w:eastAsia="en-GB"/>
        </w:rPr>
        <w:t>&lt;Amber&gt;:</w:t>
      </w:r>
      <w:r w:rsidRPr="00E50C67">
        <w:rPr>
          <w:rFonts w:ascii="Verdana" w:eastAsia="Times New Roman" w:hAnsi="Verdana" w:cs="Segoe UI"/>
          <w:i/>
          <w:iCs/>
          <w:color w:val="FFC000"/>
          <w:sz w:val="24"/>
          <w:szCs w:val="24"/>
          <w:lang w:eastAsia="en-GB"/>
        </w:rPr>
        <w:t xml:space="preserve"> </w:t>
      </w:r>
      <w:r w:rsidRPr="00E50C67">
        <w:rPr>
          <w:rFonts w:ascii="Verdana" w:eastAsia="Times New Roman" w:hAnsi="Verdana" w:cs="Segoe UI"/>
          <w:sz w:val="24"/>
          <w:szCs w:val="24"/>
          <w:lang w:eastAsia="en-GB"/>
        </w:rPr>
        <w:t>The Health Board continues to engage with the national Welsh Emergency Care Data Set programme and a local plan to support delivery of the solution (replacing the current system in ED) has been submitted to the national programme board. Supporting information accompanying the plan sets out key requirements specific for Swansea Bay which need to be addressed prior to a go live. These key requirements reiterate the Health Board’s concerns that the solution will not provide a pervasive digital solution across all unscheduled and emergency care settings and the ambition therefore to procure a 3</w:t>
      </w:r>
      <w:r w:rsidRPr="00E50C67">
        <w:rPr>
          <w:rFonts w:ascii="Verdana" w:eastAsia="Times New Roman" w:hAnsi="Verdana" w:cs="Segoe UI"/>
          <w:sz w:val="19"/>
          <w:szCs w:val="19"/>
          <w:vertAlign w:val="superscript"/>
          <w:lang w:eastAsia="en-GB"/>
        </w:rPr>
        <w:t>rd</w:t>
      </w:r>
      <w:r w:rsidRPr="00E50C67">
        <w:rPr>
          <w:rFonts w:ascii="Verdana" w:eastAsia="Times New Roman" w:hAnsi="Verdana" w:cs="Segoe UI"/>
          <w:sz w:val="24"/>
          <w:szCs w:val="24"/>
          <w:lang w:eastAsia="en-GB"/>
        </w:rPr>
        <w:t xml:space="preserve"> party solution to span unscheduled care and emergency settings.  </w:t>
      </w:r>
    </w:p>
    <w:p w14:paraId="0D24578F"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463FB3F5"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e-triage </w:t>
      </w:r>
      <w:r w:rsidRPr="00E50C67">
        <w:rPr>
          <w:rFonts w:ascii="Verdana" w:eastAsia="Times New Roman" w:hAnsi="Verdana" w:cs="Segoe UI"/>
          <w:b/>
          <w:bCs/>
          <w:i/>
          <w:iCs/>
          <w:color w:val="FFC000"/>
          <w:sz w:val="24"/>
          <w:szCs w:val="24"/>
          <w:lang w:eastAsia="en-GB"/>
        </w:rPr>
        <w:t>&lt;Amber&gt;:</w:t>
      </w:r>
      <w:r w:rsidRPr="00E50C67">
        <w:rPr>
          <w:rFonts w:ascii="Verdana" w:eastAsia="Times New Roman" w:hAnsi="Verdana" w:cs="Segoe UI"/>
          <w:sz w:val="24"/>
          <w:szCs w:val="24"/>
          <w:lang w:eastAsia="en-GB"/>
        </w:rPr>
        <w:t xml:space="preserve"> The Six Goals for Urgent and Emergency Care National Programme have confirmed funding for the FY 2025-26 to implement an e-triage system in the Minor Injuries Unit (MIU) in Neath Port Talbot hospital in the first instance. </w:t>
      </w:r>
    </w:p>
    <w:p w14:paraId="14E7A1E3"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153A39D0" w14:textId="77777777" w:rsidR="00E50C67" w:rsidRPr="00E50C67" w:rsidRDefault="00E50C67" w:rsidP="00E50C67">
      <w:pPr>
        <w:spacing w:after="0" w:line="240" w:lineRule="auto"/>
        <w:ind w:right="540"/>
        <w:jc w:val="both"/>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Work has commenced with technical teams to understand the functionality provided by the e-triage system and what is required to integrate with Symphony, the software that is currently utilised in the MIU. The digital team are awaiting a response from the Symphony team to confirm integration requirements and associated costs. The Health Board are also engaging with the national WECDS programme to establish whether the national ED App will integrate with the e-triage system in the first phase. </w:t>
      </w:r>
    </w:p>
    <w:p w14:paraId="75C8AAD0"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color w:val="000000"/>
          <w:sz w:val="24"/>
          <w:szCs w:val="24"/>
          <w:lang w:eastAsia="en-GB"/>
        </w:rPr>
        <w:t> </w:t>
      </w:r>
    </w:p>
    <w:p w14:paraId="2E4DEDFE"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Welsh Intensive Care Implementation System (WICIS) </w:t>
      </w:r>
      <w:r w:rsidRPr="00E50C67">
        <w:rPr>
          <w:rFonts w:ascii="Verdana" w:eastAsia="Times New Roman" w:hAnsi="Verdana" w:cs="Segoe UI"/>
          <w:b/>
          <w:bCs/>
          <w:i/>
          <w:iCs/>
          <w:color w:val="70AD47"/>
          <w:sz w:val="24"/>
          <w:szCs w:val="24"/>
          <w:lang w:eastAsia="en-GB"/>
        </w:rPr>
        <w:t>&lt;Green&gt;:</w:t>
      </w:r>
      <w:r w:rsidRPr="00E50C67">
        <w:rPr>
          <w:rFonts w:ascii="Verdana" w:eastAsia="Times New Roman" w:hAnsi="Verdana" w:cs="Segoe UI"/>
          <w:color w:val="70AD47"/>
          <w:sz w:val="24"/>
          <w:szCs w:val="24"/>
          <w:lang w:eastAsia="en-GB"/>
        </w:rPr>
        <w:t xml:space="preserve"> </w:t>
      </w:r>
      <w:r w:rsidRPr="00E50C67">
        <w:rPr>
          <w:rFonts w:ascii="Verdana" w:eastAsia="Times New Roman" w:hAnsi="Verdana" w:cs="Segoe UI"/>
          <w:sz w:val="24"/>
          <w:szCs w:val="24"/>
          <w:lang w:eastAsia="en-GB"/>
        </w:rPr>
        <w:t xml:space="preserve">A series of clinical engagement workshops were undertaken in June to establish the scale of the required changes to support delivery of a safe </w:t>
      </w:r>
      <w:r w:rsidRPr="00E50C67">
        <w:rPr>
          <w:rFonts w:ascii="Verdana" w:eastAsia="Times New Roman" w:hAnsi="Verdana" w:cs="Segoe UI"/>
          <w:sz w:val="24"/>
          <w:szCs w:val="24"/>
          <w:lang w:eastAsia="en-GB"/>
        </w:rPr>
        <w:lastRenderedPageBreak/>
        <w:t>solution. The output from the workshops will be submitted to the National Clinical Assurance Group (CAG) and programme board for consideration and discussion with the 3</w:t>
      </w:r>
      <w:r w:rsidRPr="00E50C67">
        <w:rPr>
          <w:rFonts w:ascii="Verdana" w:eastAsia="Times New Roman" w:hAnsi="Verdana" w:cs="Segoe UI"/>
          <w:sz w:val="19"/>
          <w:szCs w:val="19"/>
          <w:vertAlign w:val="superscript"/>
          <w:lang w:eastAsia="en-GB"/>
        </w:rPr>
        <w:t>rd</w:t>
      </w:r>
      <w:r w:rsidRPr="00E50C67">
        <w:rPr>
          <w:rFonts w:ascii="Verdana" w:eastAsia="Times New Roman" w:hAnsi="Verdana" w:cs="Segoe UI"/>
          <w:sz w:val="24"/>
          <w:szCs w:val="24"/>
          <w:lang w:eastAsia="en-GB"/>
        </w:rPr>
        <w:t xml:space="preserve"> party provider (ASCOM) such that a national plan for delivery can be agreed by September 2025.   </w:t>
      </w:r>
    </w:p>
    <w:p w14:paraId="7EAFE9A2"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3DA2ED2E"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u w:val="single"/>
          <w:lang w:eastAsia="en-GB"/>
        </w:rPr>
        <w:t>Mental Health and Learning Disabilities</w:t>
      </w:r>
      <w:r w:rsidRPr="00E50C67">
        <w:rPr>
          <w:rFonts w:ascii="Verdana" w:eastAsia="Times New Roman" w:hAnsi="Verdana" w:cs="Segoe UI"/>
          <w:sz w:val="24"/>
          <w:szCs w:val="24"/>
          <w:lang w:eastAsia="en-GB"/>
        </w:rPr>
        <w:t> </w:t>
      </w:r>
    </w:p>
    <w:p w14:paraId="2E71C4F8"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u w:val="single"/>
          <w:lang w:eastAsia="en-GB"/>
        </w:rPr>
        <w:t> </w:t>
      </w:r>
      <w:r w:rsidRPr="00E50C67">
        <w:rPr>
          <w:rFonts w:ascii="Verdana" w:eastAsia="Times New Roman" w:hAnsi="Verdana" w:cs="Segoe UI"/>
          <w:sz w:val="24"/>
          <w:szCs w:val="24"/>
          <w:lang w:eastAsia="en-GB"/>
        </w:rPr>
        <w:t> </w:t>
      </w:r>
    </w:p>
    <w:p w14:paraId="5D9E2DF7"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 xml:space="preserve">Welsh Patient Administration System (WPAS) implementation for Mental Health, Learning Disabilities, Primary Care and Therapies: </w:t>
      </w:r>
      <w:r w:rsidRPr="00E50C67">
        <w:rPr>
          <w:rFonts w:ascii="Verdana" w:eastAsia="Times New Roman" w:hAnsi="Verdana" w:cs="Segoe UI"/>
          <w:b/>
          <w:bCs/>
          <w:i/>
          <w:iCs/>
          <w:color w:val="FFC000"/>
          <w:sz w:val="24"/>
          <w:szCs w:val="24"/>
          <w:lang w:eastAsia="en-GB"/>
        </w:rPr>
        <w:t>&lt;Amber&gt;:</w:t>
      </w:r>
      <w:r w:rsidRPr="00E50C67">
        <w:rPr>
          <w:rFonts w:ascii="Verdana" w:eastAsia="Times New Roman" w:hAnsi="Verdana" w:cs="Segoe UI"/>
          <w:color w:val="FFC000"/>
          <w:sz w:val="24"/>
          <w:szCs w:val="24"/>
          <w:lang w:eastAsia="en-GB"/>
        </w:rPr>
        <w:t xml:space="preserve"> </w:t>
      </w:r>
      <w:r w:rsidRPr="00E50C67">
        <w:rPr>
          <w:rFonts w:ascii="Verdana" w:eastAsia="Times New Roman" w:hAnsi="Verdana" w:cs="Segoe UI"/>
          <w:sz w:val="24"/>
          <w:szCs w:val="24"/>
          <w:lang w:eastAsia="en-GB"/>
        </w:rPr>
        <w:t>The Health Board has commissioned an independent review of its Mental Health and Learning Disability services which aims to provide a clear and objective assessment of the current provision of service.  </w:t>
      </w:r>
    </w:p>
    <w:p w14:paraId="18564EB3"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4215E711"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The review has identified several priority areas which require immediate action, including digital and information reporting. It is recommended that digital and mental health services explore the use of the Health Care Professional (HCP) module of WPAS as an interim solution with a focus on community and outpatient services. Work is underway to establish the appropriateness of this solution to meet administrative and reporting requirements.  </w:t>
      </w:r>
    </w:p>
    <w:p w14:paraId="5D4E604C"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22D13DBF"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Assuming the HCP module is suitable, a plan to implement the solution across community and outpatient services will be developed.  </w:t>
      </w:r>
    </w:p>
    <w:p w14:paraId="503A7EB6"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6F1BDA0A"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Priority teams for implementation will include teams who currently use paper and / or manual processes to manage care and activity e.g., Single Point of Access and Crisis Resolution Teams. </w:t>
      </w:r>
    </w:p>
    <w:p w14:paraId="1A88AE3E"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089136B3" w14:textId="77777777" w:rsidR="00E50C67" w:rsidRPr="00E50C67" w:rsidRDefault="00E50C67" w:rsidP="00E50C67">
      <w:pPr>
        <w:spacing w:after="0" w:line="240" w:lineRule="auto"/>
        <w:ind w:left="360" w:hanging="360"/>
        <w:textAlignment w:val="baseline"/>
        <w:rPr>
          <w:rFonts w:ascii="Segoe UI" w:eastAsia="Times New Roman" w:hAnsi="Segoe UI" w:cs="Segoe UI"/>
          <w:b/>
          <w:bCs/>
          <w:sz w:val="18"/>
          <w:szCs w:val="18"/>
          <w:lang w:eastAsia="en-GB"/>
        </w:rPr>
      </w:pPr>
      <w:r w:rsidRPr="00E50C67">
        <w:rPr>
          <w:rFonts w:ascii="Verdana" w:eastAsia="Times New Roman" w:hAnsi="Verdana" w:cs="Segoe UI"/>
          <w:b/>
          <w:bCs/>
          <w:sz w:val="24"/>
          <w:szCs w:val="24"/>
          <w:lang w:eastAsia="en-GB"/>
        </w:rPr>
        <w:t>Digital Infrastructure  </w:t>
      </w:r>
    </w:p>
    <w:p w14:paraId="45EC3104" w14:textId="77777777" w:rsidR="00E50C67" w:rsidRPr="00E50C67" w:rsidRDefault="00E50C67" w:rsidP="00E50C67">
      <w:pPr>
        <w:spacing w:after="0" w:line="240" w:lineRule="auto"/>
        <w:ind w:left="360" w:hanging="360"/>
        <w:textAlignment w:val="baseline"/>
        <w:rPr>
          <w:rFonts w:ascii="Segoe UI" w:eastAsia="Times New Roman" w:hAnsi="Segoe UI" w:cs="Segoe UI"/>
          <w:b/>
          <w:bCs/>
          <w:sz w:val="18"/>
          <w:szCs w:val="18"/>
          <w:lang w:eastAsia="en-GB"/>
        </w:rPr>
      </w:pPr>
      <w:r w:rsidRPr="00E50C67">
        <w:rPr>
          <w:rFonts w:ascii="Verdana" w:eastAsia="Times New Roman" w:hAnsi="Verdana" w:cs="Segoe UI"/>
          <w:b/>
          <w:bCs/>
          <w:sz w:val="24"/>
          <w:szCs w:val="24"/>
          <w:lang w:eastAsia="en-GB"/>
        </w:rPr>
        <w:t> </w:t>
      </w:r>
    </w:p>
    <w:p w14:paraId="112144F1"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Technology Refresh</w:t>
      </w:r>
      <w:r w:rsidRPr="00E50C67">
        <w:rPr>
          <w:rFonts w:ascii="Verdana" w:eastAsia="Times New Roman" w:hAnsi="Verdana" w:cs="Segoe UI"/>
          <w:i/>
          <w:iCs/>
          <w:sz w:val="24"/>
          <w:szCs w:val="24"/>
          <w:lang w:eastAsia="en-GB"/>
        </w:rPr>
        <w:t xml:space="preserve"> </w:t>
      </w:r>
      <w:r w:rsidRPr="00E50C67">
        <w:rPr>
          <w:rFonts w:ascii="Verdana" w:eastAsia="Times New Roman" w:hAnsi="Verdana" w:cs="Segoe UI"/>
          <w:b/>
          <w:bCs/>
          <w:i/>
          <w:iCs/>
          <w:color w:val="70AD47"/>
          <w:sz w:val="24"/>
          <w:szCs w:val="24"/>
          <w:lang w:eastAsia="en-GB"/>
        </w:rPr>
        <w:t>&lt;Green</w:t>
      </w:r>
      <w:r w:rsidRPr="00E50C67">
        <w:rPr>
          <w:rFonts w:ascii="Verdana" w:eastAsia="Times New Roman" w:hAnsi="Verdana" w:cs="Segoe UI"/>
          <w:b/>
          <w:bCs/>
          <w:color w:val="70AD47"/>
          <w:sz w:val="24"/>
          <w:szCs w:val="24"/>
          <w:lang w:eastAsia="en-GB"/>
        </w:rPr>
        <w:t>&gt;:</w:t>
      </w:r>
      <w:r w:rsidRPr="00E50C67">
        <w:rPr>
          <w:rFonts w:ascii="Verdana" w:eastAsia="Times New Roman" w:hAnsi="Verdana" w:cs="Segoe UI"/>
          <w:sz w:val="24"/>
          <w:szCs w:val="24"/>
          <w:lang w:eastAsia="en-GB"/>
        </w:rPr>
        <w:t>  </w:t>
      </w:r>
    </w:p>
    <w:p w14:paraId="445E86E6" w14:textId="77777777" w:rsidR="00E50C67" w:rsidRPr="00E50C67" w:rsidRDefault="00E50C67" w:rsidP="00E50C67">
      <w:pPr>
        <w:numPr>
          <w:ilvl w:val="0"/>
          <w:numId w:val="8"/>
        </w:numPr>
        <w:spacing w:after="0" w:line="240" w:lineRule="auto"/>
        <w:ind w:left="1080" w:firstLine="0"/>
        <w:textAlignment w:val="baseline"/>
        <w:rPr>
          <w:rFonts w:ascii="Verdana" w:eastAsia="Times New Roman" w:hAnsi="Verdana" w:cs="Segoe UI"/>
          <w:sz w:val="24"/>
          <w:szCs w:val="24"/>
          <w:lang w:eastAsia="en-GB"/>
        </w:rPr>
      </w:pPr>
      <w:r w:rsidRPr="00E50C67">
        <w:rPr>
          <w:rFonts w:ascii="Verdana" w:eastAsia="Times New Roman" w:hAnsi="Verdana" w:cs="Segoe UI"/>
          <w:sz w:val="24"/>
          <w:szCs w:val="24"/>
          <w:lang w:eastAsia="en-GB"/>
        </w:rPr>
        <w:t>The new core networks at Morriston and Singleton have been implemented, and work is underway to remove the old core network. This is expected to complete by the end of Q2. </w:t>
      </w:r>
    </w:p>
    <w:p w14:paraId="796A0BFA" w14:textId="77777777" w:rsidR="00E50C67" w:rsidRPr="00E50C67" w:rsidRDefault="00E50C67" w:rsidP="00E50C67">
      <w:pPr>
        <w:numPr>
          <w:ilvl w:val="0"/>
          <w:numId w:val="9"/>
        </w:numPr>
        <w:spacing w:after="0" w:line="240" w:lineRule="auto"/>
        <w:ind w:left="1080" w:firstLine="0"/>
        <w:textAlignment w:val="baseline"/>
        <w:rPr>
          <w:rFonts w:ascii="Verdana" w:eastAsia="Times New Roman" w:hAnsi="Verdana" w:cs="Segoe UI"/>
          <w:sz w:val="24"/>
          <w:szCs w:val="24"/>
          <w:lang w:eastAsia="en-GB"/>
        </w:rPr>
      </w:pPr>
      <w:r w:rsidRPr="00E50C67">
        <w:rPr>
          <w:rFonts w:ascii="Verdana" w:eastAsia="Times New Roman" w:hAnsi="Verdana" w:cs="Segoe UI"/>
          <w:sz w:val="24"/>
          <w:szCs w:val="24"/>
          <w:lang w:eastAsia="en-GB"/>
        </w:rPr>
        <w:t>Replacement of the Singleton Hospital network by replacing the hospital network switches which provide access to computers, video surveillance systems, and medical equipment such as Computerised Tomography (CT) scanners and Magnetic Resonance Imaging (MRI) scanners. This work will commence toward the end of Q2 (September). </w:t>
      </w:r>
    </w:p>
    <w:p w14:paraId="745A81A2" w14:textId="77777777" w:rsidR="00E50C67" w:rsidRPr="00E50C67" w:rsidRDefault="00E50C67" w:rsidP="00E50C67">
      <w:pPr>
        <w:numPr>
          <w:ilvl w:val="0"/>
          <w:numId w:val="10"/>
        </w:numPr>
        <w:spacing w:after="0" w:line="240" w:lineRule="auto"/>
        <w:ind w:left="1080" w:firstLine="0"/>
        <w:textAlignment w:val="baseline"/>
        <w:rPr>
          <w:rFonts w:ascii="Verdana" w:eastAsia="Times New Roman" w:hAnsi="Verdana" w:cs="Segoe UI"/>
          <w:sz w:val="24"/>
          <w:szCs w:val="24"/>
          <w:lang w:eastAsia="en-GB"/>
        </w:rPr>
      </w:pPr>
      <w:r w:rsidRPr="00E50C67">
        <w:rPr>
          <w:rFonts w:ascii="Verdana" w:eastAsia="Times New Roman" w:hAnsi="Verdana" w:cs="Segoe UI"/>
          <w:sz w:val="24"/>
          <w:szCs w:val="24"/>
          <w:lang w:eastAsia="en-GB"/>
        </w:rPr>
        <w:t>Replacement of the wireless network at Neath Port Talbot Hospital is currently in the planning stages and is scheduled to commence in Q2 (August). </w:t>
      </w:r>
    </w:p>
    <w:p w14:paraId="4F2C21F5" w14:textId="77777777" w:rsidR="00E50C67" w:rsidRPr="00E50C67" w:rsidRDefault="00E50C67" w:rsidP="00E50C67">
      <w:pPr>
        <w:numPr>
          <w:ilvl w:val="0"/>
          <w:numId w:val="11"/>
        </w:numPr>
        <w:spacing w:after="0" w:line="240" w:lineRule="auto"/>
        <w:ind w:left="1080" w:firstLine="0"/>
        <w:textAlignment w:val="baseline"/>
        <w:rPr>
          <w:rFonts w:ascii="Verdana" w:eastAsia="Times New Roman" w:hAnsi="Verdana" w:cs="Segoe UI"/>
          <w:sz w:val="24"/>
          <w:szCs w:val="24"/>
          <w:lang w:eastAsia="en-GB"/>
        </w:rPr>
      </w:pPr>
      <w:r w:rsidRPr="00E50C67">
        <w:rPr>
          <w:rFonts w:ascii="Verdana" w:eastAsia="Times New Roman" w:hAnsi="Verdana" w:cs="Segoe UI"/>
          <w:sz w:val="24"/>
          <w:szCs w:val="24"/>
          <w:lang w:eastAsia="en-GB"/>
        </w:rPr>
        <w:t>The replacement of the computer backup system providing additional protection against cyber-attacks has been installed and the work completed ahead of schedule during Q1. </w:t>
      </w:r>
    </w:p>
    <w:p w14:paraId="6B1F8274" w14:textId="77777777" w:rsidR="00E50C67" w:rsidRPr="00E50C67" w:rsidRDefault="00E50C67" w:rsidP="00E50C67">
      <w:pPr>
        <w:numPr>
          <w:ilvl w:val="0"/>
          <w:numId w:val="12"/>
        </w:numPr>
        <w:spacing w:after="0" w:line="240" w:lineRule="auto"/>
        <w:ind w:left="1080" w:firstLine="0"/>
        <w:textAlignment w:val="baseline"/>
        <w:rPr>
          <w:rFonts w:ascii="Verdana" w:eastAsia="Times New Roman" w:hAnsi="Verdana" w:cs="Segoe UI"/>
          <w:sz w:val="24"/>
          <w:szCs w:val="24"/>
          <w:lang w:eastAsia="en-GB"/>
        </w:rPr>
      </w:pPr>
      <w:r w:rsidRPr="00E50C67">
        <w:rPr>
          <w:rFonts w:ascii="Verdana" w:eastAsia="Times New Roman" w:hAnsi="Verdana" w:cs="Segoe UI"/>
          <w:sz w:val="24"/>
          <w:szCs w:val="24"/>
          <w:lang w:eastAsia="en-GB"/>
        </w:rPr>
        <w:lastRenderedPageBreak/>
        <w:t>The replacement of unsupported desktop and laptop computers whilst also migrating from Windows 10 to 11 in parallel is progressing well. The migration to Windows 11 is currently at 84% of desktops and laptop computers, with a target completion date of October ’25. </w:t>
      </w:r>
    </w:p>
    <w:p w14:paraId="32DC7CCD"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4FAC843C"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b/>
          <w:bCs/>
          <w:i/>
          <w:iCs/>
          <w:sz w:val="24"/>
          <w:szCs w:val="24"/>
          <w:lang w:eastAsia="en-GB"/>
        </w:rPr>
        <w:t>Business Intelligence (BI)</w:t>
      </w:r>
      <w:r w:rsidRPr="00E50C67">
        <w:rPr>
          <w:rFonts w:ascii="Verdana" w:eastAsia="Times New Roman" w:hAnsi="Verdana" w:cs="Segoe UI"/>
          <w:b/>
          <w:bCs/>
          <w:i/>
          <w:iCs/>
          <w:color w:val="70AD47"/>
          <w:sz w:val="24"/>
          <w:szCs w:val="24"/>
          <w:lang w:eastAsia="en-GB"/>
        </w:rPr>
        <w:t xml:space="preserve"> &lt;Green&gt;:</w:t>
      </w:r>
      <w:r w:rsidRPr="00E50C67">
        <w:rPr>
          <w:rFonts w:ascii="Verdana" w:eastAsia="Times New Roman" w:hAnsi="Verdana" w:cs="Segoe UI"/>
          <w:i/>
          <w:iCs/>
          <w:color w:val="70AD47"/>
          <w:sz w:val="24"/>
          <w:szCs w:val="24"/>
          <w:lang w:eastAsia="en-GB"/>
        </w:rPr>
        <w:t xml:space="preserve"> </w:t>
      </w:r>
      <w:r w:rsidRPr="00E50C67">
        <w:rPr>
          <w:rFonts w:ascii="Verdana" w:eastAsia="Times New Roman" w:hAnsi="Verdana" w:cs="Segoe UI"/>
          <w:sz w:val="24"/>
          <w:szCs w:val="24"/>
          <w:lang w:eastAsia="en-GB"/>
        </w:rPr>
        <w:t>Key achievements include the launch of the weekly health board summary report which is sent automatically to executives on Monday mornings. Other achievements include the Bed Management App to help support the monitoring of available core beds and the newly launched "Your Next Patient" beds on each ward. End of life care reports have been added to the mortality app along with a range of supporting measures. Bed projections have been included in the Population Health App which show estimates for the number of beds that will be required over the next 20 years for different age cohorts. Data literacy course have also been continued to be delivered with 40 staff members attending during this period. </w:t>
      </w:r>
    </w:p>
    <w:p w14:paraId="2859E1BE"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1B35F7BD" w14:textId="77777777" w:rsidR="00E50C67" w:rsidRPr="00E50C67" w:rsidRDefault="00E50C67" w:rsidP="00E50C67">
      <w:pPr>
        <w:spacing w:after="0" w:line="240" w:lineRule="auto"/>
        <w:ind w:left="360" w:hanging="360"/>
        <w:textAlignment w:val="baseline"/>
        <w:rPr>
          <w:rFonts w:ascii="Segoe UI" w:eastAsia="Times New Roman" w:hAnsi="Segoe UI" w:cs="Segoe UI"/>
          <w:b/>
          <w:bCs/>
          <w:sz w:val="18"/>
          <w:szCs w:val="18"/>
          <w:lang w:eastAsia="en-GB"/>
        </w:rPr>
      </w:pPr>
      <w:r w:rsidRPr="00E50C67">
        <w:rPr>
          <w:rFonts w:ascii="Verdana" w:eastAsia="Times New Roman" w:hAnsi="Verdana" w:cs="Segoe UI"/>
          <w:b/>
          <w:bCs/>
          <w:sz w:val="24"/>
          <w:szCs w:val="24"/>
          <w:lang w:eastAsia="en-GB"/>
        </w:rPr>
        <w:t>Cross-cutting  </w:t>
      </w:r>
    </w:p>
    <w:p w14:paraId="006DCC9B" w14:textId="77777777" w:rsidR="00E50C67" w:rsidRPr="00E50C67" w:rsidRDefault="00E50C67" w:rsidP="00E50C67">
      <w:pPr>
        <w:spacing w:after="0" w:line="240" w:lineRule="auto"/>
        <w:ind w:left="360" w:hanging="360"/>
        <w:textAlignment w:val="baseline"/>
        <w:rPr>
          <w:rFonts w:ascii="Segoe UI" w:eastAsia="Times New Roman" w:hAnsi="Segoe UI" w:cs="Segoe UI"/>
          <w:b/>
          <w:bCs/>
          <w:sz w:val="18"/>
          <w:szCs w:val="18"/>
          <w:lang w:eastAsia="en-GB"/>
        </w:rPr>
      </w:pPr>
      <w:r w:rsidRPr="00E50C67">
        <w:rPr>
          <w:rFonts w:ascii="Verdana" w:eastAsia="Times New Roman" w:hAnsi="Verdana" w:cs="Segoe UI"/>
          <w:b/>
          <w:bCs/>
          <w:sz w:val="24"/>
          <w:szCs w:val="24"/>
          <w:lang w:eastAsia="en-GB"/>
        </w:rPr>
        <w:t> </w:t>
      </w:r>
    </w:p>
    <w:p w14:paraId="0F4EF99A" w14:textId="77777777" w:rsidR="00E50C67" w:rsidRPr="00E50C67" w:rsidRDefault="00E50C67" w:rsidP="00E50C67">
      <w:pPr>
        <w:spacing w:after="0" w:line="240" w:lineRule="auto"/>
        <w:ind w:left="360" w:hanging="360"/>
        <w:textAlignment w:val="baseline"/>
        <w:rPr>
          <w:rFonts w:ascii="Segoe UI" w:eastAsia="Times New Roman" w:hAnsi="Segoe UI" w:cs="Segoe UI"/>
          <w:b/>
          <w:bCs/>
          <w:sz w:val="18"/>
          <w:szCs w:val="18"/>
          <w:lang w:eastAsia="en-GB"/>
        </w:rPr>
      </w:pPr>
      <w:r w:rsidRPr="00E50C67">
        <w:rPr>
          <w:rFonts w:ascii="Verdana" w:eastAsia="Times New Roman" w:hAnsi="Verdana" w:cs="Segoe UI"/>
          <w:b/>
          <w:bCs/>
          <w:i/>
          <w:iCs/>
          <w:sz w:val="24"/>
          <w:szCs w:val="24"/>
          <w:lang w:eastAsia="en-GB"/>
        </w:rPr>
        <w:t>Connecting Care </w:t>
      </w:r>
      <w:r w:rsidRPr="00E50C67">
        <w:rPr>
          <w:rFonts w:ascii="Verdana" w:eastAsia="Times New Roman" w:hAnsi="Verdana" w:cs="Segoe UI"/>
          <w:b/>
          <w:bCs/>
          <w:sz w:val="24"/>
          <w:szCs w:val="24"/>
          <w:lang w:eastAsia="en-GB"/>
        </w:rPr>
        <w:t> </w:t>
      </w:r>
    </w:p>
    <w:p w14:paraId="63CA51A0" w14:textId="77777777" w:rsidR="00E50C67" w:rsidRPr="00E50C67" w:rsidRDefault="00E50C67" w:rsidP="00E50C67">
      <w:pPr>
        <w:spacing w:after="0" w:line="240" w:lineRule="auto"/>
        <w:ind w:left="360" w:hanging="360"/>
        <w:textAlignment w:val="baseline"/>
        <w:rPr>
          <w:rFonts w:ascii="Segoe UI" w:eastAsia="Times New Roman" w:hAnsi="Segoe UI" w:cs="Segoe UI"/>
          <w:b/>
          <w:bCs/>
          <w:sz w:val="18"/>
          <w:szCs w:val="18"/>
          <w:lang w:eastAsia="en-GB"/>
        </w:rPr>
      </w:pPr>
      <w:r w:rsidRPr="00E50C67">
        <w:rPr>
          <w:rFonts w:ascii="Verdana" w:eastAsia="Times New Roman" w:hAnsi="Verdana" w:cs="Segoe UI"/>
          <w:b/>
          <w:bCs/>
          <w:i/>
          <w:iCs/>
          <w:sz w:val="24"/>
          <w:szCs w:val="24"/>
          <w:lang w:eastAsia="en-GB"/>
        </w:rPr>
        <w:t xml:space="preserve">RIO Implementation – 750 WCCIS users </w:t>
      </w:r>
      <w:r w:rsidRPr="00E50C67">
        <w:rPr>
          <w:rFonts w:ascii="Verdana" w:eastAsia="Times New Roman" w:hAnsi="Verdana" w:cs="Segoe UI"/>
          <w:b/>
          <w:bCs/>
          <w:i/>
          <w:iCs/>
          <w:color w:val="70AD47"/>
          <w:sz w:val="24"/>
          <w:szCs w:val="24"/>
          <w:lang w:eastAsia="en-GB"/>
        </w:rPr>
        <w:t>&lt;Green&gt;:  </w:t>
      </w:r>
      <w:r w:rsidRPr="00E50C67">
        <w:rPr>
          <w:rFonts w:ascii="Verdana" w:eastAsia="Times New Roman" w:hAnsi="Verdana" w:cs="Segoe UI"/>
          <w:b/>
          <w:bCs/>
          <w:color w:val="70AD47"/>
          <w:sz w:val="24"/>
          <w:szCs w:val="24"/>
          <w:lang w:eastAsia="en-GB"/>
        </w:rPr>
        <w:t> </w:t>
      </w:r>
    </w:p>
    <w:p w14:paraId="63AA53CE"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color w:val="000000"/>
          <w:sz w:val="24"/>
          <w:szCs w:val="24"/>
          <w:lang w:eastAsia="en-GB"/>
        </w:rPr>
        <w:t>A contract has been awarded to The Access Group (TAG) to implement TAG’s core Rio product, plus additional access to (with a view to informing the development of) their Access Intelligent Care Platform (AICP), which will serve as the integrated care record between Rio and their Mosaic product (social care system) purchased by Swansea Council.  The project has now been initiated, and readiness activities have accelerated, workshops have been held locally and with Swansea Council.  </w:t>
      </w:r>
    </w:p>
    <w:p w14:paraId="185E04EB"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color w:val="000000"/>
          <w:sz w:val="24"/>
          <w:szCs w:val="24"/>
          <w:lang w:eastAsia="en-GB"/>
        </w:rPr>
        <w:t> </w:t>
      </w:r>
    </w:p>
    <w:p w14:paraId="69EF613E" w14:textId="77777777" w:rsidR="00E50C67" w:rsidRPr="00E50C67" w:rsidRDefault="00E50C67" w:rsidP="00E50C67">
      <w:pPr>
        <w:spacing w:after="0" w:line="240" w:lineRule="auto"/>
        <w:ind w:left="360" w:hanging="360"/>
        <w:textAlignment w:val="baseline"/>
        <w:rPr>
          <w:rFonts w:ascii="Segoe UI" w:eastAsia="Times New Roman" w:hAnsi="Segoe UI" w:cs="Segoe UI"/>
          <w:b/>
          <w:bCs/>
          <w:sz w:val="18"/>
          <w:szCs w:val="18"/>
          <w:lang w:eastAsia="en-GB"/>
        </w:rPr>
      </w:pPr>
      <w:r w:rsidRPr="00E50C67">
        <w:rPr>
          <w:rFonts w:ascii="Verdana" w:eastAsia="Times New Roman" w:hAnsi="Verdana" w:cs="Segoe UI"/>
          <w:b/>
          <w:bCs/>
          <w:sz w:val="24"/>
          <w:szCs w:val="24"/>
          <w:lang w:eastAsia="en-GB"/>
        </w:rPr>
        <w:t>National Programme Update </w:t>
      </w:r>
    </w:p>
    <w:p w14:paraId="1F72785E"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058076C2"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DHCW have engaged with stakeholders to revise the Connecting Care outline business case, incorporating individual Health Board position statements and procurement preferences. The revised business case was submitted to Welsh Government in May; formal feedback is yet to be received. </w:t>
      </w:r>
    </w:p>
    <w:p w14:paraId="2C58A454" w14:textId="77777777" w:rsidR="00E50C67" w:rsidRPr="00E50C67" w:rsidRDefault="00E50C67" w:rsidP="00E50C67">
      <w:pPr>
        <w:spacing w:after="0" w:line="240" w:lineRule="auto"/>
        <w:textAlignment w:val="baseline"/>
        <w:rPr>
          <w:rFonts w:ascii="Segoe UI" w:eastAsia="Times New Roman" w:hAnsi="Segoe UI" w:cs="Segoe UI"/>
          <w:sz w:val="18"/>
          <w:szCs w:val="18"/>
          <w:lang w:eastAsia="en-GB"/>
        </w:rPr>
      </w:pPr>
      <w:r w:rsidRPr="00E50C67">
        <w:rPr>
          <w:rFonts w:ascii="Verdana" w:eastAsia="Times New Roman" w:hAnsi="Verdana" w:cs="Segoe UI"/>
          <w:sz w:val="24"/>
          <w:szCs w:val="24"/>
          <w:lang w:eastAsia="en-GB"/>
        </w:rPr>
        <w:t> </w:t>
      </w:r>
    </w:p>
    <w:p w14:paraId="5B66C4E7" w14:textId="77777777" w:rsidR="00CB4342" w:rsidRDefault="00CB4342"/>
    <w:sectPr w:rsidR="00CB434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A7B7E"/>
    <w:multiLevelType w:val="multilevel"/>
    <w:tmpl w:val="AC549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8862FB2"/>
    <w:multiLevelType w:val="multilevel"/>
    <w:tmpl w:val="E3C239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D94C53"/>
    <w:multiLevelType w:val="multilevel"/>
    <w:tmpl w:val="B158F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76A24C6"/>
    <w:multiLevelType w:val="multilevel"/>
    <w:tmpl w:val="08F84E4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3149A1"/>
    <w:multiLevelType w:val="multilevel"/>
    <w:tmpl w:val="D6865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DAF2FC1"/>
    <w:multiLevelType w:val="multilevel"/>
    <w:tmpl w:val="79E60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5F01F23"/>
    <w:multiLevelType w:val="multilevel"/>
    <w:tmpl w:val="6EC4E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7D849DB"/>
    <w:multiLevelType w:val="multilevel"/>
    <w:tmpl w:val="439C2D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F923A9A"/>
    <w:multiLevelType w:val="multilevel"/>
    <w:tmpl w:val="AB90240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05D2D8A"/>
    <w:multiLevelType w:val="multilevel"/>
    <w:tmpl w:val="77741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0CC44FF"/>
    <w:multiLevelType w:val="multilevel"/>
    <w:tmpl w:val="7D2454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E707D71"/>
    <w:multiLevelType w:val="multilevel"/>
    <w:tmpl w:val="3C6C5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8"/>
  </w:num>
  <w:num w:numId="3">
    <w:abstractNumId w:val="3"/>
  </w:num>
  <w:num w:numId="4">
    <w:abstractNumId w:val="7"/>
  </w:num>
  <w:num w:numId="5">
    <w:abstractNumId w:val="10"/>
  </w:num>
  <w:num w:numId="6">
    <w:abstractNumId w:val="4"/>
  </w:num>
  <w:num w:numId="7">
    <w:abstractNumId w:val="6"/>
  </w:num>
  <w:num w:numId="8">
    <w:abstractNumId w:val="9"/>
  </w:num>
  <w:num w:numId="9">
    <w:abstractNumId w:val="11"/>
  </w:num>
  <w:num w:numId="10">
    <w:abstractNumId w:val="5"/>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0C67"/>
    <w:rsid w:val="00CB4342"/>
    <w:rsid w:val="00E50C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6390F"/>
  <w15:chartTrackingRefBased/>
  <w15:docId w15:val="{69EA0111-E33A-40FF-8F6D-C6B32A957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E50C67"/>
  </w:style>
  <w:style w:type="character" w:customStyle="1" w:styleId="eop">
    <w:name w:val="eop"/>
    <w:basedOn w:val="DefaultParagraphFont"/>
    <w:rsid w:val="00E50C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0357303">
      <w:bodyDiv w:val="1"/>
      <w:marLeft w:val="0"/>
      <w:marRight w:val="0"/>
      <w:marTop w:val="0"/>
      <w:marBottom w:val="0"/>
      <w:divBdr>
        <w:top w:val="none" w:sz="0" w:space="0" w:color="auto"/>
        <w:left w:val="none" w:sz="0" w:space="0" w:color="auto"/>
        <w:bottom w:val="none" w:sz="0" w:space="0" w:color="auto"/>
        <w:right w:val="none" w:sz="0" w:space="0" w:color="auto"/>
      </w:divBdr>
      <w:divsChild>
        <w:div w:id="1824468902">
          <w:marLeft w:val="0"/>
          <w:marRight w:val="0"/>
          <w:marTop w:val="0"/>
          <w:marBottom w:val="0"/>
          <w:divBdr>
            <w:top w:val="none" w:sz="0" w:space="0" w:color="auto"/>
            <w:left w:val="none" w:sz="0" w:space="0" w:color="auto"/>
            <w:bottom w:val="none" w:sz="0" w:space="0" w:color="auto"/>
            <w:right w:val="none" w:sz="0" w:space="0" w:color="auto"/>
          </w:divBdr>
        </w:div>
        <w:div w:id="107435752">
          <w:marLeft w:val="0"/>
          <w:marRight w:val="0"/>
          <w:marTop w:val="0"/>
          <w:marBottom w:val="0"/>
          <w:divBdr>
            <w:top w:val="none" w:sz="0" w:space="0" w:color="auto"/>
            <w:left w:val="none" w:sz="0" w:space="0" w:color="auto"/>
            <w:bottom w:val="none" w:sz="0" w:space="0" w:color="auto"/>
            <w:right w:val="none" w:sz="0" w:space="0" w:color="auto"/>
          </w:divBdr>
        </w:div>
        <w:div w:id="891035640">
          <w:marLeft w:val="0"/>
          <w:marRight w:val="0"/>
          <w:marTop w:val="0"/>
          <w:marBottom w:val="0"/>
          <w:divBdr>
            <w:top w:val="none" w:sz="0" w:space="0" w:color="auto"/>
            <w:left w:val="none" w:sz="0" w:space="0" w:color="auto"/>
            <w:bottom w:val="none" w:sz="0" w:space="0" w:color="auto"/>
            <w:right w:val="none" w:sz="0" w:space="0" w:color="auto"/>
          </w:divBdr>
        </w:div>
        <w:div w:id="2078745864">
          <w:marLeft w:val="0"/>
          <w:marRight w:val="0"/>
          <w:marTop w:val="0"/>
          <w:marBottom w:val="0"/>
          <w:divBdr>
            <w:top w:val="none" w:sz="0" w:space="0" w:color="auto"/>
            <w:left w:val="none" w:sz="0" w:space="0" w:color="auto"/>
            <w:bottom w:val="none" w:sz="0" w:space="0" w:color="auto"/>
            <w:right w:val="none" w:sz="0" w:space="0" w:color="auto"/>
          </w:divBdr>
        </w:div>
        <w:div w:id="78601130">
          <w:marLeft w:val="0"/>
          <w:marRight w:val="0"/>
          <w:marTop w:val="0"/>
          <w:marBottom w:val="0"/>
          <w:divBdr>
            <w:top w:val="none" w:sz="0" w:space="0" w:color="auto"/>
            <w:left w:val="none" w:sz="0" w:space="0" w:color="auto"/>
            <w:bottom w:val="none" w:sz="0" w:space="0" w:color="auto"/>
            <w:right w:val="none" w:sz="0" w:space="0" w:color="auto"/>
          </w:divBdr>
          <w:divsChild>
            <w:div w:id="744911066">
              <w:marLeft w:val="-75"/>
              <w:marRight w:val="0"/>
              <w:marTop w:val="30"/>
              <w:marBottom w:val="30"/>
              <w:divBdr>
                <w:top w:val="none" w:sz="0" w:space="0" w:color="auto"/>
                <w:left w:val="none" w:sz="0" w:space="0" w:color="auto"/>
                <w:bottom w:val="none" w:sz="0" w:space="0" w:color="auto"/>
                <w:right w:val="none" w:sz="0" w:space="0" w:color="auto"/>
              </w:divBdr>
              <w:divsChild>
                <w:div w:id="1326740298">
                  <w:marLeft w:val="0"/>
                  <w:marRight w:val="0"/>
                  <w:marTop w:val="0"/>
                  <w:marBottom w:val="0"/>
                  <w:divBdr>
                    <w:top w:val="none" w:sz="0" w:space="0" w:color="auto"/>
                    <w:left w:val="none" w:sz="0" w:space="0" w:color="auto"/>
                    <w:bottom w:val="none" w:sz="0" w:space="0" w:color="auto"/>
                    <w:right w:val="none" w:sz="0" w:space="0" w:color="auto"/>
                  </w:divBdr>
                  <w:divsChild>
                    <w:div w:id="982127092">
                      <w:marLeft w:val="0"/>
                      <w:marRight w:val="0"/>
                      <w:marTop w:val="0"/>
                      <w:marBottom w:val="0"/>
                      <w:divBdr>
                        <w:top w:val="none" w:sz="0" w:space="0" w:color="auto"/>
                        <w:left w:val="none" w:sz="0" w:space="0" w:color="auto"/>
                        <w:bottom w:val="none" w:sz="0" w:space="0" w:color="auto"/>
                        <w:right w:val="none" w:sz="0" w:space="0" w:color="auto"/>
                      </w:divBdr>
                    </w:div>
                  </w:divsChild>
                </w:div>
                <w:div w:id="1769739617">
                  <w:marLeft w:val="0"/>
                  <w:marRight w:val="0"/>
                  <w:marTop w:val="0"/>
                  <w:marBottom w:val="0"/>
                  <w:divBdr>
                    <w:top w:val="none" w:sz="0" w:space="0" w:color="auto"/>
                    <w:left w:val="none" w:sz="0" w:space="0" w:color="auto"/>
                    <w:bottom w:val="none" w:sz="0" w:space="0" w:color="auto"/>
                    <w:right w:val="none" w:sz="0" w:space="0" w:color="auto"/>
                  </w:divBdr>
                  <w:divsChild>
                    <w:div w:id="414862291">
                      <w:marLeft w:val="0"/>
                      <w:marRight w:val="0"/>
                      <w:marTop w:val="0"/>
                      <w:marBottom w:val="0"/>
                      <w:divBdr>
                        <w:top w:val="none" w:sz="0" w:space="0" w:color="auto"/>
                        <w:left w:val="none" w:sz="0" w:space="0" w:color="auto"/>
                        <w:bottom w:val="none" w:sz="0" w:space="0" w:color="auto"/>
                        <w:right w:val="none" w:sz="0" w:space="0" w:color="auto"/>
                      </w:divBdr>
                    </w:div>
                  </w:divsChild>
                </w:div>
                <w:div w:id="1329669203">
                  <w:marLeft w:val="0"/>
                  <w:marRight w:val="0"/>
                  <w:marTop w:val="0"/>
                  <w:marBottom w:val="0"/>
                  <w:divBdr>
                    <w:top w:val="none" w:sz="0" w:space="0" w:color="auto"/>
                    <w:left w:val="none" w:sz="0" w:space="0" w:color="auto"/>
                    <w:bottom w:val="none" w:sz="0" w:space="0" w:color="auto"/>
                    <w:right w:val="none" w:sz="0" w:space="0" w:color="auto"/>
                  </w:divBdr>
                  <w:divsChild>
                    <w:div w:id="727149564">
                      <w:marLeft w:val="0"/>
                      <w:marRight w:val="0"/>
                      <w:marTop w:val="0"/>
                      <w:marBottom w:val="0"/>
                      <w:divBdr>
                        <w:top w:val="none" w:sz="0" w:space="0" w:color="auto"/>
                        <w:left w:val="none" w:sz="0" w:space="0" w:color="auto"/>
                        <w:bottom w:val="none" w:sz="0" w:space="0" w:color="auto"/>
                        <w:right w:val="none" w:sz="0" w:space="0" w:color="auto"/>
                      </w:divBdr>
                    </w:div>
                  </w:divsChild>
                </w:div>
                <w:div w:id="1517959832">
                  <w:marLeft w:val="0"/>
                  <w:marRight w:val="0"/>
                  <w:marTop w:val="0"/>
                  <w:marBottom w:val="0"/>
                  <w:divBdr>
                    <w:top w:val="none" w:sz="0" w:space="0" w:color="auto"/>
                    <w:left w:val="none" w:sz="0" w:space="0" w:color="auto"/>
                    <w:bottom w:val="none" w:sz="0" w:space="0" w:color="auto"/>
                    <w:right w:val="none" w:sz="0" w:space="0" w:color="auto"/>
                  </w:divBdr>
                  <w:divsChild>
                    <w:div w:id="285505106">
                      <w:marLeft w:val="0"/>
                      <w:marRight w:val="0"/>
                      <w:marTop w:val="0"/>
                      <w:marBottom w:val="0"/>
                      <w:divBdr>
                        <w:top w:val="none" w:sz="0" w:space="0" w:color="auto"/>
                        <w:left w:val="none" w:sz="0" w:space="0" w:color="auto"/>
                        <w:bottom w:val="none" w:sz="0" w:space="0" w:color="auto"/>
                        <w:right w:val="none" w:sz="0" w:space="0" w:color="auto"/>
                      </w:divBdr>
                    </w:div>
                  </w:divsChild>
                </w:div>
                <w:div w:id="1909150666">
                  <w:marLeft w:val="0"/>
                  <w:marRight w:val="0"/>
                  <w:marTop w:val="0"/>
                  <w:marBottom w:val="0"/>
                  <w:divBdr>
                    <w:top w:val="none" w:sz="0" w:space="0" w:color="auto"/>
                    <w:left w:val="none" w:sz="0" w:space="0" w:color="auto"/>
                    <w:bottom w:val="none" w:sz="0" w:space="0" w:color="auto"/>
                    <w:right w:val="none" w:sz="0" w:space="0" w:color="auto"/>
                  </w:divBdr>
                  <w:divsChild>
                    <w:div w:id="1831939895">
                      <w:marLeft w:val="0"/>
                      <w:marRight w:val="0"/>
                      <w:marTop w:val="0"/>
                      <w:marBottom w:val="0"/>
                      <w:divBdr>
                        <w:top w:val="none" w:sz="0" w:space="0" w:color="auto"/>
                        <w:left w:val="none" w:sz="0" w:space="0" w:color="auto"/>
                        <w:bottom w:val="none" w:sz="0" w:space="0" w:color="auto"/>
                        <w:right w:val="none" w:sz="0" w:space="0" w:color="auto"/>
                      </w:divBdr>
                    </w:div>
                  </w:divsChild>
                </w:div>
                <w:div w:id="436565157">
                  <w:marLeft w:val="0"/>
                  <w:marRight w:val="0"/>
                  <w:marTop w:val="0"/>
                  <w:marBottom w:val="0"/>
                  <w:divBdr>
                    <w:top w:val="none" w:sz="0" w:space="0" w:color="auto"/>
                    <w:left w:val="none" w:sz="0" w:space="0" w:color="auto"/>
                    <w:bottom w:val="none" w:sz="0" w:space="0" w:color="auto"/>
                    <w:right w:val="none" w:sz="0" w:space="0" w:color="auto"/>
                  </w:divBdr>
                  <w:divsChild>
                    <w:div w:id="21524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269045">
          <w:marLeft w:val="0"/>
          <w:marRight w:val="0"/>
          <w:marTop w:val="0"/>
          <w:marBottom w:val="0"/>
          <w:divBdr>
            <w:top w:val="none" w:sz="0" w:space="0" w:color="auto"/>
            <w:left w:val="none" w:sz="0" w:space="0" w:color="auto"/>
            <w:bottom w:val="none" w:sz="0" w:space="0" w:color="auto"/>
            <w:right w:val="none" w:sz="0" w:space="0" w:color="auto"/>
          </w:divBdr>
        </w:div>
        <w:div w:id="1936327434">
          <w:marLeft w:val="0"/>
          <w:marRight w:val="0"/>
          <w:marTop w:val="0"/>
          <w:marBottom w:val="0"/>
          <w:divBdr>
            <w:top w:val="none" w:sz="0" w:space="0" w:color="auto"/>
            <w:left w:val="none" w:sz="0" w:space="0" w:color="auto"/>
            <w:bottom w:val="none" w:sz="0" w:space="0" w:color="auto"/>
            <w:right w:val="none" w:sz="0" w:space="0" w:color="auto"/>
          </w:divBdr>
        </w:div>
        <w:div w:id="759714305">
          <w:marLeft w:val="0"/>
          <w:marRight w:val="0"/>
          <w:marTop w:val="0"/>
          <w:marBottom w:val="0"/>
          <w:divBdr>
            <w:top w:val="none" w:sz="0" w:space="0" w:color="auto"/>
            <w:left w:val="none" w:sz="0" w:space="0" w:color="auto"/>
            <w:bottom w:val="none" w:sz="0" w:space="0" w:color="auto"/>
            <w:right w:val="none" w:sz="0" w:space="0" w:color="auto"/>
          </w:divBdr>
        </w:div>
        <w:div w:id="461075945">
          <w:marLeft w:val="0"/>
          <w:marRight w:val="0"/>
          <w:marTop w:val="0"/>
          <w:marBottom w:val="0"/>
          <w:divBdr>
            <w:top w:val="none" w:sz="0" w:space="0" w:color="auto"/>
            <w:left w:val="none" w:sz="0" w:space="0" w:color="auto"/>
            <w:bottom w:val="none" w:sz="0" w:space="0" w:color="auto"/>
            <w:right w:val="none" w:sz="0" w:space="0" w:color="auto"/>
          </w:divBdr>
        </w:div>
        <w:div w:id="213009823">
          <w:marLeft w:val="0"/>
          <w:marRight w:val="0"/>
          <w:marTop w:val="0"/>
          <w:marBottom w:val="0"/>
          <w:divBdr>
            <w:top w:val="none" w:sz="0" w:space="0" w:color="auto"/>
            <w:left w:val="none" w:sz="0" w:space="0" w:color="auto"/>
            <w:bottom w:val="none" w:sz="0" w:space="0" w:color="auto"/>
            <w:right w:val="none" w:sz="0" w:space="0" w:color="auto"/>
          </w:divBdr>
        </w:div>
        <w:div w:id="1876693931">
          <w:marLeft w:val="0"/>
          <w:marRight w:val="0"/>
          <w:marTop w:val="0"/>
          <w:marBottom w:val="0"/>
          <w:divBdr>
            <w:top w:val="none" w:sz="0" w:space="0" w:color="auto"/>
            <w:left w:val="none" w:sz="0" w:space="0" w:color="auto"/>
            <w:bottom w:val="none" w:sz="0" w:space="0" w:color="auto"/>
            <w:right w:val="none" w:sz="0" w:space="0" w:color="auto"/>
          </w:divBdr>
        </w:div>
        <w:div w:id="346060562">
          <w:marLeft w:val="0"/>
          <w:marRight w:val="0"/>
          <w:marTop w:val="0"/>
          <w:marBottom w:val="0"/>
          <w:divBdr>
            <w:top w:val="none" w:sz="0" w:space="0" w:color="auto"/>
            <w:left w:val="none" w:sz="0" w:space="0" w:color="auto"/>
            <w:bottom w:val="none" w:sz="0" w:space="0" w:color="auto"/>
            <w:right w:val="none" w:sz="0" w:space="0" w:color="auto"/>
          </w:divBdr>
        </w:div>
        <w:div w:id="639382250">
          <w:marLeft w:val="0"/>
          <w:marRight w:val="0"/>
          <w:marTop w:val="0"/>
          <w:marBottom w:val="0"/>
          <w:divBdr>
            <w:top w:val="none" w:sz="0" w:space="0" w:color="auto"/>
            <w:left w:val="none" w:sz="0" w:space="0" w:color="auto"/>
            <w:bottom w:val="none" w:sz="0" w:space="0" w:color="auto"/>
            <w:right w:val="none" w:sz="0" w:space="0" w:color="auto"/>
          </w:divBdr>
        </w:div>
        <w:div w:id="1251158421">
          <w:marLeft w:val="0"/>
          <w:marRight w:val="0"/>
          <w:marTop w:val="0"/>
          <w:marBottom w:val="0"/>
          <w:divBdr>
            <w:top w:val="none" w:sz="0" w:space="0" w:color="auto"/>
            <w:left w:val="none" w:sz="0" w:space="0" w:color="auto"/>
            <w:bottom w:val="none" w:sz="0" w:space="0" w:color="auto"/>
            <w:right w:val="none" w:sz="0" w:space="0" w:color="auto"/>
          </w:divBdr>
        </w:div>
        <w:div w:id="1408184606">
          <w:marLeft w:val="0"/>
          <w:marRight w:val="0"/>
          <w:marTop w:val="0"/>
          <w:marBottom w:val="0"/>
          <w:divBdr>
            <w:top w:val="none" w:sz="0" w:space="0" w:color="auto"/>
            <w:left w:val="none" w:sz="0" w:space="0" w:color="auto"/>
            <w:bottom w:val="none" w:sz="0" w:space="0" w:color="auto"/>
            <w:right w:val="none" w:sz="0" w:space="0" w:color="auto"/>
          </w:divBdr>
        </w:div>
        <w:div w:id="1961960116">
          <w:marLeft w:val="0"/>
          <w:marRight w:val="0"/>
          <w:marTop w:val="0"/>
          <w:marBottom w:val="0"/>
          <w:divBdr>
            <w:top w:val="none" w:sz="0" w:space="0" w:color="auto"/>
            <w:left w:val="none" w:sz="0" w:space="0" w:color="auto"/>
            <w:bottom w:val="none" w:sz="0" w:space="0" w:color="auto"/>
            <w:right w:val="none" w:sz="0" w:space="0" w:color="auto"/>
          </w:divBdr>
        </w:div>
        <w:div w:id="1897080977">
          <w:marLeft w:val="0"/>
          <w:marRight w:val="0"/>
          <w:marTop w:val="0"/>
          <w:marBottom w:val="0"/>
          <w:divBdr>
            <w:top w:val="none" w:sz="0" w:space="0" w:color="auto"/>
            <w:left w:val="none" w:sz="0" w:space="0" w:color="auto"/>
            <w:bottom w:val="none" w:sz="0" w:space="0" w:color="auto"/>
            <w:right w:val="none" w:sz="0" w:space="0" w:color="auto"/>
          </w:divBdr>
        </w:div>
        <w:div w:id="1739592917">
          <w:marLeft w:val="0"/>
          <w:marRight w:val="0"/>
          <w:marTop w:val="0"/>
          <w:marBottom w:val="0"/>
          <w:divBdr>
            <w:top w:val="none" w:sz="0" w:space="0" w:color="auto"/>
            <w:left w:val="none" w:sz="0" w:space="0" w:color="auto"/>
            <w:bottom w:val="none" w:sz="0" w:space="0" w:color="auto"/>
            <w:right w:val="none" w:sz="0" w:space="0" w:color="auto"/>
          </w:divBdr>
        </w:div>
        <w:div w:id="1066761214">
          <w:marLeft w:val="0"/>
          <w:marRight w:val="0"/>
          <w:marTop w:val="0"/>
          <w:marBottom w:val="0"/>
          <w:divBdr>
            <w:top w:val="none" w:sz="0" w:space="0" w:color="auto"/>
            <w:left w:val="none" w:sz="0" w:space="0" w:color="auto"/>
            <w:bottom w:val="none" w:sz="0" w:space="0" w:color="auto"/>
            <w:right w:val="none" w:sz="0" w:space="0" w:color="auto"/>
          </w:divBdr>
        </w:div>
        <w:div w:id="1560824138">
          <w:marLeft w:val="0"/>
          <w:marRight w:val="0"/>
          <w:marTop w:val="0"/>
          <w:marBottom w:val="0"/>
          <w:divBdr>
            <w:top w:val="none" w:sz="0" w:space="0" w:color="auto"/>
            <w:left w:val="none" w:sz="0" w:space="0" w:color="auto"/>
            <w:bottom w:val="none" w:sz="0" w:space="0" w:color="auto"/>
            <w:right w:val="none" w:sz="0" w:space="0" w:color="auto"/>
          </w:divBdr>
        </w:div>
        <w:div w:id="1072122954">
          <w:marLeft w:val="0"/>
          <w:marRight w:val="0"/>
          <w:marTop w:val="0"/>
          <w:marBottom w:val="0"/>
          <w:divBdr>
            <w:top w:val="none" w:sz="0" w:space="0" w:color="auto"/>
            <w:left w:val="none" w:sz="0" w:space="0" w:color="auto"/>
            <w:bottom w:val="none" w:sz="0" w:space="0" w:color="auto"/>
            <w:right w:val="none" w:sz="0" w:space="0" w:color="auto"/>
          </w:divBdr>
        </w:div>
        <w:div w:id="1100682029">
          <w:marLeft w:val="0"/>
          <w:marRight w:val="0"/>
          <w:marTop w:val="0"/>
          <w:marBottom w:val="0"/>
          <w:divBdr>
            <w:top w:val="none" w:sz="0" w:space="0" w:color="auto"/>
            <w:left w:val="none" w:sz="0" w:space="0" w:color="auto"/>
            <w:bottom w:val="none" w:sz="0" w:space="0" w:color="auto"/>
            <w:right w:val="none" w:sz="0" w:space="0" w:color="auto"/>
          </w:divBdr>
        </w:div>
        <w:div w:id="599488328">
          <w:marLeft w:val="0"/>
          <w:marRight w:val="0"/>
          <w:marTop w:val="0"/>
          <w:marBottom w:val="0"/>
          <w:divBdr>
            <w:top w:val="none" w:sz="0" w:space="0" w:color="auto"/>
            <w:left w:val="none" w:sz="0" w:space="0" w:color="auto"/>
            <w:bottom w:val="none" w:sz="0" w:space="0" w:color="auto"/>
            <w:right w:val="none" w:sz="0" w:space="0" w:color="auto"/>
          </w:divBdr>
        </w:div>
        <w:div w:id="1125542136">
          <w:marLeft w:val="0"/>
          <w:marRight w:val="0"/>
          <w:marTop w:val="0"/>
          <w:marBottom w:val="0"/>
          <w:divBdr>
            <w:top w:val="none" w:sz="0" w:space="0" w:color="auto"/>
            <w:left w:val="none" w:sz="0" w:space="0" w:color="auto"/>
            <w:bottom w:val="none" w:sz="0" w:space="0" w:color="auto"/>
            <w:right w:val="none" w:sz="0" w:space="0" w:color="auto"/>
          </w:divBdr>
        </w:div>
        <w:div w:id="635186126">
          <w:marLeft w:val="0"/>
          <w:marRight w:val="0"/>
          <w:marTop w:val="0"/>
          <w:marBottom w:val="0"/>
          <w:divBdr>
            <w:top w:val="none" w:sz="0" w:space="0" w:color="auto"/>
            <w:left w:val="none" w:sz="0" w:space="0" w:color="auto"/>
            <w:bottom w:val="none" w:sz="0" w:space="0" w:color="auto"/>
            <w:right w:val="none" w:sz="0" w:space="0" w:color="auto"/>
          </w:divBdr>
        </w:div>
        <w:div w:id="13000094">
          <w:marLeft w:val="0"/>
          <w:marRight w:val="0"/>
          <w:marTop w:val="0"/>
          <w:marBottom w:val="0"/>
          <w:divBdr>
            <w:top w:val="none" w:sz="0" w:space="0" w:color="auto"/>
            <w:left w:val="none" w:sz="0" w:space="0" w:color="auto"/>
            <w:bottom w:val="none" w:sz="0" w:space="0" w:color="auto"/>
            <w:right w:val="none" w:sz="0" w:space="0" w:color="auto"/>
          </w:divBdr>
          <w:divsChild>
            <w:div w:id="1078943323">
              <w:marLeft w:val="0"/>
              <w:marRight w:val="0"/>
              <w:marTop w:val="0"/>
              <w:marBottom w:val="0"/>
              <w:divBdr>
                <w:top w:val="none" w:sz="0" w:space="0" w:color="auto"/>
                <w:left w:val="none" w:sz="0" w:space="0" w:color="auto"/>
                <w:bottom w:val="none" w:sz="0" w:space="0" w:color="auto"/>
                <w:right w:val="none" w:sz="0" w:space="0" w:color="auto"/>
              </w:divBdr>
            </w:div>
            <w:div w:id="1063524675">
              <w:marLeft w:val="0"/>
              <w:marRight w:val="0"/>
              <w:marTop w:val="0"/>
              <w:marBottom w:val="0"/>
              <w:divBdr>
                <w:top w:val="none" w:sz="0" w:space="0" w:color="auto"/>
                <w:left w:val="none" w:sz="0" w:space="0" w:color="auto"/>
                <w:bottom w:val="none" w:sz="0" w:space="0" w:color="auto"/>
                <w:right w:val="none" w:sz="0" w:space="0" w:color="auto"/>
              </w:divBdr>
            </w:div>
            <w:div w:id="362292659">
              <w:marLeft w:val="0"/>
              <w:marRight w:val="0"/>
              <w:marTop w:val="0"/>
              <w:marBottom w:val="0"/>
              <w:divBdr>
                <w:top w:val="none" w:sz="0" w:space="0" w:color="auto"/>
                <w:left w:val="none" w:sz="0" w:space="0" w:color="auto"/>
                <w:bottom w:val="none" w:sz="0" w:space="0" w:color="auto"/>
                <w:right w:val="none" w:sz="0" w:space="0" w:color="auto"/>
              </w:divBdr>
            </w:div>
            <w:div w:id="374475859">
              <w:marLeft w:val="0"/>
              <w:marRight w:val="0"/>
              <w:marTop w:val="0"/>
              <w:marBottom w:val="0"/>
              <w:divBdr>
                <w:top w:val="none" w:sz="0" w:space="0" w:color="auto"/>
                <w:left w:val="none" w:sz="0" w:space="0" w:color="auto"/>
                <w:bottom w:val="none" w:sz="0" w:space="0" w:color="auto"/>
                <w:right w:val="none" w:sz="0" w:space="0" w:color="auto"/>
              </w:divBdr>
            </w:div>
            <w:div w:id="1077678681">
              <w:marLeft w:val="0"/>
              <w:marRight w:val="0"/>
              <w:marTop w:val="0"/>
              <w:marBottom w:val="0"/>
              <w:divBdr>
                <w:top w:val="none" w:sz="0" w:space="0" w:color="auto"/>
                <w:left w:val="none" w:sz="0" w:space="0" w:color="auto"/>
                <w:bottom w:val="none" w:sz="0" w:space="0" w:color="auto"/>
                <w:right w:val="none" w:sz="0" w:space="0" w:color="auto"/>
              </w:divBdr>
            </w:div>
            <w:div w:id="1596475145">
              <w:marLeft w:val="0"/>
              <w:marRight w:val="0"/>
              <w:marTop w:val="0"/>
              <w:marBottom w:val="0"/>
              <w:divBdr>
                <w:top w:val="none" w:sz="0" w:space="0" w:color="auto"/>
                <w:left w:val="none" w:sz="0" w:space="0" w:color="auto"/>
                <w:bottom w:val="none" w:sz="0" w:space="0" w:color="auto"/>
                <w:right w:val="none" w:sz="0" w:space="0" w:color="auto"/>
              </w:divBdr>
            </w:div>
            <w:div w:id="898244531">
              <w:marLeft w:val="0"/>
              <w:marRight w:val="0"/>
              <w:marTop w:val="0"/>
              <w:marBottom w:val="0"/>
              <w:divBdr>
                <w:top w:val="none" w:sz="0" w:space="0" w:color="auto"/>
                <w:left w:val="none" w:sz="0" w:space="0" w:color="auto"/>
                <w:bottom w:val="none" w:sz="0" w:space="0" w:color="auto"/>
                <w:right w:val="none" w:sz="0" w:space="0" w:color="auto"/>
              </w:divBdr>
            </w:div>
            <w:div w:id="364673297">
              <w:marLeft w:val="0"/>
              <w:marRight w:val="0"/>
              <w:marTop w:val="0"/>
              <w:marBottom w:val="0"/>
              <w:divBdr>
                <w:top w:val="none" w:sz="0" w:space="0" w:color="auto"/>
                <w:left w:val="none" w:sz="0" w:space="0" w:color="auto"/>
                <w:bottom w:val="none" w:sz="0" w:space="0" w:color="auto"/>
                <w:right w:val="none" w:sz="0" w:space="0" w:color="auto"/>
              </w:divBdr>
            </w:div>
            <w:div w:id="684555907">
              <w:marLeft w:val="0"/>
              <w:marRight w:val="0"/>
              <w:marTop w:val="0"/>
              <w:marBottom w:val="0"/>
              <w:divBdr>
                <w:top w:val="none" w:sz="0" w:space="0" w:color="auto"/>
                <w:left w:val="none" w:sz="0" w:space="0" w:color="auto"/>
                <w:bottom w:val="none" w:sz="0" w:space="0" w:color="auto"/>
                <w:right w:val="none" w:sz="0" w:space="0" w:color="auto"/>
              </w:divBdr>
            </w:div>
            <w:div w:id="243809327">
              <w:marLeft w:val="0"/>
              <w:marRight w:val="0"/>
              <w:marTop w:val="0"/>
              <w:marBottom w:val="0"/>
              <w:divBdr>
                <w:top w:val="none" w:sz="0" w:space="0" w:color="auto"/>
                <w:left w:val="none" w:sz="0" w:space="0" w:color="auto"/>
                <w:bottom w:val="none" w:sz="0" w:space="0" w:color="auto"/>
                <w:right w:val="none" w:sz="0" w:space="0" w:color="auto"/>
              </w:divBdr>
            </w:div>
            <w:div w:id="2030988052">
              <w:marLeft w:val="0"/>
              <w:marRight w:val="0"/>
              <w:marTop w:val="0"/>
              <w:marBottom w:val="0"/>
              <w:divBdr>
                <w:top w:val="none" w:sz="0" w:space="0" w:color="auto"/>
                <w:left w:val="none" w:sz="0" w:space="0" w:color="auto"/>
                <w:bottom w:val="none" w:sz="0" w:space="0" w:color="auto"/>
                <w:right w:val="none" w:sz="0" w:space="0" w:color="auto"/>
              </w:divBdr>
            </w:div>
            <w:div w:id="1942257174">
              <w:marLeft w:val="0"/>
              <w:marRight w:val="0"/>
              <w:marTop w:val="0"/>
              <w:marBottom w:val="0"/>
              <w:divBdr>
                <w:top w:val="none" w:sz="0" w:space="0" w:color="auto"/>
                <w:left w:val="none" w:sz="0" w:space="0" w:color="auto"/>
                <w:bottom w:val="none" w:sz="0" w:space="0" w:color="auto"/>
                <w:right w:val="none" w:sz="0" w:space="0" w:color="auto"/>
              </w:divBdr>
            </w:div>
            <w:div w:id="926646243">
              <w:marLeft w:val="0"/>
              <w:marRight w:val="0"/>
              <w:marTop w:val="0"/>
              <w:marBottom w:val="0"/>
              <w:divBdr>
                <w:top w:val="none" w:sz="0" w:space="0" w:color="auto"/>
                <w:left w:val="none" w:sz="0" w:space="0" w:color="auto"/>
                <w:bottom w:val="none" w:sz="0" w:space="0" w:color="auto"/>
                <w:right w:val="none" w:sz="0" w:space="0" w:color="auto"/>
              </w:divBdr>
            </w:div>
            <w:div w:id="1205605867">
              <w:marLeft w:val="0"/>
              <w:marRight w:val="0"/>
              <w:marTop w:val="0"/>
              <w:marBottom w:val="0"/>
              <w:divBdr>
                <w:top w:val="none" w:sz="0" w:space="0" w:color="auto"/>
                <w:left w:val="none" w:sz="0" w:space="0" w:color="auto"/>
                <w:bottom w:val="none" w:sz="0" w:space="0" w:color="auto"/>
                <w:right w:val="none" w:sz="0" w:space="0" w:color="auto"/>
              </w:divBdr>
            </w:div>
            <w:div w:id="1813670900">
              <w:marLeft w:val="0"/>
              <w:marRight w:val="0"/>
              <w:marTop w:val="0"/>
              <w:marBottom w:val="0"/>
              <w:divBdr>
                <w:top w:val="none" w:sz="0" w:space="0" w:color="auto"/>
                <w:left w:val="none" w:sz="0" w:space="0" w:color="auto"/>
                <w:bottom w:val="none" w:sz="0" w:space="0" w:color="auto"/>
                <w:right w:val="none" w:sz="0" w:space="0" w:color="auto"/>
              </w:divBdr>
            </w:div>
            <w:div w:id="576986786">
              <w:marLeft w:val="0"/>
              <w:marRight w:val="0"/>
              <w:marTop w:val="0"/>
              <w:marBottom w:val="0"/>
              <w:divBdr>
                <w:top w:val="none" w:sz="0" w:space="0" w:color="auto"/>
                <w:left w:val="none" w:sz="0" w:space="0" w:color="auto"/>
                <w:bottom w:val="none" w:sz="0" w:space="0" w:color="auto"/>
                <w:right w:val="none" w:sz="0" w:space="0" w:color="auto"/>
              </w:divBdr>
            </w:div>
            <w:div w:id="1343705282">
              <w:marLeft w:val="0"/>
              <w:marRight w:val="0"/>
              <w:marTop w:val="0"/>
              <w:marBottom w:val="0"/>
              <w:divBdr>
                <w:top w:val="none" w:sz="0" w:space="0" w:color="auto"/>
                <w:left w:val="none" w:sz="0" w:space="0" w:color="auto"/>
                <w:bottom w:val="none" w:sz="0" w:space="0" w:color="auto"/>
                <w:right w:val="none" w:sz="0" w:space="0" w:color="auto"/>
              </w:divBdr>
            </w:div>
            <w:div w:id="2001348243">
              <w:marLeft w:val="0"/>
              <w:marRight w:val="0"/>
              <w:marTop w:val="0"/>
              <w:marBottom w:val="0"/>
              <w:divBdr>
                <w:top w:val="none" w:sz="0" w:space="0" w:color="auto"/>
                <w:left w:val="none" w:sz="0" w:space="0" w:color="auto"/>
                <w:bottom w:val="none" w:sz="0" w:space="0" w:color="auto"/>
                <w:right w:val="none" w:sz="0" w:space="0" w:color="auto"/>
              </w:divBdr>
            </w:div>
            <w:div w:id="2091391025">
              <w:marLeft w:val="0"/>
              <w:marRight w:val="0"/>
              <w:marTop w:val="0"/>
              <w:marBottom w:val="0"/>
              <w:divBdr>
                <w:top w:val="none" w:sz="0" w:space="0" w:color="auto"/>
                <w:left w:val="none" w:sz="0" w:space="0" w:color="auto"/>
                <w:bottom w:val="none" w:sz="0" w:space="0" w:color="auto"/>
                <w:right w:val="none" w:sz="0" w:space="0" w:color="auto"/>
              </w:divBdr>
            </w:div>
            <w:div w:id="495654300">
              <w:marLeft w:val="0"/>
              <w:marRight w:val="0"/>
              <w:marTop w:val="0"/>
              <w:marBottom w:val="0"/>
              <w:divBdr>
                <w:top w:val="none" w:sz="0" w:space="0" w:color="auto"/>
                <w:left w:val="none" w:sz="0" w:space="0" w:color="auto"/>
                <w:bottom w:val="none" w:sz="0" w:space="0" w:color="auto"/>
                <w:right w:val="none" w:sz="0" w:space="0" w:color="auto"/>
              </w:divBdr>
            </w:div>
          </w:divsChild>
        </w:div>
        <w:div w:id="512111299">
          <w:marLeft w:val="0"/>
          <w:marRight w:val="0"/>
          <w:marTop w:val="0"/>
          <w:marBottom w:val="0"/>
          <w:divBdr>
            <w:top w:val="none" w:sz="0" w:space="0" w:color="auto"/>
            <w:left w:val="none" w:sz="0" w:space="0" w:color="auto"/>
            <w:bottom w:val="none" w:sz="0" w:space="0" w:color="auto"/>
            <w:right w:val="none" w:sz="0" w:space="0" w:color="auto"/>
          </w:divBdr>
        </w:div>
        <w:div w:id="1755010527">
          <w:marLeft w:val="0"/>
          <w:marRight w:val="0"/>
          <w:marTop w:val="0"/>
          <w:marBottom w:val="0"/>
          <w:divBdr>
            <w:top w:val="none" w:sz="0" w:space="0" w:color="auto"/>
            <w:left w:val="none" w:sz="0" w:space="0" w:color="auto"/>
            <w:bottom w:val="none" w:sz="0" w:space="0" w:color="auto"/>
            <w:right w:val="none" w:sz="0" w:space="0" w:color="auto"/>
          </w:divBdr>
        </w:div>
        <w:div w:id="1821580643">
          <w:marLeft w:val="0"/>
          <w:marRight w:val="0"/>
          <w:marTop w:val="0"/>
          <w:marBottom w:val="0"/>
          <w:divBdr>
            <w:top w:val="none" w:sz="0" w:space="0" w:color="auto"/>
            <w:left w:val="none" w:sz="0" w:space="0" w:color="auto"/>
            <w:bottom w:val="none" w:sz="0" w:space="0" w:color="auto"/>
            <w:right w:val="none" w:sz="0" w:space="0" w:color="auto"/>
          </w:divBdr>
        </w:div>
        <w:div w:id="1581793025">
          <w:marLeft w:val="0"/>
          <w:marRight w:val="0"/>
          <w:marTop w:val="0"/>
          <w:marBottom w:val="0"/>
          <w:divBdr>
            <w:top w:val="none" w:sz="0" w:space="0" w:color="auto"/>
            <w:left w:val="none" w:sz="0" w:space="0" w:color="auto"/>
            <w:bottom w:val="none" w:sz="0" w:space="0" w:color="auto"/>
            <w:right w:val="none" w:sz="0" w:space="0" w:color="auto"/>
          </w:divBdr>
        </w:div>
        <w:div w:id="835681798">
          <w:marLeft w:val="0"/>
          <w:marRight w:val="0"/>
          <w:marTop w:val="0"/>
          <w:marBottom w:val="0"/>
          <w:divBdr>
            <w:top w:val="none" w:sz="0" w:space="0" w:color="auto"/>
            <w:left w:val="none" w:sz="0" w:space="0" w:color="auto"/>
            <w:bottom w:val="none" w:sz="0" w:space="0" w:color="auto"/>
            <w:right w:val="none" w:sz="0" w:space="0" w:color="auto"/>
          </w:divBdr>
        </w:div>
        <w:div w:id="1626346764">
          <w:marLeft w:val="0"/>
          <w:marRight w:val="0"/>
          <w:marTop w:val="0"/>
          <w:marBottom w:val="0"/>
          <w:divBdr>
            <w:top w:val="none" w:sz="0" w:space="0" w:color="auto"/>
            <w:left w:val="none" w:sz="0" w:space="0" w:color="auto"/>
            <w:bottom w:val="none" w:sz="0" w:space="0" w:color="auto"/>
            <w:right w:val="none" w:sz="0" w:space="0" w:color="auto"/>
          </w:divBdr>
        </w:div>
        <w:div w:id="1820028174">
          <w:marLeft w:val="0"/>
          <w:marRight w:val="0"/>
          <w:marTop w:val="0"/>
          <w:marBottom w:val="0"/>
          <w:divBdr>
            <w:top w:val="none" w:sz="0" w:space="0" w:color="auto"/>
            <w:left w:val="none" w:sz="0" w:space="0" w:color="auto"/>
            <w:bottom w:val="none" w:sz="0" w:space="0" w:color="auto"/>
            <w:right w:val="none" w:sz="0" w:space="0" w:color="auto"/>
          </w:divBdr>
        </w:div>
        <w:div w:id="1831602075">
          <w:marLeft w:val="0"/>
          <w:marRight w:val="0"/>
          <w:marTop w:val="0"/>
          <w:marBottom w:val="0"/>
          <w:divBdr>
            <w:top w:val="none" w:sz="0" w:space="0" w:color="auto"/>
            <w:left w:val="none" w:sz="0" w:space="0" w:color="auto"/>
            <w:bottom w:val="none" w:sz="0" w:space="0" w:color="auto"/>
            <w:right w:val="none" w:sz="0" w:space="0" w:color="auto"/>
          </w:divBdr>
        </w:div>
        <w:div w:id="1485001434">
          <w:marLeft w:val="0"/>
          <w:marRight w:val="0"/>
          <w:marTop w:val="0"/>
          <w:marBottom w:val="0"/>
          <w:divBdr>
            <w:top w:val="none" w:sz="0" w:space="0" w:color="auto"/>
            <w:left w:val="none" w:sz="0" w:space="0" w:color="auto"/>
            <w:bottom w:val="none" w:sz="0" w:space="0" w:color="auto"/>
            <w:right w:val="none" w:sz="0" w:space="0" w:color="auto"/>
          </w:divBdr>
        </w:div>
        <w:div w:id="612446987">
          <w:marLeft w:val="0"/>
          <w:marRight w:val="0"/>
          <w:marTop w:val="0"/>
          <w:marBottom w:val="0"/>
          <w:divBdr>
            <w:top w:val="none" w:sz="0" w:space="0" w:color="auto"/>
            <w:left w:val="none" w:sz="0" w:space="0" w:color="auto"/>
            <w:bottom w:val="none" w:sz="0" w:space="0" w:color="auto"/>
            <w:right w:val="none" w:sz="0" w:space="0" w:color="auto"/>
          </w:divBdr>
        </w:div>
        <w:div w:id="1196381493">
          <w:marLeft w:val="0"/>
          <w:marRight w:val="0"/>
          <w:marTop w:val="0"/>
          <w:marBottom w:val="0"/>
          <w:divBdr>
            <w:top w:val="none" w:sz="0" w:space="0" w:color="auto"/>
            <w:left w:val="none" w:sz="0" w:space="0" w:color="auto"/>
            <w:bottom w:val="none" w:sz="0" w:space="0" w:color="auto"/>
            <w:right w:val="none" w:sz="0" w:space="0" w:color="auto"/>
          </w:divBdr>
        </w:div>
        <w:div w:id="1818105439">
          <w:marLeft w:val="0"/>
          <w:marRight w:val="0"/>
          <w:marTop w:val="0"/>
          <w:marBottom w:val="0"/>
          <w:divBdr>
            <w:top w:val="none" w:sz="0" w:space="0" w:color="auto"/>
            <w:left w:val="none" w:sz="0" w:space="0" w:color="auto"/>
            <w:bottom w:val="none" w:sz="0" w:space="0" w:color="auto"/>
            <w:right w:val="none" w:sz="0" w:space="0" w:color="auto"/>
          </w:divBdr>
        </w:div>
        <w:div w:id="1435055035">
          <w:marLeft w:val="0"/>
          <w:marRight w:val="0"/>
          <w:marTop w:val="0"/>
          <w:marBottom w:val="0"/>
          <w:divBdr>
            <w:top w:val="none" w:sz="0" w:space="0" w:color="auto"/>
            <w:left w:val="none" w:sz="0" w:space="0" w:color="auto"/>
            <w:bottom w:val="none" w:sz="0" w:space="0" w:color="auto"/>
            <w:right w:val="none" w:sz="0" w:space="0" w:color="auto"/>
          </w:divBdr>
        </w:div>
        <w:div w:id="696151749">
          <w:marLeft w:val="0"/>
          <w:marRight w:val="0"/>
          <w:marTop w:val="0"/>
          <w:marBottom w:val="0"/>
          <w:divBdr>
            <w:top w:val="none" w:sz="0" w:space="0" w:color="auto"/>
            <w:left w:val="none" w:sz="0" w:space="0" w:color="auto"/>
            <w:bottom w:val="none" w:sz="0" w:space="0" w:color="auto"/>
            <w:right w:val="none" w:sz="0" w:space="0" w:color="auto"/>
          </w:divBdr>
        </w:div>
        <w:div w:id="409231618">
          <w:marLeft w:val="0"/>
          <w:marRight w:val="0"/>
          <w:marTop w:val="0"/>
          <w:marBottom w:val="0"/>
          <w:divBdr>
            <w:top w:val="none" w:sz="0" w:space="0" w:color="auto"/>
            <w:left w:val="none" w:sz="0" w:space="0" w:color="auto"/>
            <w:bottom w:val="none" w:sz="0" w:space="0" w:color="auto"/>
            <w:right w:val="none" w:sz="0" w:space="0" w:color="auto"/>
          </w:divBdr>
        </w:div>
        <w:div w:id="757337025">
          <w:marLeft w:val="0"/>
          <w:marRight w:val="0"/>
          <w:marTop w:val="0"/>
          <w:marBottom w:val="0"/>
          <w:divBdr>
            <w:top w:val="none" w:sz="0" w:space="0" w:color="auto"/>
            <w:left w:val="none" w:sz="0" w:space="0" w:color="auto"/>
            <w:bottom w:val="none" w:sz="0" w:space="0" w:color="auto"/>
            <w:right w:val="none" w:sz="0" w:space="0" w:color="auto"/>
          </w:divBdr>
        </w:div>
        <w:div w:id="1674380398">
          <w:marLeft w:val="0"/>
          <w:marRight w:val="0"/>
          <w:marTop w:val="0"/>
          <w:marBottom w:val="0"/>
          <w:divBdr>
            <w:top w:val="none" w:sz="0" w:space="0" w:color="auto"/>
            <w:left w:val="none" w:sz="0" w:space="0" w:color="auto"/>
            <w:bottom w:val="none" w:sz="0" w:space="0" w:color="auto"/>
            <w:right w:val="none" w:sz="0" w:space="0" w:color="auto"/>
          </w:divBdr>
        </w:div>
        <w:div w:id="1986855873">
          <w:marLeft w:val="0"/>
          <w:marRight w:val="0"/>
          <w:marTop w:val="0"/>
          <w:marBottom w:val="0"/>
          <w:divBdr>
            <w:top w:val="none" w:sz="0" w:space="0" w:color="auto"/>
            <w:left w:val="none" w:sz="0" w:space="0" w:color="auto"/>
            <w:bottom w:val="none" w:sz="0" w:space="0" w:color="auto"/>
            <w:right w:val="none" w:sz="0" w:space="0" w:color="auto"/>
          </w:divBdr>
        </w:div>
        <w:div w:id="405613890">
          <w:marLeft w:val="0"/>
          <w:marRight w:val="0"/>
          <w:marTop w:val="0"/>
          <w:marBottom w:val="0"/>
          <w:divBdr>
            <w:top w:val="none" w:sz="0" w:space="0" w:color="auto"/>
            <w:left w:val="none" w:sz="0" w:space="0" w:color="auto"/>
            <w:bottom w:val="none" w:sz="0" w:space="0" w:color="auto"/>
            <w:right w:val="none" w:sz="0" w:space="0" w:color="auto"/>
          </w:divBdr>
        </w:div>
        <w:div w:id="1193810979">
          <w:marLeft w:val="0"/>
          <w:marRight w:val="0"/>
          <w:marTop w:val="0"/>
          <w:marBottom w:val="0"/>
          <w:divBdr>
            <w:top w:val="none" w:sz="0" w:space="0" w:color="auto"/>
            <w:left w:val="none" w:sz="0" w:space="0" w:color="auto"/>
            <w:bottom w:val="none" w:sz="0" w:space="0" w:color="auto"/>
            <w:right w:val="none" w:sz="0" w:space="0" w:color="auto"/>
          </w:divBdr>
        </w:div>
        <w:div w:id="1611545985">
          <w:marLeft w:val="0"/>
          <w:marRight w:val="0"/>
          <w:marTop w:val="0"/>
          <w:marBottom w:val="0"/>
          <w:divBdr>
            <w:top w:val="none" w:sz="0" w:space="0" w:color="auto"/>
            <w:left w:val="none" w:sz="0" w:space="0" w:color="auto"/>
            <w:bottom w:val="none" w:sz="0" w:space="0" w:color="auto"/>
            <w:right w:val="none" w:sz="0" w:space="0" w:color="auto"/>
          </w:divBdr>
          <w:divsChild>
            <w:div w:id="2042824972">
              <w:marLeft w:val="0"/>
              <w:marRight w:val="0"/>
              <w:marTop w:val="0"/>
              <w:marBottom w:val="0"/>
              <w:divBdr>
                <w:top w:val="none" w:sz="0" w:space="0" w:color="auto"/>
                <w:left w:val="none" w:sz="0" w:space="0" w:color="auto"/>
                <w:bottom w:val="none" w:sz="0" w:space="0" w:color="auto"/>
                <w:right w:val="none" w:sz="0" w:space="0" w:color="auto"/>
              </w:divBdr>
            </w:div>
            <w:div w:id="397561779">
              <w:marLeft w:val="0"/>
              <w:marRight w:val="0"/>
              <w:marTop w:val="0"/>
              <w:marBottom w:val="0"/>
              <w:divBdr>
                <w:top w:val="none" w:sz="0" w:space="0" w:color="auto"/>
                <w:left w:val="none" w:sz="0" w:space="0" w:color="auto"/>
                <w:bottom w:val="none" w:sz="0" w:space="0" w:color="auto"/>
                <w:right w:val="none" w:sz="0" w:space="0" w:color="auto"/>
              </w:divBdr>
            </w:div>
            <w:div w:id="582034859">
              <w:marLeft w:val="0"/>
              <w:marRight w:val="0"/>
              <w:marTop w:val="0"/>
              <w:marBottom w:val="0"/>
              <w:divBdr>
                <w:top w:val="none" w:sz="0" w:space="0" w:color="auto"/>
                <w:left w:val="none" w:sz="0" w:space="0" w:color="auto"/>
                <w:bottom w:val="none" w:sz="0" w:space="0" w:color="auto"/>
                <w:right w:val="none" w:sz="0" w:space="0" w:color="auto"/>
              </w:divBdr>
            </w:div>
            <w:div w:id="820192595">
              <w:marLeft w:val="0"/>
              <w:marRight w:val="0"/>
              <w:marTop w:val="0"/>
              <w:marBottom w:val="0"/>
              <w:divBdr>
                <w:top w:val="none" w:sz="0" w:space="0" w:color="auto"/>
                <w:left w:val="none" w:sz="0" w:space="0" w:color="auto"/>
                <w:bottom w:val="none" w:sz="0" w:space="0" w:color="auto"/>
                <w:right w:val="none" w:sz="0" w:space="0" w:color="auto"/>
              </w:divBdr>
            </w:div>
            <w:div w:id="1668898538">
              <w:marLeft w:val="0"/>
              <w:marRight w:val="0"/>
              <w:marTop w:val="0"/>
              <w:marBottom w:val="0"/>
              <w:divBdr>
                <w:top w:val="none" w:sz="0" w:space="0" w:color="auto"/>
                <w:left w:val="none" w:sz="0" w:space="0" w:color="auto"/>
                <w:bottom w:val="none" w:sz="0" w:space="0" w:color="auto"/>
                <w:right w:val="none" w:sz="0" w:space="0" w:color="auto"/>
              </w:divBdr>
            </w:div>
            <w:div w:id="1832793476">
              <w:marLeft w:val="0"/>
              <w:marRight w:val="0"/>
              <w:marTop w:val="0"/>
              <w:marBottom w:val="0"/>
              <w:divBdr>
                <w:top w:val="none" w:sz="0" w:space="0" w:color="auto"/>
                <w:left w:val="none" w:sz="0" w:space="0" w:color="auto"/>
                <w:bottom w:val="none" w:sz="0" w:space="0" w:color="auto"/>
                <w:right w:val="none" w:sz="0" w:space="0" w:color="auto"/>
              </w:divBdr>
            </w:div>
            <w:div w:id="243417749">
              <w:marLeft w:val="0"/>
              <w:marRight w:val="0"/>
              <w:marTop w:val="0"/>
              <w:marBottom w:val="0"/>
              <w:divBdr>
                <w:top w:val="none" w:sz="0" w:space="0" w:color="auto"/>
                <w:left w:val="none" w:sz="0" w:space="0" w:color="auto"/>
                <w:bottom w:val="none" w:sz="0" w:space="0" w:color="auto"/>
                <w:right w:val="none" w:sz="0" w:space="0" w:color="auto"/>
              </w:divBdr>
            </w:div>
            <w:div w:id="1611160731">
              <w:marLeft w:val="0"/>
              <w:marRight w:val="0"/>
              <w:marTop w:val="0"/>
              <w:marBottom w:val="0"/>
              <w:divBdr>
                <w:top w:val="none" w:sz="0" w:space="0" w:color="auto"/>
                <w:left w:val="none" w:sz="0" w:space="0" w:color="auto"/>
                <w:bottom w:val="none" w:sz="0" w:space="0" w:color="auto"/>
                <w:right w:val="none" w:sz="0" w:space="0" w:color="auto"/>
              </w:divBdr>
            </w:div>
            <w:div w:id="1447311415">
              <w:marLeft w:val="0"/>
              <w:marRight w:val="0"/>
              <w:marTop w:val="0"/>
              <w:marBottom w:val="0"/>
              <w:divBdr>
                <w:top w:val="none" w:sz="0" w:space="0" w:color="auto"/>
                <w:left w:val="none" w:sz="0" w:space="0" w:color="auto"/>
                <w:bottom w:val="none" w:sz="0" w:space="0" w:color="auto"/>
                <w:right w:val="none" w:sz="0" w:space="0" w:color="auto"/>
              </w:divBdr>
            </w:div>
            <w:div w:id="498038120">
              <w:marLeft w:val="0"/>
              <w:marRight w:val="0"/>
              <w:marTop w:val="0"/>
              <w:marBottom w:val="0"/>
              <w:divBdr>
                <w:top w:val="none" w:sz="0" w:space="0" w:color="auto"/>
                <w:left w:val="none" w:sz="0" w:space="0" w:color="auto"/>
                <w:bottom w:val="none" w:sz="0" w:space="0" w:color="auto"/>
                <w:right w:val="none" w:sz="0" w:space="0" w:color="auto"/>
              </w:divBdr>
            </w:div>
            <w:div w:id="1252818300">
              <w:marLeft w:val="0"/>
              <w:marRight w:val="0"/>
              <w:marTop w:val="0"/>
              <w:marBottom w:val="0"/>
              <w:divBdr>
                <w:top w:val="none" w:sz="0" w:space="0" w:color="auto"/>
                <w:left w:val="none" w:sz="0" w:space="0" w:color="auto"/>
                <w:bottom w:val="none" w:sz="0" w:space="0" w:color="auto"/>
                <w:right w:val="none" w:sz="0" w:space="0" w:color="auto"/>
              </w:divBdr>
            </w:div>
            <w:div w:id="679553275">
              <w:marLeft w:val="0"/>
              <w:marRight w:val="0"/>
              <w:marTop w:val="0"/>
              <w:marBottom w:val="0"/>
              <w:divBdr>
                <w:top w:val="none" w:sz="0" w:space="0" w:color="auto"/>
                <w:left w:val="none" w:sz="0" w:space="0" w:color="auto"/>
                <w:bottom w:val="none" w:sz="0" w:space="0" w:color="auto"/>
                <w:right w:val="none" w:sz="0" w:space="0" w:color="auto"/>
              </w:divBdr>
            </w:div>
            <w:div w:id="1209801929">
              <w:marLeft w:val="0"/>
              <w:marRight w:val="0"/>
              <w:marTop w:val="0"/>
              <w:marBottom w:val="0"/>
              <w:divBdr>
                <w:top w:val="none" w:sz="0" w:space="0" w:color="auto"/>
                <w:left w:val="none" w:sz="0" w:space="0" w:color="auto"/>
                <w:bottom w:val="none" w:sz="0" w:space="0" w:color="auto"/>
                <w:right w:val="none" w:sz="0" w:space="0" w:color="auto"/>
              </w:divBdr>
            </w:div>
            <w:div w:id="1498575289">
              <w:marLeft w:val="0"/>
              <w:marRight w:val="0"/>
              <w:marTop w:val="0"/>
              <w:marBottom w:val="0"/>
              <w:divBdr>
                <w:top w:val="none" w:sz="0" w:space="0" w:color="auto"/>
                <w:left w:val="none" w:sz="0" w:space="0" w:color="auto"/>
                <w:bottom w:val="none" w:sz="0" w:space="0" w:color="auto"/>
                <w:right w:val="none" w:sz="0" w:space="0" w:color="auto"/>
              </w:divBdr>
            </w:div>
            <w:div w:id="936641444">
              <w:marLeft w:val="0"/>
              <w:marRight w:val="0"/>
              <w:marTop w:val="0"/>
              <w:marBottom w:val="0"/>
              <w:divBdr>
                <w:top w:val="none" w:sz="0" w:space="0" w:color="auto"/>
                <w:left w:val="none" w:sz="0" w:space="0" w:color="auto"/>
                <w:bottom w:val="none" w:sz="0" w:space="0" w:color="auto"/>
                <w:right w:val="none" w:sz="0" w:space="0" w:color="auto"/>
              </w:divBdr>
            </w:div>
            <w:div w:id="455489276">
              <w:marLeft w:val="0"/>
              <w:marRight w:val="0"/>
              <w:marTop w:val="0"/>
              <w:marBottom w:val="0"/>
              <w:divBdr>
                <w:top w:val="none" w:sz="0" w:space="0" w:color="auto"/>
                <w:left w:val="none" w:sz="0" w:space="0" w:color="auto"/>
                <w:bottom w:val="none" w:sz="0" w:space="0" w:color="auto"/>
                <w:right w:val="none" w:sz="0" w:space="0" w:color="auto"/>
              </w:divBdr>
            </w:div>
            <w:div w:id="528837973">
              <w:marLeft w:val="0"/>
              <w:marRight w:val="0"/>
              <w:marTop w:val="0"/>
              <w:marBottom w:val="0"/>
              <w:divBdr>
                <w:top w:val="none" w:sz="0" w:space="0" w:color="auto"/>
                <w:left w:val="none" w:sz="0" w:space="0" w:color="auto"/>
                <w:bottom w:val="none" w:sz="0" w:space="0" w:color="auto"/>
                <w:right w:val="none" w:sz="0" w:space="0" w:color="auto"/>
              </w:divBdr>
            </w:div>
            <w:div w:id="1143543038">
              <w:marLeft w:val="0"/>
              <w:marRight w:val="0"/>
              <w:marTop w:val="0"/>
              <w:marBottom w:val="0"/>
              <w:divBdr>
                <w:top w:val="none" w:sz="0" w:space="0" w:color="auto"/>
                <w:left w:val="none" w:sz="0" w:space="0" w:color="auto"/>
                <w:bottom w:val="none" w:sz="0" w:space="0" w:color="auto"/>
                <w:right w:val="none" w:sz="0" w:space="0" w:color="auto"/>
              </w:divBdr>
            </w:div>
            <w:div w:id="1560165976">
              <w:marLeft w:val="0"/>
              <w:marRight w:val="0"/>
              <w:marTop w:val="0"/>
              <w:marBottom w:val="0"/>
              <w:divBdr>
                <w:top w:val="none" w:sz="0" w:space="0" w:color="auto"/>
                <w:left w:val="none" w:sz="0" w:space="0" w:color="auto"/>
                <w:bottom w:val="none" w:sz="0" w:space="0" w:color="auto"/>
                <w:right w:val="none" w:sz="0" w:space="0" w:color="auto"/>
              </w:divBdr>
            </w:div>
            <w:div w:id="1409688167">
              <w:marLeft w:val="0"/>
              <w:marRight w:val="0"/>
              <w:marTop w:val="0"/>
              <w:marBottom w:val="0"/>
              <w:divBdr>
                <w:top w:val="none" w:sz="0" w:space="0" w:color="auto"/>
                <w:left w:val="none" w:sz="0" w:space="0" w:color="auto"/>
                <w:bottom w:val="none" w:sz="0" w:space="0" w:color="auto"/>
                <w:right w:val="none" w:sz="0" w:space="0" w:color="auto"/>
              </w:divBdr>
            </w:div>
          </w:divsChild>
        </w:div>
        <w:div w:id="258026118">
          <w:marLeft w:val="0"/>
          <w:marRight w:val="0"/>
          <w:marTop w:val="0"/>
          <w:marBottom w:val="0"/>
          <w:divBdr>
            <w:top w:val="none" w:sz="0" w:space="0" w:color="auto"/>
            <w:left w:val="none" w:sz="0" w:space="0" w:color="auto"/>
            <w:bottom w:val="none" w:sz="0" w:space="0" w:color="auto"/>
            <w:right w:val="none" w:sz="0" w:space="0" w:color="auto"/>
          </w:divBdr>
        </w:div>
        <w:div w:id="2086300184">
          <w:marLeft w:val="0"/>
          <w:marRight w:val="0"/>
          <w:marTop w:val="0"/>
          <w:marBottom w:val="0"/>
          <w:divBdr>
            <w:top w:val="none" w:sz="0" w:space="0" w:color="auto"/>
            <w:left w:val="none" w:sz="0" w:space="0" w:color="auto"/>
            <w:bottom w:val="none" w:sz="0" w:space="0" w:color="auto"/>
            <w:right w:val="none" w:sz="0" w:space="0" w:color="auto"/>
          </w:divBdr>
        </w:div>
        <w:div w:id="1282766074">
          <w:marLeft w:val="0"/>
          <w:marRight w:val="0"/>
          <w:marTop w:val="0"/>
          <w:marBottom w:val="0"/>
          <w:divBdr>
            <w:top w:val="none" w:sz="0" w:space="0" w:color="auto"/>
            <w:left w:val="none" w:sz="0" w:space="0" w:color="auto"/>
            <w:bottom w:val="none" w:sz="0" w:space="0" w:color="auto"/>
            <w:right w:val="none" w:sz="0" w:space="0" w:color="auto"/>
          </w:divBdr>
        </w:div>
        <w:div w:id="1147429699">
          <w:marLeft w:val="0"/>
          <w:marRight w:val="0"/>
          <w:marTop w:val="0"/>
          <w:marBottom w:val="0"/>
          <w:divBdr>
            <w:top w:val="none" w:sz="0" w:space="0" w:color="auto"/>
            <w:left w:val="none" w:sz="0" w:space="0" w:color="auto"/>
            <w:bottom w:val="none" w:sz="0" w:space="0" w:color="auto"/>
            <w:right w:val="none" w:sz="0" w:space="0" w:color="auto"/>
          </w:divBdr>
        </w:div>
        <w:div w:id="807091418">
          <w:marLeft w:val="0"/>
          <w:marRight w:val="0"/>
          <w:marTop w:val="0"/>
          <w:marBottom w:val="0"/>
          <w:divBdr>
            <w:top w:val="none" w:sz="0" w:space="0" w:color="auto"/>
            <w:left w:val="none" w:sz="0" w:space="0" w:color="auto"/>
            <w:bottom w:val="none" w:sz="0" w:space="0" w:color="auto"/>
            <w:right w:val="none" w:sz="0" w:space="0" w:color="auto"/>
          </w:divBdr>
        </w:div>
        <w:div w:id="582953747">
          <w:marLeft w:val="0"/>
          <w:marRight w:val="0"/>
          <w:marTop w:val="0"/>
          <w:marBottom w:val="0"/>
          <w:divBdr>
            <w:top w:val="none" w:sz="0" w:space="0" w:color="auto"/>
            <w:left w:val="none" w:sz="0" w:space="0" w:color="auto"/>
            <w:bottom w:val="none" w:sz="0" w:space="0" w:color="auto"/>
            <w:right w:val="none" w:sz="0" w:space="0" w:color="auto"/>
          </w:divBdr>
        </w:div>
        <w:div w:id="2056923615">
          <w:marLeft w:val="0"/>
          <w:marRight w:val="0"/>
          <w:marTop w:val="0"/>
          <w:marBottom w:val="0"/>
          <w:divBdr>
            <w:top w:val="none" w:sz="0" w:space="0" w:color="auto"/>
            <w:left w:val="none" w:sz="0" w:space="0" w:color="auto"/>
            <w:bottom w:val="none" w:sz="0" w:space="0" w:color="auto"/>
            <w:right w:val="none" w:sz="0" w:space="0" w:color="auto"/>
          </w:divBdr>
        </w:div>
        <w:div w:id="1637642557">
          <w:marLeft w:val="0"/>
          <w:marRight w:val="0"/>
          <w:marTop w:val="0"/>
          <w:marBottom w:val="0"/>
          <w:divBdr>
            <w:top w:val="none" w:sz="0" w:space="0" w:color="auto"/>
            <w:left w:val="none" w:sz="0" w:space="0" w:color="auto"/>
            <w:bottom w:val="none" w:sz="0" w:space="0" w:color="auto"/>
            <w:right w:val="none" w:sz="0" w:space="0" w:color="auto"/>
          </w:divBdr>
        </w:div>
        <w:div w:id="1747604945">
          <w:marLeft w:val="0"/>
          <w:marRight w:val="0"/>
          <w:marTop w:val="0"/>
          <w:marBottom w:val="0"/>
          <w:divBdr>
            <w:top w:val="none" w:sz="0" w:space="0" w:color="auto"/>
            <w:left w:val="none" w:sz="0" w:space="0" w:color="auto"/>
            <w:bottom w:val="none" w:sz="0" w:space="0" w:color="auto"/>
            <w:right w:val="none" w:sz="0" w:space="0" w:color="auto"/>
          </w:divBdr>
        </w:div>
        <w:div w:id="1381049182">
          <w:marLeft w:val="0"/>
          <w:marRight w:val="0"/>
          <w:marTop w:val="0"/>
          <w:marBottom w:val="0"/>
          <w:divBdr>
            <w:top w:val="none" w:sz="0" w:space="0" w:color="auto"/>
            <w:left w:val="none" w:sz="0" w:space="0" w:color="auto"/>
            <w:bottom w:val="none" w:sz="0" w:space="0" w:color="auto"/>
            <w:right w:val="none" w:sz="0" w:space="0" w:color="auto"/>
          </w:divBdr>
        </w:div>
        <w:div w:id="13923904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0964A14-712C-48FA-9F75-E65FB4D3393B}"/>
</file>

<file path=customXml/itemProps2.xml><?xml version="1.0" encoding="utf-8"?>
<ds:datastoreItem xmlns:ds="http://schemas.openxmlformats.org/officeDocument/2006/customXml" ds:itemID="{4DB96B00-3D5E-4DFC-9FA4-405C17F60B0D}"/>
</file>

<file path=customXml/itemProps3.xml><?xml version="1.0" encoding="utf-8"?>
<ds:datastoreItem xmlns:ds="http://schemas.openxmlformats.org/officeDocument/2006/customXml" ds:itemID="{E91EAD54-8B3B-44A8-B364-D3E04D6ABB32}"/>
</file>

<file path=docProps/app.xml><?xml version="1.0" encoding="utf-8"?>
<Properties xmlns="http://schemas.openxmlformats.org/officeDocument/2006/extended-properties" xmlns:vt="http://schemas.openxmlformats.org/officeDocument/2006/docPropsVTypes">
  <Template>Normal</Template>
  <TotalTime>1</TotalTime>
  <Pages>6</Pages>
  <Words>2095</Words>
  <Characters>11942</Characters>
  <Application>Microsoft Office Word</Application>
  <DocSecurity>0</DocSecurity>
  <Lines>99</Lines>
  <Paragraphs>28</Paragraphs>
  <ScaleCrop>false</ScaleCrop>
  <Company/>
  <LinksUpToDate>false</LinksUpToDate>
  <CharactersWithSpaces>14009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Amelia Cole (Swansea Bay UHB - Corporate)</dc:creator>
  <cp:keywords/>
  <dc:description/>
  <cp:lastModifiedBy>Amelia Cole (Swansea Bay UHB - Corporate)</cp:lastModifiedBy>
  <cp:revision>1</cp:revision>
  <dcterms:created xsi:type="dcterms:W3CDTF">2025-07-03T10:01:00Z</dcterms:created>
  <dcterms:modified xsi:type="dcterms:W3CDTF">2025-07-03T10:02:00Z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