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275541" w14:textId="5CD10842" w:rsidR="00C94655" w:rsidRDefault="006D1E15" w:rsidP="006D1E15">
      <w:pPr>
        <w:jc w:val="center"/>
      </w:pPr>
      <w:r>
        <w:rPr>
          <w:noProof/>
        </w:rPr>
        <w:drawing>
          <wp:inline distT="0" distB="0" distL="0" distR="0" wp14:anchorId="36C02239" wp14:editId="7660162F">
            <wp:extent cx="4267200" cy="1085850"/>
            <wp:effectExtent l="0" t="0" r="0" b="0"/>
            <wp:docPr id="49" name="Picture 49"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icture 49" descr="A close up of a logo&#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4267200" cy="1085850"/>
                    </a:xfrm>
                    <a:prstGeom prst="rect">
                      <a:avLst/>
                    </a:prstGeom>
                  </pic:spPr>
                </pic:pic>
              </a:graphicData>
            </a:graphic>
          </wp:inline>
        </w:drawing>
      </w:r>
    </w:p>
    <w:p w14:paraId="43468A20" w14:textId="419A6DEA" w:rsidR="006D1E15" w:rsidRDefault="006D1E15"/>
    <w:p w14:paraId="6997E56E" w14:textId="77777777" w:rsidR="006D1E15" w:rsidRDefault="006D1E15"/>
    <w:p w14:paraId="37F8CA4F" w14:textId="77777777" w:rsidR="006D1E15" w:rsidRDefault="006D1E15"/>
    <w:p w14:paraId="6FC9A24D" w14:textId="77777777" w:rsidR="006D1E15" w:rsidRDefault="006D1E15"/>
    <w:p w14:paraId="14F1404A" w14:textId="77777777" w:rsidR="006D1E15" w:rsidRDefault="006D1E15"/>
    <w:p w14:paraId="4BC7762B" w14:textId="77777777" w:rsidR="006D1E15" w:rsidRDefault="006D1E15"/>
    <w:p w14:paraId="17FF9C6F" w14:textId="77777777" w:rsidR="006D1E15" w:rsidRDefault="006D1E15"/>
    <w:p w14:paraId="794CB9B8" w14:textId="77FADFA5" w:rsidR="006D1E15" w:rsidRPr="00FC2C90" w:rsidRDefault="006D1E15" w:rsidP="006D1E15">
      <w:pPr>
        <w:jc w:val="center"/>
        <w:rPr>
          <w:rFonts w:ascii="Verdana" w:hAnsi="Verdana" w:cs="Arial"/>
          <w:b/>
          <w:sz w:val="48"/>
          <w:szCs w:val="48"/>
        </w:rPr>
      </w:pPr>
      <w:r w:rsidRPr="00FC2C90">
        <w:rPr>
          <w:rFonts w:ascii="Verdana" w:hAnsi="Verdana" w:cs="Arial"/>
          <w:b/>
          <w:sz w:val="48"/>
          <w:szCs w:val="48"/>
        </w:rPr>
        <w:t>Clinical Audit &amp; Effectiveness Annual Report 202</w:t>
      </w:r>
      <w:r w:rsidR="00CC181B">
        <w:rPr>
          <w:rFonts w:ascii="Verdana" w:hAnsi="Verdana" w:cs="Arial"/>
          <w:b/>
          <w:sz w:val="48"/>
          <w:szCs w:val="48"/>
        </w:rPr>
        <w:t>5</w:t>
      </w:r>
      <w:r w:rsidRPr="00FC2C90">
        <w:rPr>
          <w:rFonts w:ascii="Verdana" w:hAnsi="Verdana" w:cs="Arial"/>
          <w:b/>
          <w:sz w:val="48"/>
          <w:szCs w:val="48"/>
        </w:rPr>
        <w:t>/2</w:t>
      </w:r>
      <w:r w:rsidR="00CC181B">
        <w:rPr>
          <w:rFonts w:ascii="Verdana" w:hAnsi="Verdana" w:cs="Arial"/>
          <w:b/>
          <w:sz w:val="48"/>
          <w:szCs w:val="48"/>
        </w:rPr>
        <w:t>6</w:t>
      </w:r>
    </w:p>
    <w:p w14:paraId="4151C704" w14:textId="4E8667FA" w:rsidR="006D1E15" w:rsidRDefault="006D1E15"/>
    <w:p w14:paraId="53D2BCAB" w14:textId="77777777" w:rsidR="006D1E15" w:rsidRDefault="006D1E15"/>
    <w:p w14:paraId="575AA06D" w14:textId="77777777" w:rsidR="006D1E15" w:rsidRDefault="006D1E15"/>
    <w:p w14:paraId="29C258CC" w14:textId="77777777" w:rsidR="006D1E15" w:rsidRDefault="006D1E15"/>
    <w:p w14:paraId="57E11907" w14:textId="77777777" w:rsidR="006D1E15" w:rsidRDefault="006D1E15"/>
    <w:p w14:paraId="55B44DD1" w14:textId="77777777" w:rsidR="006D1E15" w:rsidRDefault="006D1E15"/>
    <w:p w14:paraId="62B6883C" w14:textId="77777777" w:rsidR="006D1E15" w:rsidRDefault="006D1E15"/>
    <w:p w14:paraId="7034F99E" w14:textId="77777777" w:rsidR="006D1E15" w:rsidRDefault="006D1E15"/>
    <w:p w14:paraId="647A6C4F" w14:textId="77777777" w:rsidR="006D1E15" w:rsidRDefault="006D1E15"/>
    <w:p w14:paraId="7B83A8B8" w14:textId="77777777" w:rsidR="006D1E15" w:rsidRDefault="006D1E15"/>
    <w:p w14:paraId="01786A64" w14:textId="77777777" w:rsidR="006D1E15" w:rsidRDefault="006D1E15"/>
    <w:p w14:paraId="362684CF" w14:textId="77777777" w:rsidR="006D1E15" w:rsidRDefault="006D1E15"/>
    <w:p w14:paraId="6B780988" w14:textId="77777777" w:rsidR="006D1E15" w:rsidRDefault="006D1E15"/>
    <w:p w14:paraId="1CD176FF" w14:textId="77777777" w:rsidR="006D1E15" w:rsidRDefault="006D1E15"/>
    <w:p w14:paraId="5CC570D7" w14:textId="77777777" w:rsidR="006D1E15" w:rsidRDefault="006D1E15"/>
    <w:p w14:paraId="575DA07B" w14:textId="77777777" w:rsidR="006D1E15" w:rsidRDefault="006D1E15"/>
    <w:p w14:paraId="3185F1B7" w14:textId="77777777" w:rsidR="006D1E15" w:rsidRDefault="006D1E15"/>
    <w:p w14:paraId="3691E901" w14:textId="77777777" w:rsidR="006D1E15" w:rsidRPr="00FC2C90" w:rsidRDefault="006D1E15" w:rsidP="006D1E15">
      <w:pPr>
        <w:jc w:val="center"/>
        <w:rPr>
          <w:rFonts w:ascii="Verdana" w:hAnsi="Verdana" w:cs="Arial"/>
          <w:b/>
          <w:sz w:val="36"/>
          <w:szCs w:val="36"/>
        </w:rPr>
      </w:pPr>
      <w:r w:rsidRPr="00FC2C90">
        <w:rPr>
          <w:rFonts w:ascii="Verdana" w:hAnsi="Verdana" w:cs="Arial"/>
          <w:b/>
          <w:sz w:val="36"/>
          <w:szCs w:val="36"/>
        </w:rPr>
        <w:lastRenderedPageBreak/>
        <w:t>Contents</w:t>
      </w:r>
    </w:p>
    <w:p w14:paraId="61462718" w14:textId="77777777" w:rsidR="00657FD5" w:rsidRPr="00FC2C90" w:rsidRDefault="00657FD5" w:rsidP="006D1E15">
      <w:pPr>
        <w:jc w:val="center"/>
        <w:rPr>
          <w:rFonts w:ascii="Verdana" w:hAnsi="Verdana" w:cs="Arial"/>
          <w:b/>
          <w:sz w:val="36"/>
          <w:szCs w:val="36"/>
        </w:rPr>
      </w:pPr>
    </w:p>
    <w:tbl>
      <w:tblPr>
        <w:tblStyle w:val="TableGrid"/>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4"/>
        <w:gridCol w:w="7034"/>
        <w:gridCol w:w="284"/>
        <w:gridCol w:w="1280"/>
      </w:tblGrid>
      <w:tr w:rsidR="00B64109" w:rsidRPr="00FC2C90" w14:paraId="380BCBDC" w14:textId="77777777" w:rsidTr="000C197F">
        <w:trPr>
          <w:trHeight w:hRule="exact" w:val="350"/>
        </w:trPr>
        <w:tc>
          <w:tcPr>
            <w:tcW w:w="474" w:type="dxa"/>
          </w:tcPr>
          <w:p w14:paraId="5280DFE9" w14:textId="77777777" w:rsidR="00B64109" w:rsidRPr="00FC2C90" w:rsidRDefault="00B64109" w:rsidP="00657FD5">
            <w:pPr>
              <w:rPr>
                <w:rFonts w:ascii="Verdana" w:hAnsi="Verdana" w:cs="Arial"/>
                <w:b/>
                <w:sz w:val="24"/>
                <w:szCs w:val="24"/>
              </w:rPr>
            </w:pPr>
          </w:p>
        </w:tc>
        <w:tc>
          <w:tcPr>
            <w:tcW w:w="7034" w:type="dxa"/>
          </w:tcPr>
          <w:p w14:paraId="351AC5B0" w14:textId="77777777" w:rsidR="00B64109" w:rsidRPr="00FC2C90" w:rsidRDefault="00B64109" w:rsidP="006D1E15">
            <w:pPr>
              <w:jc w:val="center"/>
              <w:rPr>
                <w:rFonts w:ascii="Verdana" w:hAnsi="Verdana" w:cs="Arial"/>
                <w:b/>
                <w:sz w:val="36"/>
                <w:szCs w:val="36"/>
              </w:rPr>
            </w:pPr>
          </w:p>
        </w:tc>
        <w:tc>
          <w:tcPr>
            <w:tcW w:w="284" w:type="dxa"/>
          </w:tcPr>
          <w:p w14:paraId="07DD092D" w14:textId="77777777" w:rsidR="00B64109" w:rsidRPr="00FC2C90" w:rsidRDefault="00B64109" w:rsidP="008E10AF">
            <w:pPr>
              <w:jc w:val="center"/>
              <w:rPr>
                <w:rFonts w:ascii="Verdana" w:hAnsi="Verdana" w:cs="Arial"/>
                <w:b/>
                <w:sz w:val="24"/>
                <w:szCs w:val="24"/>
              </w:rPr>
            </w:pPr>
          </w:p>
        </w:tc>
        <w:tc>
          <w:tcPr>
            <w:tcW w:w="1280" w:type="dxa"/>
          </w:tcPr>
          <w:p w14:paraId="04AAAB04" w14:textId="4609D807" w:rsidR="00B64109" w:rsidRPr="00FC2C90" w:rsidRDefault="00B64109" w:rsidP="00B64109">
            <w:pPr>
              <w:rPr>
                <w:rFonts w:ascii="Verdana" w:hAnsi="Verdana" w:cs="Arial"/>
                <w:b/>
                <w:sz w:val="24"/>
                <w:szCs w:val="24"/>
              </w:rPr>
            </w:pPr>
            <w:r w:rsidRPr="00FC2C90">
              <w:rPr>
                <w:rFonts w:ascii="Verdana" w:hAnsi="Verdana" w:cs="Arial"/>
                <w:b/>
                <w:sz w:val="24"/>
                <w:szCs w:val="24"/>
              </w:rPr>
              <w:t>Pages</w:t>
            </w:r>
          </w:p>
          <w:p w14:paraId="5F1EB4D2" w14:textId="77777777" w:rsidR="00B64109" w:rsidRPr="00FC2C90" w:rsidRDefault="00B64109" w:rsidP="008E10AF">
            <w:pPr>
              <w:jc w:val="center"/>
              <w:rPr>
                <w:rFonts w:ascii="Verdana" w:hAnsi="Verdana" w:cs="Arial"/>
                <w:b/>
                <w:sz w:val="36"/>
                <w:szCs w:val="36"/>
              </w:rPr>
            </w:pPr>
          </w:p>
        </w:tc>
      </w:tr>
      <w:tr w:rsidR="00B64109" w:rsidRPr="00FC2C90" w14:paraId="438DD97F" w14:textId="77777777" w:rsidTr="000C197F">
        <w:trPr>
          <w:trHeight w:hRule="exact" w:val="350"/>
        </w:trPr>
        <w:tc>
          <w:tcPr>
            <w:tcW w:w="474" w:type="dxa"/>
          </w:tcPr>
          <w:p w14:paraId="05079C6C" w14:textId="77777777" w:rsidR="00B64109" w:rsidRPr="00FC2C90" w:rsidRDefault="00B64109" w:rsidP="00657FD5">
            <w:pPr>
              <w:rPr>
                <w:rFonts w:ascii="Verdana" w:hAnsi="Verdana" w:cs="Arial"/>
                <w:b/>
                <w:sz w:val="24"/>
                <w:szCs w:val="24"/>
              </w:rPr>
            </w:pPr>
          </w:p>
        </w:tc>
        <w:tc>
          <w:tcPr>
            <w:tcW w:w="7034" w:type="dxa"/>
          </w:tcPr>
          <w:p w14:paraId="100895C2" w14:textId="77777777" w:rsidR="00B64109" w:rsidRPr="00FC2C90" w:rsidRDefault="00B64109" w:rsidP="006D1E15">
            <w:pPr>
              <w:jc w:val="center"/>
              <w:rPr>
                <w:rFonts w:ascii="Verdana" w:hAnsi="Verdana" w:cs="Arial"/>
                <w:b/>
                <w:sz w:val="36"/>
                <w:szCs w:val="36"/>
              </w:rPr>
            </w:pPr>
          </w:p>
        </w:tc>
        <w:tc>
          <w:tcPr>
            <w:tcW w:w="284" w:type="dxa"/>
          </w:tcPr>
          <w:p w14:paraId="66283A59" w14:textId="77777777" w:rsidR="00B64109" w:rsidRPr="00FC2C90" w:rsidRDefault="00B64109" w:rsidP="008E10AF">
            <w:pPr>
              <w:jc w:val="center"/>
              <w:rPr>
                <w:rFonts w:ascii="Verdana" w:hAnsi="Verdana" w:cs="Arial"/>
                <w:b/>
                <w:sz w:val="24"/>
                <w:szCs w:val="24"/>
              </w:rPr>
            </w:pPr>
          </w:p>
        </w:tc>
        <w:tc>
          <w:tcPr>
            <w:tcW w:w="1280" w:type="dxa"/>
          </w:tcPr>
          <w:p w14:paraId="3465E1A2" w14:textId="45B5AFDB" w:rsidR="00B64109" w:rsidRPr="00FC2C90" w:rsidRDefault="00B64109" w:rsidP="008E10AF">
            <w:pPr>
              <w:jc w:val="center"/>
              <w:rPr>
                <w:rFonts w:ascii="Verdana" w:hAnsi="Verdana" w:cs="Arial"/>
                <w:b/>
                <w:sz w:val="24"/>
                <w:szCs w:val="24"/>
              </w:rPr>
            </w:pPr>
          </w:p>
        </w:tc>
      </w:tr>
      <w:tr w:rsidR="00B64109" w:rsidRPr="00FC2C90" w14:paraId="06FF3FCD" w14:textId="77777777" w:rsidTr="000C197F">
        <w:trPr>
          <w:trHeight w:val="844"/>
        </w:trPr>
        <w:tc>
          <w:tcPr>
            <w:tcW w:w="474" w:type="dxa"/>
          </w:tcPr>
          <w:p w14:paraId="37987C28" w14:textId="6BBD36BC" w:rsidR="00B64109" w:rsidRPr="00FC2C90" w:rsidRDefault="00B64109" w:rsidP="00657FD5">
            <w:pPr>
              <w:rPr>
                <w:rFonts w:ascii="Verdana" w:hAnsi="Verdana" w:cs="Arial"/>
                <w:b/>
                <w:sz w:val="24"/>
                <w:szCs w:val="24"/>
              </w:rPr>
            </w:pPr>
          </w:p>
        </w:tc>
        <w:tc>
          <w:tcPr>
            <w:tcW w:w="7034" w:type="dxa"/>
          </w:tcPr>
          <w:p w14:paraId="6FDFDE13" w14:textId="54E9B358" w:rsidR="00B64109" w:rsidRPr="00FC2C90" w:rsidRDefault="00B64109" w:rsidP="00657FD5">
            <w:pPr>
              <w:rPr>
                <w:rFonts w:ascii="Verdana" w:hAnsi="Verdana" w:cs="Arial"/>
                <w:b/>
                <w:sz w:val="36"/>
                <w:szCs w:val="36"/>
              </w:rPr>
            </w:pPr>
            <w:r w:rsidRPr="00FC2C90">
              <w:rPr>
                <w:rFonts w:ascii="Verdana" w:hAnsi="Verdana" w:cs="Arial"/>
                <w:b/>
                <w:sz w:val="24"/>
                <w:szCs w:val="24"/>
              </w:rPr>
              <w:t>Foreword</w:t>
            </w:r>
          </w:p>
        </w:tc>
        <w:tc>
          <w:tcPr>
            <w:tcW w:w="284" w:type="dxa"/>
          </w:tcPr>
          <w:p w14:paraId="0ABE82DE" w14:textId="77777777" w:rsidR="00B64109" w:rsidRDefault="00B64109" w:rsidP="00FC2C90">
            <w:pPr>
              <w:rPr>
                <w:rFonts w:ascii="Verdana" w:hAnsi="Verdana" w:cs="Arial"/>
                <w:bCs/>
                <w:sz w:val="24"/>
                <w:szCs w:val="24"/>
              </w:rPr>
            </w:pPr>
          </w:p>
        </w:tc>
        <w:tc>
          <w:tcPr>
            <w:tcW w:w="1280" w:type="dxa"/>
          </w:tcPr>
          <w:p w14:paraId="7A576D0B" w14:textId="18887554" w:rsidR="00B64109" w:rsidRPr="00FC2C90" w:rsidRDefault="00B64109" w:rsidP="00FC2C90">
            <w:pPr>
              <w:rPr>
                <w:rFonts w:ascii="Verdana" w:hAnsi="Verdana" w:cs="Arial"/>
                <w:bCs/>
                <w:sz w:val="24"/>
                <w:szCs w:val="24"/>
              </w:rPr>
            </w:pPr>
            <w:r w:rsidRPr="00FC2C90">
              <w:rPr>
                <w:rFonts w:ascii="Verdana" w:hAnsi="Verdana" w:cs="Arial"/>
                <w:bCs/>
                <w:sz w:val="24"/>
                <w:szCs w:val="24"/>
              </w:rPr>
              <w:t>2</w:t>
            </w:r>
          </w:p>
        </w:tc>
      </w:tr>
      <w:tr w:rsidR="00B64109" w:rsidRPr="00FC2C90" w14:paraId="0957777E" w14:textId="77777777" w:rsidTr="000C197F">
        <w:trPr>
          <w:trHeight w:val="405"/>
        </w:trPr>
        <w:tc>
          <w:tcPr>
            <w:tcW w:w="474" w:type="dxa"/>
          </w:tcPr>
          <w:p w14:paraId="093F583E" w14:textId="166CFAE7" w:rsidR="00B64109" w:rsidRPr="00FC2C90" w:rsidRDefault="00B64109" w:rsidP="00657FD5">
            <w:pPr>
              <w:rPr>
                <w:rFonts w:ascii="Verdana" w:hAnsi="Verdana" w:cs="Arial"/>
                <w:b/>
                <w:sz w:val="24"/>
                <w:szCs w:val="24"/>
              </w:rPr>
            </w:pPr>
            <w:r w:rsidRPr="00FC2C90">
              <w:rPr>
                <w:rFonts w:ascii="Verdana" w:hAnsi="Verdana" w:cs="Arial"/>
                <w:b/>
                <w:sz w:val="24"/>
                <w:szCs w:val="24"/>
              </w:rPr>
              <w:t>1.</w:t>
            </w:r>
          </w:p>
        </w:tc>
        <w:tc>
          <w:tcPr>
            <w:tcW w:w="7034" w:type="dxa"/>
          </w:tcPr>
          <w:p w14:paraId="5E2901E9" w14:textId="5CC4C93C" w:rsidR="00B64109" w:rsidRPr="00FC2C90" w:rsidRDefault="00B64109" w:rsidP="00657FD5">
            <w:pPr>
              <w:rPr>
                <w:rFonts w:ascii="Verdana" w:hAnsi="Verdana" w:cs="Arial"/>
                <w:b/>
                <w:sz w:val="36"/>
                <w:szCs w:val="36"/>
              </w:rPr>
            </w:pPr>
            <w:r w:rsidRPr="00FC2C90">
              <w:rPr>
                <w:rFonts w:ascii="Verdana" w:hAnsi="Verdana" w:cs="Arial"/>
                <w:b/>
                <w:sz w:val="24"/>
                <w:szCs w:val="24"/>
              </w:rPr>
              <w:t xml:space="preserve">Report </w:t>
            </w:r>
            <w:r w:rsidR="002425A6">
              <w:rPr>
                <w:rFonts w:ascii="Verdana" w:hAnsi="Verdana" w:cs="Arial"/>
                <w:b/>
                <w:sz w:val="24"/>
                <w:szCs w:val="24"/>
              </w:rPr>
              <w:t>from</w:t>
            </w:r>
            <w:r w:rsidRPr="00FC2C90">
              <w:rPr>
                <w:rFonts w:ascii="Verdana" w:hAnsi="Verdana" w:cs="Arial"/>
                <w:b/>
                <w:sz w:val="24"/>
                <w:szCs w:val="24"/>
              </w:rPr>
              <w:t xml:space="preserve"> the Clinical Audit </w:t>
            </w:r>
            <w:r w:rsidR="002425A6">
              <w:rPr>
                <w:rFonts w:ascii="Verdana" w:hAnsi="Verdana" w:cs="Arial"/>
                <w:b/>
                <w:sz w:val="24"/>
                <w:szCs w:val="24"/>
              </w:rPr>
              <w:t>Team</w:t>
            </w:r>
            <w:r w:rsidRPr="00FC2C90">
              <w:rPr>
                <w:rFonts w:ascii="Verdana" w:hAnsi="Verdana" w:cs="Arial"/>
                <w:b/>
                <w:sz w:val="24"/>
                <w:szCs w:val="24"/>
              </w:rPr>
              <w:t xml:space="preserve">       </w:t>
            </w:r>
          </w:p>
        </w:tc>
        <w:tc>
          <w:tcPr>
            <w:tcW w:w="284" w:type="dxa"/>
          </w:tcPr>
          <w:p w14:paraId="621CDC0B" w14:textId="77777777" w:rsidR="00B64109" w:rsidRPr="00FC2C90" w:rsidRDefault="00B64109" w:rsidP="00657FD5">
            <w:pPr>
              <w:pStyle w:val="ListParagraph"/>
              <w:ind w:left="-106"/>
              <w:rPr>
                <w:rFonts w:ascii="Verdana" w:hAnsi="Verdana" w:cs="Arial"/>
                <w:bCs/>
                <w:sz w:val="24"/>
                <w:szCs w:val="24"/>
              </w:rPr>
            </w:pPr>
          </w:p>
        </w:tc>
        <w:tc>
          <w:tcPr>
            <w:tcW w:w="1280" w:type="dxa"/>
          </w:tcPr>
          <w:p w14:paraId="663B3B1B" w14:textId="07DF31DC" w:rsidR="00B64109" w:rsidRPr="00FC2C90" w:rsidRDefault="00B64109" w:rsidP="00657FD5">
            <w:pPr>
              <w:pStyle w:val="ListParagraph"/>
              <w:ind w:left="-106"/>
              <w:rPr>
                <w:rFonts w:ascii="Verdana" w:hAnsi="Verdana" w:cs="Arial"/>
                <w:b/>
                <w:sz w:val="36"/>
                <w:szCs w:val="36"/>
              </w:rPr>
            </w:pPr>
            <w:r w:rsidRPr="00FC2C90">
              <w:rPr>
                <w:rFonts w:ascii="Verdana" w:hAnsi="Verdana" w:cs="Arial"/>
                <w:bCs/>
                <w:sz w:val="24"/>
                <w:szCs w:val="24"/>
              </w:rPr>
              <w:t xml:space="preserve"> 3-4</w:t>
            </w:r>
          </w:p>
        </w:tc>
      </w:tr>
      <w:tr w:rsidR="00B64109" w:rsidRPr="00FC2C90" w14:paraId="659C268B" w14:textId="77777777" w:rsidTr="000C197F">
        <w:tc>
          <w:tcPr>
            <w:tcW w:w="474" w:type="dxa"/>
          </w:tcPr>
          <w:p w14:paraId="7B8FD9D6" w14:textId="3C9EA272" w:rsidR="00B64109" w:rsidRPr="00FC2C90" w:rsidRDefault="00B64109" w:rsidP="00657FD5">
            <w:pPr>
              <w:rPr>
                <w:rFonts w:ascii="Verdana" w:hAnsi="Verdana" w:cs="Arial"/>
                <w:b/>
                <w:sz w:val="24"/>
                <w:szCs w:val="24"/>
              </w:rPr>
            </w:pPr>
          </w:p>
        </w:tc>
        <w:tc>
          <w:tcPr>
            <w:tcW w:w="7034" w:type="dxa"/>
          </w:tcPr>
          <w:p w14:paraId="58A4E85E" w14:textId="75418DEC" w:rsidR="00B64109" w:rsidRPr="00FC2C90" w:rsidRDefault="00B64109" w:rsidP="00657FD5">
            <w:pPr>
              <w:rPr>
                <w:rFonts w:ascii="Verdana" w:hAnsi="Verdana" w:cs="Arial"/>
                <w:b/>
                <w:sz w:val="36"/>
                <w:szCs w:val="36"/>
              </w:rPr>
            </w:pPr>
            <w:r w:rsidRPr="00FC2C90">
              <w:rPr>
                <w:rFonts w:ascii="Verdana" w:hAnsi="Verdana" w:cs="Arial"/>
                <w:sz w:val="24"/>
                <w:szCs w:val="24"/>
              </w:rPr>
              <w:t>1.1   Clinical Outcomes &amp; Effectiveness Group (COEG)</w:t>
            </w:r>
          </w:p>
        </w:tc>
        <w:tc>
          <w:tcPr>
            <w:tcW w:w="284" w:type="dxa"/>
          </w:tcPr>
          <w:p w14:paraId="151177DE" w14:textId="77777777" w:rsidR="00B64109" w:rsidRPr="00FC2C90" w:rsidRDefault="00B64109" w:rsidP="006D1E15">
            <w:pPr>
              <w:jc w:val="center"/>
              <w:rPr>
                <w:rFonts w:ascii="Verdana" w:hAnsi="Verdana" w:cs="Arial"/>
                <w:b/>
                <w:sz w:val="24"/>
                <w:szCs w:val="24"/>
              </w:rPr>
            </w:pPr>
          </w:p>
        </w:tc>
        <w:tc>
          <w:tcPr>
            <w:tcW w:w="1280" w:type="dxa"/>
          </w:tcPr>
          <w:p w14:paraId="49734147" w14:textId="0832847E" w:rsidR="00B64109" w:rsidRPr="00FC2C90" w:rsidRDefault="00B64109" w:rsidP="006D1E15">
            <w:pPr>
              <w:jc w:val="center"/>
              <w:rPr>
                <w:rFonts w:ascii="Verdana" w:hAnsi="Verdana" w:cs="Arial"/>
                <w:b/>
                <w:sz w:val="24"/>
                <w:szCs w:val="24"/>
              </w:rPr>
            </w:pPr>
          </w:p>
        </w:tc>
      </w:tr>
      <w:tr w:rsidR="000C197F" w:rsidRPr="00FC2C90" w14:paraId="56A2FEA0" w14:textId="77777777" w:rsidTr="000C197F">
        <w:tc>
          <w:tcPr>
            <w:tcW w:w="474" w:type="dxa"/>
          </w:tcPr>
          <w:p w14:paraId="327F95F6" w14:textId="2CCABA92" w:rsidR="000C197F" w:rsidRPr="00FC2C90" w:rsidRDefault="000C197F" w:rsidP="00657FD5">
            <w:pPr>
              <w:rPr>
                <w:rFonts w:ascii="Verdana" w:hAnsi="Verdana" w:cs="Arial"/>
                <w:b/>
                <w:sz w:val="24"/>
                <w:szCs w:val="24"/>
              </w:rPr>
            </w:pPr>
          </w:p>
        </w:tc>
        <w:tc>
          <w:tcPr>
            <w:tcW w:w="8598" w:type="dxa"/>
            <w:gridSpan w:val="3"/>
          </w:tcPr>
          <w:p w14:paraId="5EF42101" w14:textId="07952138" w:rsidR="000C197F" w:rsidRPr="00FC2C90" w:rsidRDefault="000C197F" w:rsidP="000C197F">
            <w:pPr>
              <w:rPr>
                <w:rFonts w:ascii="Verdana" w:hAnsi="Verdana" w:cs="Arial"/>
                <w:b/>
                <w:sz w:val="24"/>
                <w:szCs w:val="24"/>
              </w:rPr>
            </w:pPr>
            <w:r w:rsidRPr="00FC2C90">
              <w:rPr>
                <w:rFonts w:ascii="Verdana" w:hAnsi="Verdana" w:cs="Arial"/>
                <w:sz w:val="24"/>
                <w:szCs w:val="24"/>
              </w:rPr>
              <w:t>1.2   Clinical Audit and Effectiveness Policy</w:t>
            </w:r>
            <w:r>
              <w:rPr>
                <w:rFonts w:ascii="Verdana" w:hAnsi="Verdana" w:cs="Arial"/>
                <w:sz w:val="24"/>
                <w:szCs w:val="24"/>
              </w:rPr>
              <w:t xml:space="preserve">, </w:t>
            </w:r>
            <w:r w:rsidRPr="00FC2C90">
              <w:rPr>
                <w:rFonts w:ascii="Verdana" w:hAnsi="Verdana" w:cs="Arial"/>
                <w:sz w:val="24"/>
                <w:szCs w:val="24"/>
              </w:rPr>
              <w:t xml:space="preserve">Audit </w:t>
            </w:r>
            <w:r>
              <w:rPr>
                <w:rFonts w:ascii="Verdana" w:hAnsi="Verdana" w:cs="Arial"/>
                <w:sz w:val="24"/>
                <w:szCs w:val="24"/>
              </w:rPr>
              <w:t>H</w:t>
            </w:r>
            <w:r w:rsidRPr="00FC2C90">
              <w:rPr>
                <w:rFonts w:ascii="Verdana" w:hAnsi="Verdana" w:cs="Arial"/>
                <w:sz w:val="24"/>
                <w:szCs w:val="24"/>
              </w:rPr>
              <w:t>ierarchy</w:t>
            </w:r>
          </w:p>
        </w:tc>
      </w:tr>
      <w:tr w:rsidR="00B64109" w:rsidRPr="00FC2C90" w14:paraId="6E8954B5" w14:textId="77777777" w:rsidTr="000C197F">
        <w:trPr>
          <w:trHeight w:val="201"/>
        </w:trPr>
        <w:tc>
          <w:tcPr>
            <w:tcW w:w="474" w:type="dxa"/>
          </w:tcPr>
          <w:p w14:paraId="59852494" w14:textId="77777777" w:rsidR="00B64109" w:rsidRPr="00FC2C90" w:rsidRDefault="00B64109" w:rsidP="00657FD5">
            <w:pPr>
              <w:rPr>
                <w:rFonts w:ascii="Verdana" w:hAnsi="Verdana" w:cs="Arial"/>
                <w:b/>
                <w:sz w:val="24"/>
                <w:szCs w:val="24"/>
              </w:rPr>
            </w:pPr>
          </w:p>
        </w:tc>
        <w:tc>
          <w:tcPr>
            <w:tcW w:w="7034" w:type="dxa"/>
          </w:tcPr>
          <w:p w14:paraId="63D9342E" w14:textId="77777777" w:rsidR="00B64109" w:rsidRPr="00FC2C90" w:rsidRDefault="00B64109" w:rsidP="006D1E15">
            <w:pPr>
              <w:jc w:val="center"/>
              <w:rPr>
                <w:rFonts w:ascii="Verdana" w:hAnsi="Verdana" w:cs="Arial"/>
                <w:b/>
                <w:sz w:val="24"/>
                <w:szCs w:val="24"/>
              </w:rPr>
            </w:pPr>
          </w:p>
        </w:tc>
        <w:tc>
          <w:tcPr>
            <w:tcW w:w="284" w:type="dxa"/>
          </w:tcPr>
          <w:p w14:paraId="3D7F4BA9" w14:textId="77777777" w:rsidR="00B64109" w:rsidRPr="00FC2C90" w:rsidRDefault="00B64109" w:rsidP="006D1E15">
            <w:pPr>
              <w:jc w:val="center"/>
              <w:rPr>
                <w:rFonts w:ascii="Verdana" w:hAnsi="Verdana" w:cs="Arial"/>
                <w:b/>
                <w:sz w:val="24"/>
                <w:szCs w:val="24"/>
              </w:rPr>
            </w:pPr>
          </w:p>
        </w:tc>
        <w:tc>
          <w:tcPr>
            <w:tcW w:w="1280" w:type="dxa"/>
          </w:tcPr>
          <w:p w14:paraId="1EB3B090" w14:textId="2C3662F6" w:rsidR="00B64109" w:rsidRPr="00FC2C90" w:rsidRDefault="00B64109" w:rsidP="006D1E15">
            <w:pPr>
              <w:jc w:val="center"/>
              <w:rPr>
                <w:rFonts w:ascii="Verdana" w:hAnsi="Verdana" w:cs="Arial"/>
                <w:b/>
                <w:sz w:val="24"/>
                <w:szCs w:val="24"/>
              </w:rPr>
            </w:pPr>
          </w:p>
        </w:tc>
      </w:tr>
      <w:tr w:rsidR="00B64109" w:rsidRPr="00FC2C90" w14:paraId="1228F04A" w14:textId="77777777" w:rsidTr="000C197F">
        <w:trPr>
          <w:trHeight w:val="350"/>
        </w:trPr>
        <w:tc>
          <w:tcPr>
            <w:tcW w:w="474" w:type="dxa"/>
          </w:tcPr>
          <w:p w14:paraId="7121855D" w14:textId="424028D8" w:rsidR="00B64109" w:rsidRPr="00FC2C90" w:rsidRDefault="00B64109" w:rsidP="00657FD5">
            <w:pPr>
              <w:rPr>
                <w:rFonts w:ascii="Verdana" w:hAnsi="Verdana" w:cs="Arial"/>
                <w:b/>
                <w:sz w:val="24"/>
                <w:szCs w:val="24"/>
              </w:rPr>
            </w:pPr>
            <w:r w:rsidRPr="00FC2C90">
              <w:rPr>
                <w:rFonts w:ascii="Verdana" w:hAnsi="Verdana" w:cs="Arial"/>
                <w:b/>
                <w:sz w:val="24"/>
                <w:szCs w:val="24"/>
              </w:rPr>
              <w:t>2.</w:t>
            </w:r>
          </w:p>
        </w:tc>
        <w:tc>
          <w:tcPr>
            <w:tcW w:w="7034" w:type="dxa"/>
          </w:tcPr>
          <w:p w14:paraId="2E064543" w14:textId="2BA266AC" w:rsidR="00B64109" w:rsidRPr="00FC2C90" w:rsidRDefault="00B64109" w:rsidP="00657FD5">
            <w:pPr>
              <w:rPr>
                <w:rFonts w:ascii="Verdana" w:hAnsi="Verdana" w:cs="Arial"/>
                <w:b/>
                <w:sz w:val="36"/>
                <w:szCs w:val="36"/>
              </w:rPr>
            </w:pPr>
            <w:r w:rsidRPr="00FC2C90">
              <w:rPr>
                <w:rFonts w:ascii="Verdana" w:hAnsi="Verdana" w:cs="Arial"/>
                <w:b/>
                <w:sz w:val="24"/>
                <w:szCs w:val="24"/>
              </w:rPr>
              <w:t xml:space="preserve">Activity   </w:t>
            </w:r>
          </w:p>
        </w:tc>
        <w:tc>
          <w:tcPr>
            <w:tcW w:w="284" w:type="dxa"/>
          </w:tcPr>
          <w:p w14:paraId="5CEFD494" w14:textId="77777777" w:rsidR="00B64109" w:rsidRDefault="00B64109" w:rsidP="008E24E4">
            <w:pPr>
              <w:rPr>
                <w:rFonts w:ascii="Verdana" w:hAnsi="Verdana" w:cs="Arial"/>
                <w:bCs/>
                <w:sz w:val="24"/>
                <w:szCs w:val="24"/>
              </w:rPr>
            </w:pPr>
          </w:p>
        </w:tc>
        <w:tc>
          <w:tcPr>
            <w:tcW w:w="1280" w:type="dxa"/>
          </w:tcPr>
          <w:p w14:paraId="419BD436" w14:textId="7200B3F7" w:rsidR="00B64109" w:rsidRPr="00FC2C90" w:rsidRDefault="00B64109" w:rsidP="008E24E4">
            <w:pPr>
              <w:rPr>
                <w:rFonts w:ascii="Verdana" w:hAnsi="Verdana" w:cs="Arial"/>
                <w:bCs/>
                <w:sz w:val="36"/>
                <w:szCs w:val="36"/>
              </w:rPr>
            </w:pPr>
            <w:r w:rsidRPr="00FC2C90">
              <w:rPr>
                <w:rFonts w:ascii="Verdana" w:hAnsi="Verdana" w:cs="Arial"/>
                <w:bCs/>
                <w:sz w:val="24"/>
                <w:szCs w:val="24"/>
              </w:rPr>
              <w:t>4-</w:t>
            </w:r>
            <w:r w:rsidR="00893A4D">
              <w:rPr>
                <w:rFonts w:ascii="Verdana" w:hAnsi="Verdana" w:cs="Arial"/>
                <w:bCs/>
                <w:sz w:val="24"/>
                <w:szCs w:val="24"/>
              </w:rPr>
              <w:t>1</w:t>
            </w:r>
            <w:r w:rsidR="007151E5">
              <w:rPr>
                <w:rFonts w:ascii="Verdana" w:hAnsi="Verdana" w:cs="Arial"/>
                <w:bCs/>
                <w:sz w:val="24"/>
                <w:szCs w:val="24"/>
              </w:rPr>
              <w:t>3</w:t>
            </w:r>
          </w:p>
        </w:tc>
      </w:tr>
      <w:tr w:rsidR="00B64109" w:rsidRPr="00FC2C90" w14:paraId="4DBCA465" w14:textId="77777777" w:rsidTr="000C197F">
        <w:tc>
          <w:tcPr>
            <w:tcW w:w="474" w:type="dxa"/>
          </w:tcPr>
          <w:p w14:paraId="72C338B2" w14:textId="77777777" w:rsidR="00B64109" w:rsidRPr="00FC2C90" w:rsidRDefault="00B64109" w:rsidP="00657FD5">
            <w:pPr>
              <w:rPr>
                <w:rFonts w:ascii="Verdana" w:hAnsi="Verdana" w:cs="Arial"/>
                <w:b/>
                <w:sz w:val="24"/>
                <w:szCs w:val="24"/>
              </w:rPr>
            </w:pPr>
          </w:p>
        </w:tc>
        <w:tc>
          <w:tcPr>
            <w:tcW w:w="7034" w:type="dxa"/>
          </w:tcPr>
          <w:p w14:paraId="49CBA9B0" w14:textId="45A83CC8" w:rsidR="002425A6" w:rsidRDefault="00B64109" w:rsidP="00FC2C90">
            <w:pPr>
              <w:rPr>
                <w:rFonts w:ascii="Verdana" w:hAnsi="Verdana" w:cs="Arial"/>
                <w:sz w:val="24"/>
                <w:szCs w:val="24"/>
              </w:rPr>
            </w:pPr>
            <w:r>
              <w:rPr>
                <w:rFonts w:ascii="Verdana" w:hAnsi="Verdana" w:cs="Arial"/>
                <w:sz w:val="24"/>
                <w:szCs w:val="24"/>
              </w:rPr>
              <w:t>2.</w:t>
            </w:r>
            <w:r w:rsidR="002425A6">
              <w:rPr>
                <w:rFonts w:ascii="Verdana" w:hAnsi="Verdana" w:cs="Arial"/>
                <w:sz w:val="24"/>
                <w:szCs w:val="24"/>
              </w:rPr>
              <w:t>1   Digital Systems</w:t>
            </w:r>
          </w:p>
          <w:p w14:paraId="4662F368" w14:textId="2D36F95B" w:rsidR="00B64109" w:rsidRPr="00FC2C90" w:rsidRDefault="00B64109" w:rsidP="00FC2C90">
            <w:pPr>
              <w:rPr>
                <w:rFonts w:ascii="Verdana" w:hAnsi="Verdana" w:cs="Arial"/>
                <w:b/>
                <w:sz w:val="24"/>
                <w:szCs w:val="24"/>
              </w:rPr>
            </w:pPr>
            <w:r>
              <w:rPr>
                <w:rFonts w:ascii="Verdana" w:hAnsi="Verdana" w:cs="Arial"/>
                <w:sz w:val="24"/>
                <w:szCs w:val="24"/>
              </w:rPr>
              <w:t>2</w:t>
            </w:r>
            <w:r w:rsidR="002425A6">
              <w:rPr>
                <w:rFonts w:ascii="Verdana" w:hAnsi="Verdana" w:cs="Arial"/>
                <w:sz w:val="24"/>
                <w:szCs w:val="24"/>
              </w:rPr>
              <w:t>.2</w:t>
            </w:r>
            <w:r>
              <w:rPr>
                <w:rFonts w:ascii="Verdana" w:hAnsi="Verdana" w:cs="Arial"/>
                <w:sz w:val="24"/>
                <w:szCs w:val="24"/>
              </w:rPr>
              <w:t xml:space="preserve">   </w:t>
            </w:r>
            <w:r w:rsidRPr="00FC2C90">
              <w:rPr>
                <w:rFonts w:ascii="Verdana" w:hAnsi="Verdana" w:cs="Arial"/>
                <w:sz w:val="24"/>
                <w:szCs w:val="24"/>
              </w:rPr>
              <w:t>Explaining Figures</w:t>
            </w:r>
          </w:p>
        </w:tc>
        <w:tc>
          <w:tcPr>
            <w:tcW w:w="284" w:type="dxa"/>
          </w:tcPr>
          <w:p w14:paraId="77C95ADC" w14:textId="77777777" w:rsidR="00B64109" w:rsidRPr="00FC2C90" w:rsidRDefault="00B64109" w:rsidP="006D1E15">
            <w:pPr>
              <w:jc w:val="center"/>
              <w:rPr>
                <w:rFonts w:ascii="Verdana" w:hAnsi="Verdana" w:cs="Arial"/>
                <w:b/>
                <w:sz w:val="24"/>
                <w:szCs w:val="24"/>
              </w:rPr>
            </w:pPr>
          </w:p>
        </w:tc>
        <w:tc>
          <w:tcPr>
            <w:tcW w:w="1280" w:type="dxa"/>
          </w:tcPr>
          <w:p w14:paraId="5D20C89A" w14:textId="0553B813" w:rsidR="00B64109" w:rsidRPr="00FC2C90" w:rsidRDefault="00B64109" w:rsidP="006D1E15">
            <w:pPr>
              <w:jc w:val="center"/>
              <w:rPr>
                <w:rFonts w:ascii="Verdana" w:hAnsi="Verdana" w:cs="Arial"/>
                <w:b/>
                <w:sz w:val="24"/>
                <w:szCs w:val="24"/>
              </w:rPr>
            </w:pPr>
          </w:p>
        </w:tc>
      </w:tr>
      <w:tr w:rsidR="00B64109" w:rsidRPr="00FC2C90" w14:paraId="79B283BF" w14:textId="77777777" w:rsidTr="000C197F">
        <w:tc>
          <w:tcPr>
            <w:tcW w:w="474" w:type="dxa"/>
          </w:tcPr>
          <w:p w14:paraId="58FB9879" w14:textId="77777777" w:rsidR="00B64109" w:rsidRPr="00FC2C90" w:rsidRDefault="00B64109" w:rsidP="00657FD5">
            <w:pPr>
              <w:rPr>
                <w:rFonts w:ascii="Verdana" w:hAnsi="Verdana" w:cs="Arial"/>
                <w:b/>
                <w:sz w:val="24"/>
                <w:szCs w:val="24"/>
              </w:rPr>
            </w:pPr>
          </w:p>
        </w:tc>
        <w:tc>
          <w:tcPr>
            <w:tcW w:w="7034" w:type="dxa"/>
          </w:tcPr>
          <w:p w14:paraId="4715355F" w14:textId="78F99958" w:rsidR="00B64109" w:rsidRPr="00FC2C90" w:rsidRDefault="00B64109" w:rsidP="00FC2C90">
            <w:pPr>
              <w:rPr>
                <w:rFonts w:ascii="Verdana" w:hAnsi="Verdana" w:cs="Arial"/>
                <w:b/>
                <w:sz w:val="24"/>
                <w:szCs w:val="24"/>
              </w:rPr>
            </w:pPr>
            <w:r>
              <w:rPr>
                <w:rFonts w:ascii="Verdana" w:hAnsi="Verdana" w:cs="Arial"/>
                <w:sz w:val="24"/>
                <w:szCs w:val="24"/>
              </w:rPr>
              <w:t xml:space="preserve">2.3   </w:t>
            </w:r>
            <w:r w:rsidRPr="00FC2C90">
              <w:rPr>
                <w:rFonts w:ascii="Verdana" w:hAnsi="Verdana" w:cs="Arial"/>
                <w:sz w:val="24"/>
                <w:szCs w:val="24"/>
              </w:rPr>
              <w:t xml:space="preserve">Health Board Overview </w:t>
            </w:r>
            <w:r>
              <w:rPr>
                <w:rFonts w:ascii="Verdana" w:hAnsi="Verdana" w:cs="Arial"/>
                <w:sz w:val="24"/>
                <w:szCs w:val="24"/>
              </w:rPr>
              <w:t>2022/23 to 202</w:t>
            </w:r>
            <w:r w:rsidR="00CC74A2">
              <w:rPr>
                <w:rFonts w:ascii="Verdana" w:hAnsi="Verdana" w:cs="Arial"/>
                <w:sz w:val="24"/>
                <w:szCs w:val="24"/>
              </w:rPr>
              <w:t>6</w:t>
            </w:r>
          </w:p>
        </w:tc>
        <w:tc>
          <w:tcPr>
            <w:tcW w:w="284" w:type="dxa"/>
          </w:tcPr>
          <w:p w14:paraId="268071FF" w14:textId="77777777" w:rsidR="00B64109" w:rsidRPr="00FC2C90" w:rsidRDefault="00B64109" w:rsidP="006D1E15">
            <w:pPr>
              <w:jc w:val="center"/>
              <w:rPr>
                <w:rFonts w:ascii="Verdana" w:hAnsi="Verdana" w:cs="Arial"/>
                <w:b/>
                <w:sz w:val="24"/>
                <w:szCs w:val="24"/>
              </w:rPr>
            </w:pPr>
          </w:p>
        </w:tc>
        <w:tc>
          <w:tcPr>
            <w:tcW w:w="1280" w:type="dxa"/>
          </w:tcPr>
          <w:p w14:paraId="13AD4812" w14:textId="02AF9F57" w:rsidR="00B64109" w:rsidRPr="00FC2C90" w:rsidRDefault="00B64109" w:rsidP="006D1E15">
            <w:pPr>
              <w:jc w:val="center"/>
              <w:rPr>
                <w:rFonts w:ascii="Verdana" w:hAnsi="Verdana" w:cs="Arial"/>
                <w:b/>
                <w:sz w:val="24"/>
                <w:szCs w:val="24"/>
              </w:rPr>
            </w:pPr>
          </w:p>
        </w:tc>
      </w:tr>
      <w:tr w:rsidR="00B64109" w:rsidRPr="00FC2C90" w14:paraId="42C882CA" w14:textId="77777777" w:rsidTr="000C197F">
        <w:tc>
          <w:tcPr>
            <w:tcW w:w="474" w:type="dxa"/>
          </w:tcPr>
          <w:p w14:paraId="37BA0AAE" w14:textId="77777777" w:rsidR="00B64109" w:rsidRPr="00FC2C90" w:rsidRDefault="00B64109" w:rsidP="00657FD5">
            <w:pPr>
              <w:rPr>
                <w:rFonts w:ascii="Verdana" w:hAnsi="Verdana" w:cs="Arial"/>
                <w:b/>
                <w:sz w:val="24"/>
                <w:szCs w:val="24"/>
              </w:rPr>
            </w:pPr>
          </w:p>
        </w:tc>
        <w:tc>
          <w:tcPr>
            <w:tcW w:w="7034" w:type="dxa"/>
          </w:tcPr>
          <w:p w14:paraId="77387951" w14:textId="2AF2469E" w:rsidR="00B64109" w:rsidRPr="00FC2C90" w:rsidRDefault="00B64109" w:rsidP="00FC2C90">
            <w:pPr>
              <w:rPr>
                <w:rFonts w:ascii="Verdana" w:hAnsi="Verdana" w:cs="Arial"/>
                <w:b/>
                <w:sz w:val="24"/>
                <w:szCs w:val="24"/>
              </w:rPr>
            </w:pPr>
            <w:r>
              <w:rPr>
                <w:rFonts w:ascii="Verdana" w:hAnsi="Verdana" w:cs="Arial"/>
                <w:sz w:val="24"/>
                <w:szCs w:val="24"/>
              </w:rPr>
              <w:t xml:space="preserve">2.4   </w:t>
            </w:r>
            <w:r w:rsidRPr="00FC2C90">
              <w:rPr>
                <w:rFonts w:ascii="Verdana" w:hAnsi="Verdana" w:cs="Arial"/>
                <w:sz w:val="24"/>
                <w:szCs w:val="24"/>
              </w:rPr>
              <w:t>Governance</w:t>
            </w:r>
          </w:p>
        </w:tc>
        <w:tc>
          <w:tcPr>
            <w:tcW w:w="284" w:type="dxa"/>
          </w:tcPr>
          <w:p w14:paraId="6C3DF1EB" w14:textId="77777777" w:rsidR="00B64109" w:rsidRPr="00FC2C90" w:rsidRDefault="00B64109" w:rsidP="006D1E15">
            <w:pPr>
              <w:jc w:val="center"/>
              <w:rPr>
                <w:rFonts w:ascii="Verdana" w:hAnsi="Verdana" w:cs="Arial"/>
                <w:b/>
                <w:sz w:val="24"/>
                <w:szCs w:val="24"/>
              </w:rPr>
            </w:pPr>
          </w:p>
        </w:tc>
        <w:tc>
          <w:tcPr>
            <w:tcW w:w="1280" w:type="dxa"/>
          </w:tcPr>
          <w:p w14:paraId="4C931CE6" w14:textId="28A20F9E" w:rsidR="00B64109" w:rsidRPr="00FC2C90" w:rsidRDefault="00B64109" w:rsidP="006D1E15">
            <w:pPr>
              <w:jc w:val="center"/>
              <w:rPr>
                <w:rFonts w:ascii="Verdana" w:hAnsi="Verdana" w:cs="Arial"/>
                <w:b/>
                <w:sz w:val="24"/>
                <w:szCs w:val="24"/>
              </w:rPr>
            </w:pPr>
          </w:p>
        </w:tc>
      </w:tr>
      <w:tr w:rsidR="00B64109" w:rsidRPr="00FC2C90" w14:paraId="04D2E3BA" w14:textId="77777777" w:rsidTr="000C197F">
        <w:tc>
          <w:tcPr>
            <w:tcW w:w="474" w:type="dxa"/>
          </w:tcPr>
          <w:p w14:paraId="214E540E" w14:textId="77777777" w:rsidR="00B64109" w:rsidRPr="00FC2C90" w:rsidRDefault="00B64109" w:rsidP="00657FD5">
            <w:pPr>
              <w:rPr>
                <w:rFonts w:ascii="Verdana" w:hAnsi="Verdana" w:cs="Arial"/>
                <w:b/>
                <w:sz w:val="24"/>
                <w:szCs w:val="24"/>
              </w:rPr>
            </w:pPr>
          </w:p>
        </w:tc>
        <w:tc>
          <w:tcPr>
            <w:tcW w:w="7034" w:type="dxa"/>
          </w:tcPr>
          <w:p w14:paraId="54FB5A4D" w14:textId="1C1B46BC" w:rsidR="00B64109" w:rsidRPr="00FC2C90" w:rsidRDefault="00B64109" w:rsidP="00FC2C90">
            <w:pPr>
              <w:rPr>
                <w:rFonts w:ascii="Verdana" w:hAnsi="Verdana" w:cs="Arial"/>
                <w:b/>
                <w:sz w:val="24"/>
                <w:szCs w:val="24"/>
              </w:rPr>
            </w:pPr>
            <w:r>
              <w:rPr>
                <w:rFonts w:ascii="Verdana" w:hAnsi="Verdana" w:cs="Arial"/>
                <w:sz w:val="24"/>
                <w:szCs w:val="24"/>
              </w:rPr>
              <w:t xml:space="preserve">2.5   </w:t>
            </w:r>
            <w:r w:rsidRPr="00FC2C90">
              <w:rPr>
                <w:rFonts w:ascii="Verdana" w:hAnsi="Verdana" w:cs="Arial"/>
                <w:sz w:val="24"/>
                <w:szCs w:val="24"/>
              </w:rPr>
              <w:t>Re-audit</w:t>
            </w:r>
          </w:p>
        </w:tc>
        <w:tc>
          <w:tcPr>
            <w:tcW w:w="284" w:type="dxa"/>
          </w:tcPr>
          <w:p w14:paraId="283825FB" w14:textId="77777777" w:rsidR="00B64109" w:rsidRPr="00FC2C90" w:rsidRDefault="00B64109" w:rsidP="006D1E15">
            <w:pPr>
              <w:jc w:val="center"/>
              <w:rPr>
                <w:rFonts w:ascii="Verdana" w:hAnsi="Verdana" w:cs="Arial"/>
                <w:b/>
                <w:sz w:val="24"/>
                <w:szCs w:val="24"/>
              </w:rPr>
            </w:pPr>
          </w:p>
        </w:tc>
        <w:tc>
          <w:tcPr>
            <w:tcW w:w="1280" w:type="dxa"/>
          </w:tcPr>
          <w:p w14:paraId="49C4252C" w14:textId="1F76B631" w:rsidR="00B64109" w:rsidRPr="00FC2C90" w:rsidRDefault="00B64109" w:rsidP="006D1E15">
            <w:pPr>
              <w:jc w:val="center"/>
              <w:rPr>
                <w:rFonts w:ascii="Verdana" w:hAnsi="Verdana" w:cs="Arial"/>
                <w:b/>
                <w:sz w:val="24"/>
                <w:szCs w:val="24"/>
              </w:rPr>
            </w:pPr>
          </w:p>
        </w:tc>
      </w:tr>
      <w:tr w:rsidR="000C197F" w:rsidRPr="00FC2C90" w14:paraId="452C7A63" w14:textId="77777777" w:rsidTr="000C197F">
        <w:tc>
          <w:tcPr>
            <w:tcW w:w="474" w:type="dxa"/>
          </w:tcPr>
          <w:p w14:paraId="297708C6" w14:textId="77777777" w:rsidR="000C197F" w:rsidRPr="00FC2C90" w:rsidRDefault="000C197F" w:rsidP="00657FD5">
            <w:pPr>
              <w:rPr>
                <w:rFonts w:ascii="Verdana" w:hAnsi="Verdana" w:cs="Arial"/>
                <w:b/>
                <w:sz w:val="24"/>
                <w:szCs w:val="24"/>
              </w:rPr>
            </w:pPr>
          </w:p>
        </w:tc>
        <w:tc>
          <w:tcPr>
            <w:tcW w:w="8598" w:type="dxa"/>
            <w:gridSpan w:val="3"/>
          </w:tcPr>
          <w:p w14:paraId="2EFD4428" w14:textId="3CC01E64" w:rsidR="000C197F" w:rsidRPr="00FC2C90" w:rsidRDefault="000C197F" w:rsidP="000C197F">
            <w:pPr>
              <w:rPr>
                <w:rFonts w:ascii="Verdana" w:hAnsi="Verdana" w:cs="Arial"/>
                <w:b/>
                <w:sz w:val="24"/>
                <w:szCs w:val="24"/>
              </w:rPr>
            </w:pPr>
            <w:r>
              <w:rPr>
                <w:rFonts w:ascii="Verdana" w:hAnsi="Verdana" w:cs="Arial"/>
                <w:sz w:val="24"/>
                <w:szCs w:val="24"/>
              </w:rPr>
              <w:t xml:space="preserve">2.6   </w:t>
            </w:r>
            <w:r w:rsidRPr="00FC2C90">
              <w:rPr>
                <w:rFonts w:ascii="Verdana" w:hAnsi="Verdana" w:cs="Arial"/>
                <w:sz w:val="24"/>
                <w:szCs w:val="24"/>
              </w:rPr>
              <w:t>NICE/Health Technology Guidance Recommendations</w:t>
            </w:r>
          </w:p>
        </w:tc>
      </w:tr>
      <w:tr w:rsidR="00B64109" w:rsidRPr="00FC2C90" w14:paraId="32CE312E" w14:textId="77777777" w:rsidTr="000C197F">
        <w:tc>
          <w:tcPr>
            <w:tcW w:w="474" w:type="dxa"/>
          </w:tcPr>
          <w:p w14:paraId="1659BF51" w14:textId="77777777" w:rsidR="00B64109" w:rsidRPr="00FC2C90" w:rsidRDefault="00B64109" w:rsidP="00657FD5">
            <w:pPr>
              <w:rPr>
                <w:rFonts w:ascii="Verdana" w:hAnsi="Verdana" w:cs="Arial"/>
                <w:b/>
                <w:sz w:val="24"/>
                <w:szCs w:val="24"/>
              </w:rPr>
            </w:pPr>
          </w:p>
        </w:tc>
        <w:tc>
          <w:tcPr>
            <w:tcW w:w="7034" w:type="dxa"/>
          </w:tcPr>
          <w:p w14:paraId="0C0D326A" w14:textId="00E071AB" w:rsidR="00B64109" w:rsidRPr="00FC2C90" w:rsidRDefault="00B64109" w:rsidP="00FC2C90">
            <w:pPr>
              <w:pStyle w:val="ListParagraph"/>
              <w:ind w:left="0"/>
              <w:rPr>
                <w:rFonts w:ascii="Verdana" w:hAnsi="Verdana" w:cs="Arial"/>
                <w:b/>
                <w:sz w:val="24"/>
                <w:szCs w:val="24"/>
              </w:rPr>
            </w:pPr>
            <w:r>
              <w:rPr>
                <w:rFonts w:ascii="Verdana" w:hAnsi="Verdana" w:cs="Arial"/>
                <w:sz w:val="24"/>
                <w:szCs w:val="24"/>
              </w:rPr>
              <w:t xml:space="preserve">2.7   </w:t>
            </w:r>
            <w:r w:rsidRPr="00FC2C90">
              <w:rPr>
                <w:rFonts w:ascii="Verdana" w:hAnsi="Verdana" w:cs="Arial"/>
                <w:sz w:val="24"/>
                <w:szCs w:val="24"/>
              </w:rPr>
              <w:t>National Audit/Registry Published Reports</w:t>
            </w:r>
          </w:p>
        </w:tc>
        <w:tc>
          <w:tcPr>
            <w:tcW w:w="284" w:type="dxa"/>
          </w:tcPr>
          <w:p w14:paraId="5F848E6D" w14:textId="77777777" w:rsidR="00B64109" w:rsidRPr="00FC2C90" w:rsidRDefault="00B64109" w:rsidP="006D1E15">
            <w:pPr>
              <w:jc w:val="center"/>
              <w:rPr>
                <w:rFonts w:ascii="Verdana" w:hAnsi="Verdana" w:cs="Arial"/>
                <w:b/>
                <w:sz w:val="24"/>
                <w:szCs w:val="24"/>
              </w:rPr>
            </w:pPr>
          </w:p>
        </w:tc>
        <w:tc>
          <w:tcPr>
            <w:tcW w:w="1280" w:type="dxa"/>
          </w:tcPr>
          <w:p w14:paraId="7153B185" w14:textId="47ECB911" w:rsidR="00B64109" w:rsidRPr="00FC2C90" w:rsidRDefault="00B64109" w:rsidP="006D1E15">
            <w:pPr>
              <w:jc w:val="center"/>
              <w:rPr>
                <w:rFonts w:ascii="Verdana" w:hAnsi="Verdana" w:cs="Arial"/>
                <w:b/>
                <w:sz w:val="24"/>
                <w:szCs w:val="24"/>
              </w:rPr>
            </w:pPr>
          </w:p>
        </w:tc>
      </w:tr>
      <w:tr w:rsidR="00B64109" w:rsidRPr="00FC2C90" w14:paraId="0521B971" w14:textId="77777777" w:rsidTr="000C197F">
        <w:tc>
          <w:tcPr>
            <w:tcW w:w="474" w:type="dxa"/>
          </w:tcPr>
          <w:p w14:paraId="2E122200" w14:textId="77777777" w:rsidR="00B64109" w:rsidRPr="00FC2C90" w:rsidRDefault="00B64109" w:rsidP="00657FD5">
            <w:pPr>
              <w:rPr>
                <w:rFonts w:ascii="Verdana" w:hAnsi="Verdana" w:cs="Arial"/>
                <w:b/>
                <w:sz w:val="24"/>
                <w:szCs w:val="24"/>
              </w:rPr>
            </w:pPr>
          </w:p>
        </w:tc>
        <w:tc>
          <w:tcPr>
            <w:tcW w:w="7034" w:type="dxa"/>
          </w:tcPr>
          <w:p w14:paraId="08AF1B57" w14:textId="24D555A9" w:rsidR="00B64109" w:rsidRPr="00FC2C90" w:rsidRDefault="00B64109" w:rsidP="00003E9C">
            <w:pPr>
              <w:rPr>
                <w:rFonts w:ascii="Verdana" w:hAnsi="Verdana" w:cs="Arial"/>
                <w:sz w:val="24"/>
                <w:szCs w:val="24"/>
              </w:rPr>
            </w:pPr>
            <w:r w:rsidRPr="00FC2C90">
              <w:rPr>
                <w:rFonts w:ascii="Verdana" w:hAnsi="Verdana" w:cs="Arial"/>
                <w:sz w:val="24"/>
                <w:szCs w:val="24"/>
              </w:rPr>
              <w:t xml:space="preserve">2.8   </w:t>
            </w:r>
            <w:r w:rsidR="00CC74A2">
              <w:rPr>
                <w:rFonts w:ascii="Verdana" w:hAnsi="Verdana" w:cs="Arial"/>
                <w:sz w:val="24"/>
                <w:szCs w:val="24"/>
              </w:rPr>
              <w:t>Rejected Proposals 2024-26</w:t>
            </w:r>
            <w:r w:rsidRPr="00FC2C90">
              <w:rPr>
                <w:rFonts w:ascii="Verdana" w:hAnsi="Verdana" w:cs="Arial"/>
                <w:sz w:val="24"/>
                <w:szCs w:val="24"/>
              </w:rPr>
              <w:t xml:space="preserve">  </w:t>
            </w:r>
          </w:p>
        </w:tc>
        <w:tc>
          <w:tcPr>
            <w:tcW w:w="284" w:type="dxa"/>
          </w:tcPr>
          <w:p w14:paraId="192AB963" w14:textId="77777777" w:rsidR="00B64109" w:rsidRPr="00FC2C90" w:rsidRDefault="00B64109" w:rsidP="006D1E15">
            <w:pPr>
              <w:jc w:val="center"/>
              <w:rPr>
                <w:rFonts w:ascii="Verdana" w:hAnsi="Verdana" w:cs="Arial"/>
                <w:b/>
                <w:sz w:val="24"/>
                <w:szCs w:val="24"/>
              </w:rPr>
            </w:pPr>
          </w:p>
        </w:tc>
        <w:tc>
          <w:tcPr>
            <w:tcW w:w="1280" w:type="dxa"/>
          </w:tcPr>
          <w:p w14:paraId="40B89B11" w14:textId="7B58CFD9" w:rsidR="00B64109" w:rsidRPr="00FC2C90" w:rsidRDefault="00B64109" w:rsidP="006D1E15">
            <w:pPr>
              <w:jc w:val="center"/>
              <w:rPr>
                <w:rFonts w:ascii="Verdana" w:hAnsi="Verdana" w:cs="Arial"/>
                <w:b/>
                <w:sz w:val="24"/>
                <w:szCs w:val="24"/>
              </w:rPr>
            </w:pPr>
          </w:p>
        </w:tc>
      </w:tr>
      <w:tr w:rsidR="00B64109" w:rsidRPr="00FC2C90" w14:paraId="0037A9AA" w14:textId="77777777" w:rsidTr="000C197F">
        <w:tc>
          <w:tcPr>
            <w:tcW w:w="474" w:type="dxa"/>
          </w:tcPr>
          <w:p w14:paraId="5BF6BE7F" w14:textId="77777777" w:rsidR="00B64109" w:rsidRPr="00FC2C90" w:rsidRDefault="00B64109" w:rsidP="00657FD5">
            <w:pPr>
              <w:rPr>
                <w:rFonts w:ascii="Verdana" w:hAnsi="Verdana" w:cs="Arial"/>
                <w:b/>
                <w:sz w:val="24"/>
                <w:szCs w:val="24"/>
              </w:rPr>
            </w:pPr>
          </w:p>
        </w:tc>
        <w:tc>
          <w:tcPr>
            <w:tcW w:w="7034" w:type="dxa"/>
          </w:tcPr>
          <w:p w14:paraId="23F6FCE2" w14:textId="5ECEF9EA" w:rsidR="00B64109" w:rsidRPr="00FC2C90" w:rsidRDefault="00B64109" w:rsidP="008E10AF">
            <w:pPr>
              <w:rPr>
                <w:rFonts w:ascii="Verdana" w:hAnsi="Verdana" w:cs="Arial"/>
                <w:sz w:val="24"/>
                <w:szCs w:val="24"/>
              </w:rPr>
            </w:pPr>
            <w:r w:rsidRPr="00FC2C90">
              <w:rPr>
                <w:rFonts w:ascii="Verdana" w:hAnsi="Verdana" w:cs="Arial"/>
                <w:sz w:val="24"/>
                <w:szCs w:val="24"/>
              </w:rPr>
              <w:t xml:space="preserve">2.9   </w:t>
            </w:r>
            <w:r w:rsidR="00CC74A2">
              <w:rPr>
                <w:rFonts w:ascii="Verdana" w:hAnsi="Verdana" w:cs="Arial"/>
                <w:sz w:val="24"/>
                <w:szCs w:val="24"/>
              </w:rPr>
              <w:t xml:space="preserve">Removed </w:t>
            </w:r>
            <w:r w:rsidRPr="00FC2C90">
              <w:rPr>
                <w:rFonts w:ascii="Verdana" w:hAnsi="Verdana" w:cs="Arial"/>
                <w:sz w:val="24"/>
                <w:szCs w:val="24"/>
              </w:rPr>
              <w:t>Projects</w:t>
            </w:r>
            <w:r w:rsidR="00CC74A2">
              <w:rPr>
                <w:rFonts w:ascii="Verdana" w:hAnsi="Verdana" w:cs="Arial"/>
                <w:sz w:val="24"/>
                <w:szCs w:val="24"/>
              </w:rPr>
              <w:t xml:space="preserve"> 2024-26</w:t>
            </w:r>
          </w:p>
        </w:tc>
        <w:tc>
          <w:tcPr>
            <w:tcW w:w="284" w:type="dxa"/>
          </w:tcPr>
          <w:p w14:paraId="5EEB02D7" w14:textId="77777777" w:rsidR="00B64109" w:rsidRPr="00FC2C90" w:rsidRDefault="00B64109" w:rsidP="006D1E15">
            <w:pPr>
              <w:jc w:val="center"/>
              <w:rPr>
                <w:rFonts w:ascii="Verdana" w:hAnsi="Verdana" w:cs="Arial"/>
                <w:b/>
                <w:sz w:val="24"/>
                <w:szCs w:val="24"/>
              </w:rPr>
            </w:pPr>
          </w:p>
        </w:tc>
        <w:tc>
          <w:tcPr>
            <w:tcW w:w="1280" w:type="dxa"/>
          </w:tcPr>
          <w:p w14:paraId="55502F69" w14:textId="1716C0B1" w:rsidR="00B64109" w:rsidRPr="00FC2C90" w:rsidRDefault="00B64109" w:rsidP="006D1E15">
            <w:pPr>
              <w:jc w:val="center"/>
              <w:rPr>
                <w:rFonts w:ascii="Verdana" w:hAnsi="Verdana" w:cs="Arial"/>
                <w:b/>
                <w:sz w:val="24"/>
                <w:szCs w:val="24"/>
              </w:rPr>
            </w:pPr>
          </w:p>
        </w:tc>
      </w:tr>
      <w:tr w:rsidR="000C197F" w:rsidRPr="00FC2C90" w14:paraId="709C02B1" w14:textId="77777777" w:rsidTr="000C197F">
        <w:trPr>
          <w:trHeight w:val="70"/>
        </w:trPr>
        <w:tc>
          <w:tcPr>
            <w:tcW w:w="474" w:type="dxa"/>
          </w:tcPr>
          <w:p w14:paraId="4CDAA29D" w14:textId="77777777" w:rsidR="000C197F" w:rsidRPr="00FC2C90" w:rsidRDefault="000C197F" w:rsidP="00657FD5">
            <w:pPr>
              <w:rPr>
                <w:rFonts w:ascii="Verdana" w:hAnsi="Verdana" w:cs="Arial"/>
                <w:b/>
                <w:sz w:val="24"/>
                <w:szCs w:val="24"/>
              </w:rPr>
            </w:pPr>
          </w:p>
        </w:tc>
        <w:tc>
          <w:tcPr>
            <w:tcW w:w="8598" w:type="dxa"/>
            <w:gridSpan w:val="3"/>
          </w:tcPr>
          <w:p w14:paraId="60C5F5BD" w14:textId="77777777" w:rsidR="000C197F" w:rsidRDefault="000C197F" w:rsidP="008E10AF">
            <w:pPr>
              <w:pStyle w:val="ListParagraph"/>
              <w:ind w:left="325" w:hanging="325"/>
              <w:rPr>
                <w:rFonts w:ascii="Verdana" w:hAnsi="Verdana" w:cs="Arial"/>
                <w:sz w:val="24"/>
                <w:szCs w:val="24"/>
              </w:rPr>
            </w:pPr>
            <w:r w:rsidRPr="00FC2C90">
              <w:rPr>
                <w:rFonts w:ascii="Verdana" w:hAnsi="Verdana" w:cs="Arial"/>
                <w:sz w:val="24"/>
                <w:szCs w:val="24"/>
              </w:rPr>
              <w:t xml:space="preserve">2.10 </w:t>
            </w:r>
            <w:r>
              <w:rPr>
                <w:rFonts w:ascii="Verdana" w:hAnsi="Verdana" w:cs="Arial"/>
                <w:sz w:val="24"/>
                <w:szCs w:val="24"/>
              </w:rPr>
              <w:t>Deferred Projects 2024-26</w:t>
            </w:r>
          </w:p>
          <w:p w14:paraId="25712E66" w14:textId="77777777" w:rsidR="000C197F" w:rsidRDefault="000C197F" w:rsidP="008E10AF">
            <w:pPr>
              <w:pStyle w:val="ListParagraph"/>
              <w:ind w:left="325" w:hanging="325"/>
              <w:rPr>
                <w:rFonts w:ascii="Verdana" w:hAnsi="Verdana" w:cs="Arial"/>
                <w:sz w:val="24"/>
                <w:szCs w:val="24"/>
              </w:rPr>
            </w:pPr>
            <w:r>
              <w:rPr>
                <w:rFonts w:ascii="Verdana" w:hAnsi="Verdana" w:cs="Arial"/>
                <w:sz w:val="24"/>
                <w:szCs w:val="24"/>
              </w:rPr>
              <w:t>2.11 Service Group Breakdown</w:t>
            </w:r>
          </w:p>
          <w:p w14:paraId="020DD7A0" w14:textId="77777777" w:rsidR="000C197F" w:rsidRDefault="000C197F" w:rsidP="008E10AF">
            <w:pPr>
              <w:pStyle w:val="ListParagraph"/>
              <w:ind w:left="325" w:hanging="325"/>
              <w:rPr>
                <w:rFonts w:ascii="Verdana" w:hAnsi="Verdana" w:cs="Arial"/>
                <w:sz w:val="24"/>
                <w:szCs w:val="24"/>
              </w:rPr>
            </w:pPr>
            <w:r>
              <w:rPr>
                <w:rFonts w:ascii="Verdana" w:hAnsi="Verdana" w:cs="Arial"/>
                <w:sz w:val="24"/>
                <w:szCs w:val="24"/>
              </w:rPr>
              <w:t xml:space="preserve">2.12 Mental Health and Learning Disabilities Summary </w:t>
            </w:r>
          </w:p>
          <w:p w14:paraId="6815BD0F" w14:textId="77777777" w:rsidR="000C197F" w:rsidRDefault="000C197F" w:rsidP="008E10AF">
            <w:pPr>
              <w:pStyle w:val="ListParagraph"/>
              <w:ind w:left="325" w:hanging="325"/>
              <w:rPr>
                <w:rFonts w:ascii="Verdana" w:hAnsi="Verdana" w:cs="Arial"/>
                <w:sz w:val="24"/>
                <w:szCs w:val="24"/>
              </w:rPr>
            </w:pPr>
            <w:r>
              <w:rPr>
                <w:rFonts w:ascii="Verdana" w:hAnsi="Verdana" w:cs="Arial"/>
                <w:sz w:val="24"/>
                <w:szCs w:val="24"/>
              </w:rPr>
              <w:t>2.13 Morriston Summary</w:t>
            </w:r>
          </w:p>
          <w:p w14:paraId="2502E18A" w14:textId="77777777" w:rsidR="000C197F" w:rsidRDefault="000C197F" w:rsidP="008E10AF">
            <w:pPr>
              <w:pStyle w:val="ListParagraph"/>
              <w:ind w:left="325" w:hanging="325"/>
              <w:rPr>
                <w:rFonts w:ascii="Verdana" w:hAnsi="Verdana" w:cs="Arial"/>
                <w:sz w:val="24"/>
                <w:szCs w:val="24"/>
              </w:rPr>
            </w:pPr>
            <w:r>
              <w:rPr>
                <w:rFonts w:ascii="Verdana" w:hAnsi="Verdana" w:cs="Arial"/>
                <w:sz w:val="24"/>
                <w:szCs w:val="24"/>
              </w:rPr>
              <w:t>2.14 Primary, Community Care and Therapies Summary</w:t>
            </w:r>
          </w:p>
          <w:p w14:paraId="7A9323A0" w14:textId="77777777" w:rsidR="000C197F" w:rsidRDefault="000C197F" w:rsidP="008E10AF">
            <w:pPr>
              <w:pStyle w:val="ListParagraph"/>
              <w:ind w:left="325" w:hanging="325"/>
              <w:rPr>
                <w:rFonts w:ascii="Verdana" w:hAnsi="Verdana" w:cs="Arial"/>
                <w:sz w:val="24"/>
                <w:szCs w:val="24"/>
              </w:rPr>
            </w:pPr>
            <w:r>
              <w:rPr>
                <w:rFonts w:ascii="Verdana" w:hAnsi="Verdana" w:cs="Arial"/>
                <w:sz w:val="24"/>
                <w:szCs w:val="24"/>
              </w:rPr>
              <w:t>2.15 Singleton and Neath Port Talbot Summary</w:t>
            </w:r>
          </w:p>
          <w:p w14:paraId="4FA2B79E" w14:textId="77777777" w:rsidR="000C197F" w:rsidRDefault="000C197F" w:rsidP="000C197F">
            <w:pPr>
              <w:spacing w:after="120"/>
              <w:rPr>
                <w:rFonts w:ascii="Verdana" w:hAnsi="Verdana" w:cs="Arial"/>
                <w:sz w:val="24"/>
                <w:szCs w:val="24"/>
              </w:rPr>
            </w:pPr>
            <w:r>
              <w:rPr>
                <w:rFonts w:ascii="Verdana" w:hAnsi="Verdana" w:cs="Arial"/>
                <w:sz w:val="24"/>
                <w:szCs w:val="24"/>
              </w:rPr>
              <w:t xml:space="preserve">2.16 </w:t>
            </w:r>
            <w:r w:rsidRPr="007F54ED">
              <w:rPr>
                <w:rFonts w:ascii="Verdana" w:hAnsi="Verdana" w:cs="Arial"/>
                <w:sz w:val="24"/>
                <w:szCs w:val="24"/>
              </w:rPr>
              <w:t>Summary of Risk Assurance Scoring, by Service Group</w:t>
            </w:r>
          </w:p>
          <w:p w14:paraId="7F977622" w14:textId="1286922E" w:rsidR="000C197F" w:rsidRPr="00FC2C90" w:rsidRDefault="000C197F" w:rsidP="000C197F">
            <w:pPr>
              <w:spacing w:after="120"/>
              <w:rPr>
                <w:rFonts w:ascii="Verdana" w:hAnsi="Verdana" w:cs="Arial"/>
                <w:b/>
                <w:sz w:val="24"/>
                <w:szCs w:val="24"/>
              </w:rPr>
            </w:pPr>
          </w:p>
        </w:tc>
      </w:tr>
      <w:tr w:rsidR="00B64109" w:rsidRPr="00FC2C90" w14:paraId="1449427C" w14:textId="77777777" w:rsidTr="000C197F">
        <w:trPr>
          <w:trHeight w:val="350"/>
        </w:trPr>
        <w:tc>
          <w:tcPr>
            <w:tcW w:w="474" w:type="dxa"/>
          </w:tcPr>
          <w:p w14:paraId="42430988" w14:textId="5E3B8005" w:rsidR="00B64109" w:rsidRPr="00FC2C90" w:rsidRDefault="00B64109">
            <w:pPr>
              <w:rPr>
                <w:rFonts w:ascii="Verdana" w:hAnsi="Verdana" w:cs="Arial"/>
                <w:b/>
                <w:sz w:val="24"/>
                <w:szCs w:val="24"/>
              </w:rPr>
            </w:pPr>
            <w:r w:rsidRPr="00FC2C90">
              <w:rPr>
                <w:rFonts w:ascii="Verdana" w:hAnsi="Verdana" w:cs="Arial"/>
                <w:b/>
                <w:sz w:val="24"/>
                <w:szCs w:val="24"/>
              </w:rPr>
              <w:t>3.</w:t>
            </w:r>
          </w:p>
        </w:tc>
        <w:tc>
          <w:tcPr>
            <w:tcW w:w="7034" w:type="dxa"/>
          </w:tcPr>
          <w:p w14:paraId="20D18651" w14:textId="385B145A" w:rsidR="00B64109" w:rsidRPr="0033323C" w:rsidRDefault="00B64109">
            <w:pPr>
              <w:rPr>
                <w:rFonts w:ascii="Verdana" w:hAnsi="Verdana" w:cs="Arial"/>
                <w:b/>
                <w:sz w:val="24"/>
                <w:szCs w:val="24"/>
              </w:rPr>
            </w:pPr>
            <w:r>
              <w:rPr>
                <w:rFonts w:ascii="Verdana" w:hAnsi="Verdana"/>
                <w:b/>
                <w:bCs/>
                <w:sz w:val="24"/>
                <w:szCs w:val="24"/>
              </w:rPr>
              <w:t>A</w:t>
            </w:r>
            <w:r w:rsidRPr="0033323C">
              <w:rPr>
                <w:rFonts w:ascii="Verdana" w:hAnsi="Verdana"/>
                <w:b/>
                <w:bCs/>
                <w:sz w:val="24"/>
                <w:szCs w:val="24"/>
              </w:rPr>
              <w:t>udit P</w:t>
            </w:r>
            <w:r w:rsidR="001B7F43">
              <w:rPr>
                <w:rFonts w:ascii="Verdana" w:hAnsi="Verdana"/>
                <w:b/>
                <w:bCs/>
                <w:sz w:val="24"/>
                <w:szCs w:val="24"/>
              </w:rPr>
              <w:t>rogramme</w:t>
            </w:r>
            <w:r w:rsidRPr="0033323C">
              <w:rPr>
                <w:rFonts w:ascii="Verdana" w:hAnsi="Verdana"/>
                <w:b/>
                <w:bCs/>
                <w:sz w:val="24"/>
                <w:szCs w:val="24"/>
              </w:rPr>
              <w:t xml:space="preserve"> </w:t>
            </w:r>
            <w:r w:rsidR="00501F0F">
              <w:rPr>
                <w:rFonts w:ascii="Verdana" w:hAnsi="Verdana"/>
                <w:b/>
                <w:bCs/>
                <w:sz w:val="24"/>
                <w:szCs w:val="24"/>
              </w:rPr>
              <w:t>2026/28</w:t>
            </w:r>
          </w:p>
        </w:tc>
        <w:tc>
          <w:tcPr>
            <w:tcW w:w="284" w:type="dxa"/>
          </w:tcPr>
          <w:p w14:paraId="6675E5ED" w14:textId="77777777" w:rsidR="00B64109" w:rsidRDefault="00B64109" w:rsidP="00FC2C90">
            <w:pPr>
              <w:rPr>
                <w:rFonts w:ascii="Verdana" w:hAnsi="Verdana" w:cs="Arial"/>
                <w:bCs/>
                <w:sz w:val="24"/>
                <w:szCs w:val="24"/>
              </w:rPr>
            </w:pPr>
          </w:p>
        </w:tc>
        <w:tc>
          <w:tcPr>
            <w:tcW w:w="1280" w:type="dxa"/>
          </w:tcPr>
          <w:p w14:paraId="211A9816" w14:textId="4707AA31" w:rsidR="00B64109" w:rsidRPr="00FC2C90" w:rsidRDefault="00893A4D" w:rsidP="00FC2C90">
            <w:pPr>
              <w:rPr>
                <w:rFonts w:ascii="Verdana" w:hAnsi="Verdana" w:cs="Arial"/>
                <w:bCs/>
                <w:sz w:val="36"/>
                <w:szCs w:val="36"/>
              </w:rPr>
            </w:pPr>
            <w:r>
              <w:rPr>
                <w:rFonts w:ascii="Verdana" w:hAnsi="Verdana" w:cs="Arial"/>
                <w:bCs/>
                <w:sz w:val="24"/>
                <w:szCs w:val="24"/>
              </w:rPr>
              <w:t>13</w:t>
            </w:r>
            <w:r w:rsidR="007151E5">
              <w:rPr>
                <w:rFonts w:ascii="Verdana" w:hAnsi="Verdana" w:cs="Arial"/>
                <w:bCs/>
                <w:sz w:val="24"/>
                <w:szCs w:val="24"/>
              </w:rPr>
              <w:t>-14</w:t>
            </w:r>
          </w:p>
        </w:tc>
      </w:tr>
      <w:tr w:rsidR="00B64109" w:rsidRPr="00C259E0" w14:paraId="2EF4F0E8" w14:textId="77777777" w:rsidTr="000C197F">
        <w:tc>
          <w:tcPr>
            <w:tcW w:w="474" w:type="dxa"/>
          </w:tcPr>
          <w:p w14:paraId="119BC694" w14:textId="77777777" w:rsidR="00B64109" w:rsidRPr="00C259E0" w:rsidRDefault="00B64109">
            <w:pPr>
              <w:rPr>
                <w:rFonts w:ascii="Verdana" w:hAnsi="Verdana" w:cs="Arial"/>
                <w:sz w:val="24"/>
                <w:szCs w:val="24"/>
              </w:rPr>
            </w:pPr>
          </w:p>
        </w:tc>
        <w:tc>
          <w:tcPr>
            <w:tcW w:w="7034" w:type="dxa"/>
          </w:tcPr>
          <w:p w14:paraId="56130917" w14:textId="0EC7B19B" w:rsidR="00B64109" w:rsidRPr="00C259E0" w:rsidRDefault="00B64109" w:rsidP="00501F0F">
            <w:pPr>
              <w:pStyle w:val="ListParagraph"/>
              <w:ind w:left="325" w:hanging="325"/>
              <w:rPr>
                <w:rFonts w:ascii="Verdana" w:hAnsi="Verdana" w:cs="Arial"/>
                <w:sz w:val="24"/>
                <w:szCs w:val="24"/>
              </w:rPr>
            </w:pPr>
            <w:r w:rsidRPr="00C259E0">
              <w:rPr>
                <w:rFonts w:ascii="Verdana" w:hAnsi="Verdana" w:cs="Arial"/>
                <w:sz w:val="24"/>
                <w:szCs w:val="24"/>
              </w:rPr>
              <w:t xml:space="preserve">3.1    </w:t>
            </w:r>
            <w:r w:rsidR="001B7F43">
              <w:rPr>
                <w:rFonts w:ascii="Verdana" w:hAnsi="Verdana" w:cs="Arial"/>
                <w:sz w:val="24"/>
                <w:szCs w:val="24"/>
              </w:rPr>
              <w:t>Audit Plan</w:t>
            </w:r>
            <w:r w:rsidRPr="00C259E0">
              <w:rPr>
                <w:rFonts w:ascii="Verdana" w:hAnsi="Verdana" w:cs="Arial"/>
                <w:sz w:val="24"/>
                <w:szCs w:val="24"/>
              </w:rPr>
              <w:t xml:space="preserve">  </w:t>
            </w:r>
          </w:p>
          <w:p w14:paraId="2848971B" w14:textId="779F7B8E" w:rsidR="00501F0F" w:rsidRPr="00C259E0" w:rsidRDefault="00B64109" w:rsidP="00501F0F">
            <w:pPr>
              <w:pStyle w:val="ListParagraph"/>
              <w:ind w:left="325" w:hanging="325"/>
              <w:rPr>
                <w:rFonts w:ascii="Verdana" w:hAnsi="Verdana" w:cs="Arial"/>
                <w:sz w:val="24"/>
                <w:szCs w:val="24"/>
              </w:rPr>
            </w:pPr>
            <w:r w:rsidRPr="00C259E0">
              <w:rPr>
                <w:rFonts w:ascii="Verdana" w:hAnsi="Verdana" w:cs="Arial"/>
                <w:sz w:val="24"/>
                <w:szCs w:val="24"/>
              </w:rPr>
              <w:t xml:space="preserve">3.2    </w:t>
            </w:r>
            <w:r w:rsidR="001B7F43">
              <w:rPr>
                <w:rFonts w:ascii="Verdana" w:hAnsi="Verdana" w:cs="Arial"/>
                <w:sz w:val="24"/>
                <w:szCs w:val="24"/>
              </w:rPr>
              <w:t>Additions to the Audit Programme</w:t>
            </w:r>
            <w:r w:rsidRPr="00C259E0">
              <w:rPr>
                <w:rFonts w:ascii="Verdana" w:hAnsi="Verdana" w:cs="Arial"/>
                <w:sz w:val="24"/>
                <w:szCs w:val="24"/>
              </w:rPr>
              <w:t xml:space="preserve">  </w:t>
            </w:r>
          </w:p>
          <w:p w14:paraId="201DDE14" w14:textId="6DB788DE" w:rsidR="00B64109" w:rsidRPr="00C259E0" w:rsidRDefault="00B64109">
            <w:pPr>
              <w:pStyle w:val="ListParagraph"/>
              <w:ind w:left="325" w:hanging="325"/>
              <w:rPr>
                <w:rFonts w:ascii="Verdana" w:hAnsi="Verdana" w:cs="Arial"/>
                <w:sz w:val="24"/>
                <w:szCs w:val="24"/>
              </w:rPr>
            </w:pPr>
          </w:p>
        </w:tc>
        <w:tc>
          <w:tcPr>
            <w:tcW w:w="284" w:type="dxa"/>
          </w:tcPr>
          <w:p w14:paraId="02ADCDCB" w14:textId="77777777" w:rsidR="00B64109" w:rsidRPr="00C259E0" w:rsidRDefault="00B64109" w:rsidP="0033323C">
            <w:pPr>
              <w:rPr>
                <w:rFonts w:ascii="Verdana" w:hAnsi="Verdana" w:cs="Arial"/>
                <w:sz w:val="24"/>
                <w:szCs w:val="24"/>
              </w:rPr>
            </w:pPr>
          </w:p>
        </w:tc>
        <w:tc>
          <w:tcPr>
            <w:tcW w:w="1280" w:type="dxa"/>
          </w:tcPr>
          <w:p w14:paraId="34DD7597" w14:textId="540298D4" w:rsidR="00B64109" w:rsidRPr="00C259E0" w:rsidRDefault="00B64109" w:rsidP="0033323C">
            <w:pPr>
              <w:rPr>
                <w:rFonts w:ascii="Verdana" w:hAnsi="Verdana" w:cs="Arial"/>
                <w:sz w:val="24"/>
                <w:szCs w:val="24"/>
              </w:rPr>
            </w:pPr>
          </w:p>
        </w:tc>
      </w:tr>
      <w:tr w:rsidR="00B64109" w:rsidRPr="00FC2C90" w14:paraId="0ADA3BBE" w14:textId="77777777" w:rsidTr="000C197F">
        <w:trPr>
          <w:trHeight w:val="350"/>
        </w:trPr>
        <w:tc>
          <w:tcPr>
            <w:tcW w:w="474" w:type="dxa"/>
          </w:tcPr>
          <w:p w14:paraId="0FB6B1F5" w14:textId="2D3699E7" w:rsidR="00B64109" w:rsidRPr="00FC2C90" w:rsidRDefault="00B64109">
            <w:pPr>
              <w:rPr>
                <w:rFonts w:ascii="Verdana" w:hAnsi="Verdana" w:cs="Arial"/>
                <w:b/>
                <w:sz w:val="24"/>
                <w:szCs w:val="24"/>
              </w:rPr>
            </w:pPr>
            <w:r w:rsidRPr="00FC2C90">
              <w:rPr>
                <w:rFonts w:ascii="Verdana" w:hAnsi="Verdana" w:cs="Arial"/>
                <w:b/>
                <w:sz w:val="24"/>
                <w:szCs w:val="24"/>
              </w:rPr>
              <w:t>4.</w:t>
            </w:r>
          </w:p>
        </w:tc>
        <w:tc>
          <w:tcPr>
            <w:tcW w:w="7034" w:type="dxa"/>
          </w:tcPr>
          <w:p w14:paraId="6ED5CEA1" w14:textId="66E069EF" w:rsidR="00B64109" w:rsidRPr="00FC2C90" w:rsidRDefault="00B64109">
            <w:pPr>
              <w:rPr>
                <w:rFonts w:ascii="Verdana" w:hAnsi="Verdana" w:cs="Arial"/>
                <w:b/>
                <w:sz w:val="36"/>
                <w:szCs w:val="36"/>
              </w:rPr>
            </w:pPr>
            <w:r w:rsidRPr="00FC2C90">
              <w:rPr>
                <w:rFonts w:ascii="Verdana" w:hAnsi="Verdana" w:cs="Arial"/>
                <w:b/>
                <w:sz w:val="24"/>
                <w:szCs w:val="24"/>
              </w:rPr>
              <w:t xml:space="preserve">Mortality   </w:t>
            </w:r>
          </w:p>
        </w:tc>
        <w:tc>
          <w:tcPr>
            <w:tcW w:w="284" w:type="dxa"/>
          </w:tcPr>
          <w:p w14:paraId="78108086" w14:textId="77777777" w:rsidR="00B64109" w:rsidRPr="00FC2C90" w:rsidRDefault="00B64109" w:rsidP="008E24E4">
            <w:pPr>
              <w:rPr>
                <w:rFonts w:ascii="Verdana" w:hAnsi="Verdana" w:cs="Arial"/>
                <w:bCs/>
                <w:sz w:val="24"/>
                <w:szCs w:val="24"/>
              </w:rPr>
            </w:pPr>
          </w:p>
        </w:tc>
        <w:tc>
          <w:tcPr>
            <w:tcW w:w="1280" w:type="dxa"/>
          </w:tcPr>
          <w:p w14:paraId="1B64F365" w14:textId="0712B66A" w:rsidR="00B64109" w:rsidRPr="00FC2C90" w:rsidRDefault="00893A4D" w:rsidP="008E24E4">
            <w:pPr>
              <w:rPr>
                <w:rFonts w:ascii="Verdana" w:hAnsi="Verdana" w:cs="Arial"/>
                <w:bCs/>
                <w:sz w:val="36"/>
                <w:szCs w:val="36"/>
              </w:rPr>
            </w:pPr>
            <w:r>
              <w:rPr>
                <w:rFonts w:ascii="Verdana" w:hAnsi="Verdana" w:cs="Arial"/>
                <w:bCs/>
                <w:sz w:val="24"/>
                <w:szCs w:val="24"/>
              </w:rPr>
              <w:t>14-17</w:t>
            </w:r>
          </w:p>
        </w:tc>
      </w:tr>
      <w:tr w:rsidR="00B64109" w:rsidRPr="00FC2C90" w14:paraId="115C8A3A" w14:textId="77777777" w:rsidTr="000C197F">
        <w:tc>
          <w:tcPr>
            <w:tcW w:w="474" w:type="dxa"/>
          </w:tcPr>
          <w:p w14:paraId="71329786" w14:textId="77777777" w:rsidR="00B64109" w:rsidRPr="00FC2C90" w:rsidRDefault="00B64109">
            <w:pPr>
              <w:rPr>
                <w:rFonts w:ascii="Verdana" w:hAnsi="Verdana" w:cs="Arial"/>
                <w:b/>
                <w:sz w:val="24"/>
                <w:szCs w:val="24"/>
              </w:rPr>
            </w:pPr>
          </w:p>
        </w:tc>
        <w:tc>
          <w:tcPr>
            <w:tcW w:w="7034" w:type="dxa"/>
          </w:tcPr>
          <w:p w14:paraId="3BC24D60" w14:textId="77777777" w:rsidR="00B64109" w:rsidRDefault="00B64109">
            <w:pPr>
              <w:pStyle w:val="ListParagraph"/>
              <w:ind w:left="325" w:hanging="325"/>
              <w:rPr>
                <w:rFonts w:ascii="Verdana" w:hAnsi="Verdana" w:cs="Arial"/>
                <w:sz w:val="24"/>
                <w:szCs w:val="24"/>
              </w:rPr>
            </w:pPr>
            <w:r>
              <w:rPr>
                <w:rFonts w:ascii="Verdana" w:hAnsi="Verdana" w:cs="Arial"/>
                <w:sz w:val="24"/>
                <w:szCs w:val="24"/>
              </w:rPr>
              <w:t>4</w:t>
            </w:r>
            <w:r w:rsidRPr="00FC2C90">
              <w:rPr>
                <w:rFonts w:ascii="Verdana" w:hAnsi="Verdana" w:cs="Arial"/>
                <w:sz w:val="24"/>
                <w:szCs w:val="24"/>
              </w:rPr>
              <w:t xml:space="preserve">.1   Medical Examiners Service and Mortality Reviews </w:t>
            </w:r>
          </w:p>
          <w:p w14:paraId="0068B272" w14:textId="13F28D34" w:rsidR="004434EE" w:rsidRDefault="00B64109">
            <w:pPr>
              <w:pStyle w:val="ListParagraph"/>
              <w:ind w:left="325" w:hanging="325"/>
              <w:rPr>
                <w:rFonts w:ascii="Verdana" w:hAnsi="Verdana" w:cs="Arial"/>
                <w:sz w:val="24"/>
                <w:szCs w:val="24"/>
              </w:rPr>
            </w:pPr>
            <w:r>
              <w:rPr>
                <w:rFonts w:ascii="Verdana" w:hAnsi="Verdana" w:cs="Arial"/>
                <w:sz w:val="24"/>
                <w:szCs w:val="24"/>
              </w:rPr>
              <w:t>4.2   Deaths and Referrals 2024/25</w:t>
            </w:r>
          </w:p>
          <w:p w14:paraId="3CEBF607" w14:textId="2E003D72" w:rsidR="00B64109" w:rsidRPr="00FC2C90" w:rsidRDefault="00B64109">
            <w:pPr>
              <w:pStyle w:val="ListParagraph"/>
              <w:ind w:left="325" w:hanging="325"/>
              <w:rPr>
                <w:rFonts w:ascii="Verdana" w:hAnsi="Verdana" w:cs="Arial"/>
                <w:b/>
                <w:sz w:val="24"/>
                <w:szCs w:val="24"/>
              </w:rPr>
            </w:pPr>
          </w:p>
        </w:tc>
        <w:tc>
          <w:tcPr>
            <w:tcW w:w="284" w:type="dxa"/>
          </w:tcPr>
          <w:p w14:paraId="4F8337BF" w14:textId="77777777" w:rsidR="00B64109" w:rsidRPr="00FC2C90" w:rsidRDefault="00B64109">
            <w:pPr>
              <w:jc w:val="center"/>
              <w:rPr>
                <w:rFonts w:ascii="Verdana" w:hAnsi="Verdana" w:cs="Arial"/>
                <w:b/>
                <w:sz w:val="24"/>
                <w:szCs w:val="24"/>
              </w:rPr>
            </w:pPr>
          </w:p>
        </w:tc>
        <w:tc>
          <w:tcPr>
            <w:tcW w:w="1280" w:type="dxa"/>
          </w:tcPr>
          <w:p w14:paraId="434A383E" w14:textId="2C1F8021" w:rsidR="00B64109" w:rsidRPr="00FC2C90" w:rsidRDefault="00B64109">
            <w:pPr>
              <w:jc w:val="center"/>
              <w:rPr>
                <w:rFonts w:ascii="Verdana" w:hAnsi="Verdana" w:cs="Arial"/>
                <w:b/>
                <w:sz w:val="24"/>
                <w:szCs w:val="24"/>
              </w:rPr>
            </w:pPr>
          </w:p>
        </w:tc>
      </w:tr>
      <w:tr w:rsidR="00B64109" w:rsidRPr="00FC2C90" w14:paraId="30AB6F7D" w14:textId="77777777" w:rsidTr="000C197F">
        <w:trPr>
          <w:trHeight w:val="350"/>
        </w:trPr>
        <w:tc>
          <w:tcPr>
            <w:tcW w:w="474" w:type="dxa"/>
          </w:tcPr>
          <w:p w14:paraId="2FD8734C" w14:textId="1D07A42D" w:rsidR="00B64109" w:rsidRPr="00FC2C90" w:rsidRDefault="00B64109" w:rsidP="004E1D3E">
            <w:pPr>
              <w:rPr>
                <w:rFonts w:ascii="Verdana" w:hAnsi="Verdana" w:cs="Arial"/>
                <w:b/>
                <w:sz w:val="24"/>
                <w:szCs w:val="24"/>
              </w:rPr>
            </w:pPr>
            <w:r>
              <w:rPr>
                <w:rFonts w:ascii="Verdana" w:hAnsi="Verdana" w:cs="Arial"/>
                <w:b/>
                <w:sz w:val="24"/>
                <w:szCs w:val="24"/>
              </w:rPr>
              <w:t>5</w:t>
            </w:r>
            <w:r w:rsidRPr="00FC2C90">
              <w:rPr>
                <w:rFonts w:ascii="Verdana" w:hAnsi="Verdana" w:cs="Arial"/>
                <w:b/>
                <w:sz w:val="24"/>
                <w:szCs w:val="24"/>
              </w:rPr>
              <w:t>.</w:t>
            </w:r>
          </w:p>
        </w:tc>
        <w:tc>
          <w:tcPr>
            <w:tcW w:w="7034" w:type="dxa"/>
          </w:tcPr>
          <w:p w14:paraId="1DCBFAB6" w14:textId="34580987" w:rsidR="00B64109" w:rsidRPr="00FC2C90" w:rsidRDefault="00B64109" w:rsidP="004E1D3E">
            <w:pPr>
              <w:rPr>
                <w:rFonts w:ascii="Verdana" w:hAnsi="Verdana" w:cs="Arial"/>
                <w:b/>
                <w:sz w:val="36"/>
                <w:szCs w:val="36"/>
              </w:rPr>
            </w:pPr>
            <w:r>
              <w:rPr>
                <w:rFonts w:ascii="Verdana" w:hAnsi="Verdana" w:cs="Arial"/>
                <w:b/>
                <w:sz w:val="24"/>
                <w:szCs w:val="24"/>
              </w:rPr>
              <w:t>Useful Links and Contacts</w:t>
            </w:r>
          </w:p>
        </w:tc>
        <w:tc>
          <w:tcPr>
            <w:tcW w:w="284" w:type="dxa"/>
          </w:tcPr>
          <w:p w14:paraId="355DD243" w14:textId="77777777" w:rsidR="00B64109" w:rsidRPr="00FC2C90" w:rsidRDefault="00B64109" w:rsidP="004E1D3E">
            <w:pPr>
              <w:rPr>
                <w:rFonts w:ascii="Verdana" w:hAnsi="Verdana" w:cs="Arial"/>
                <w:bCs/>
                <w:sz w:val="24"/>
                <w:szCs w:val="24"/>
              </w:rPr>
            </w:pPr>
          </w:p>
        </w:tc>
        <w:tc>
          <w:tcPr>
            <w:tcW w:w="1280" w:type="dxa"/>
          </w:tcPr>
          <w:p w14:paraId="6B582C61" w14:textId="2301B7BD" w:rsidR="00B64109" w:rsidRPr="00B64109" w:rsidRDefault="00893A4D" w:rsidP="004E1D3E">
            <w:pPr>
              <w:rPr>
                <w:rFonts w:ascii="Verdana" w:hAnsi="Verdana" w:cs="Arial"/>
                <w:bCs/>
                <w:sz w:val="24"/>
                <w:szCs w:val="24"/>
              </w:rPr>
            </w:pPr>
            <w:r>
              <w:rPr>
                <w:rFonts w:ascii="Verdana" w:hAnsi="Verdana" w:cs="Arial"/>
                <w:bCs/>
                <w:sz w:val="24"/>
                <w:szCs w:val="24"/>
              </w:rPr>
              <w:t>17</w:t>
            </w:r>
          </w:p>
        </w:tc>
      </w:tr>
      <w:tr w:rsidR="000C197F" w:rsidRPr="00FC2C90" w14:paraId="2F8AE8ED" w14:textId="77777777" w:rsidTr="000C197F">
        <w:trPr>
          <w:trHeight w:val="350"/>
        </w:trPr>
        <w:tc>
          <w:tcPr>
            <w:tcW w:w="474" w:type="dxa"/>
          </w:tcPr>
          <w:p w14:paraId="076D8111" w14:textId="3C7854F0" w:rsidR="000C197F" w:rsidRDefault="000C197F" w:rsidP="004E1D3E">
            <w:pPr>
              <w:rPr>
                <w:rFonts w:ascii="Verdana" w:hAnsi="Verdana" w:cs="Arial"/>
                <w:b/>
                <w:sz w:val="24"/>
                <w:szCs w:val="24"/>
              </w:rPr>
            </w:pPr>
          </w:p>
        </w:tc>
        <w:tc>
          <w:tcPr>
            <w:tcW w:w="7034" w:type="dxa"/>
          </w:tcPr>
          <w:p w14:paraId="0EFD18FC" w14:textId="77777777" w:rsidR="000C197F" w:rsidRDefault="000C197F" w:rsidP="004E1D3E">
            <w:pPr>
              <w:rPr>
                <w:rFonts w:ascii="Verdana" w:hAnsi="Verdana" w:cs="Arial"/>
                <w:b/>
                <w:sz w:val="24"/>
                <w:szCs w:val="24"/>
              </w:rPr>
            </w:pPr>
          </w:p>
        </w:tc>
        <w:tc>
          <w:tcPr>
            <w:tcW w:w="284" w:type="dxa"/>
          </w:tcPr>
          <w:p w14:paraId="1EB42AAE" w14:textId="77777777" w:rsidR="000C197F" w:rsidRPr="00FC2C90" w:rsidRDefault="000C197F" w:rsidP="004E1D3E">
            <w:pPr>
              <w:rPr>
                <w:rFonts w:ascii="Verdana" w:hAnsi="Verdana" w:cs="Arial"/>
                <w:bCs/>
                <w:sz w:val="24"/>
                <w:szCs w:val="24"/>
              </w:rPr>
            </w:pPr>
          </w:p>
        </w:tc>
        <w:tc>
          <w:tcPr>
            <w:tcW w:w="1280" w:type="dxa"/>
          </w:tcPr>
          <w:p w14:paraId="00D6125B" w14:textId="77777777" w:rsidR="000C197F" w:rsidRDefault="000C197F" w:rsidP="004E1D3E">
            <w:pPr>
              <w:rPr>
                <w:rFonts w:ascii="Verdana" w:hAnsi="Verdana" w:cs="Arial"/>
                <w:bCs/>
                <w:sz w:val="24"/>
                <w:szCs w:val="24"/>
              </w:rPr>
            </w:pPr>
          </w:p>
        </w:tc>
      </w:tr>
      <w:tr w:rsidR="00B64109" w:rsidRPr="00FC2C90" w14:paraId="3F3AE4E3" w14:textId="77777777" w:rsidTr="000C197F">
        <w:tc>
          <w:tcPr>
            <w:tcW w:w="474" w:type="dxa"/>
          </w:tcPr>
          <w:p w14:paraId="1F64394B" w14:textId="0FE18088" w:rsidR="00B64109" w:rsidRDefault="000C197F">
            <w:pPr>
              <w:rPr>
                <w:rFonts w:ascii="Verdana" w:hAnsi="Verdana" w:cs="Arial"/>
                <w:b/>
                <w:sz w:val="24"/>
                <w:szCs w:val="24"/>
              </w:rPr>
            </w:pPr>
            <w:r>
              <w:rPr>
                <w:rFonts w:ascii="Verdana" w:hAnsi="Verdana" w:cs="Arial"/>
                <w:b/>
                <w:sz w:val="24"/>
                <w:szCs w:val="24"/>
              </w:rPr>
              <w:t>6.</w:t>
            </w:r>
          </w:p>
          <w:p w14:paraId="262F9589" w14:textId="06F712BF" w:rsidR="00B64109" w:rsidRPr="00FC2C90" w:rsidRDefault="00B64109">
            <w:pPr>
              <w:rPr>
                <w:rFonts w:ascii="Verdana" w:hAnsi="Verdana" w:cs="Arial"/>
                <w:b/>
                <w:sz w:val="24"/>
                <w:szCs w:val="24"/>
              </w:rPr>
            </w:pPr>
          </w:p>
        </w:tc>
        <w:tc>
          <w:tcPr>
            <w:tcW w:w="7034" w:type="dxa"/>
          </w:tcPr>
          <w:p w14:paraId="0A8860AB" w14:textId="5B3C50B0" w:rsidR="00B64109" w:rsidRPr="00B64109" w:rsidRDefault="000C197F" w:rsidP="00B64109">
            <w:pPr>
              <w:rPr>
                <w:rFonts w:ascii="Verdana" w:hAnsi="Verdana" w:cs="Arial"/>
                <w:b/>
                <w:bCs/>
                <w:sz w:val="24"/>
                <w:szCs w:val="24"/>
              </w:rPr>
            </w:pPr>
            <w:r>
              <w:rPr>
                <w:rFonts w:ascii="Verdana" w:hAnsi="Verdana" w:cs="Arial"/>
                <w:b/>
                <w:bCs/>
                <w:sz w:val="24"/>
                <w:szCs w:val="24"/>
              </w:rPr>
              <w:t>Appendices</w:t>
            </w:r>
            <w:r w:rsidR="00B64109" w:rsidRPr="00B64109">
              <w:rPr>
                <w:rFonts w:ascii="Verdana" w:hAnsi="Verdana" w:cs="Arial"/>
                <w:b/>
                <w:bCs/>
                <w:sz w:val="24"/>
                <w:szCs w:val="24"/>
              </w:rPr>
              <w:t xml:space="preserve">                                                                            </w:t>
            </w:r>
          </w:p>
        </w:tc>
        <w:tc>
          <w:tcPr>
            <w:tcW w:w="284" w:type="dxa"/>
          </w:tcPr>
          <w:p w14:paraId="785BBFA0" w14:textId="77777777" w:rsidR="00B64109" w:rsidRPr="00FC2C90" w:rsidRDefault="00B64109">
            <w:pPr>
              <w:jc w:val="center"/>
              <w:rPr>
                <w:rFonts w:ascii="Verdana" w:hAnsi="Verdana" w:cs="Arial"/>
                <w:b/>
                <w:sz w:val="24"/>
                <w:szCs w:val="24"/>
              </w:rPr>
            </w:pPr>
          </w:p>
        </w:tc>
        <w:tc>
          <w:tcPr>
            <w:tcW w:w="1280" w:type="dxa"/>
          </w:tcPr>
          <w:p w14:paraId="2CF146EE" w14:textId="204C1F30" w:rsidR="00B64109" w:rsidRPr="000C197F" w:rsidRDefault="000C197F" w:rsidP="000C197F">
            <w:pPr>
              <w:rPr>
                <w:rFonts w:ascii="Verdana" w:hAnsi="Verdana" w:cs="Arial"/>
                <w:bCs/>
                <w:sz w:val="24"/>
                <w:szCs w:val="24"/>
              </w:rPr>
            </w:pPr>
            <w:r w:rsidRPr="000C197F">
              <w:rPr>
                <w:rFonts w:ascii="Verdana" w:hAnsi="Verdana" w:cs="Arial"/>
                <w:bCs/>
                <w:sz w:val="24"/>
                <w:szCs w:val="24"/>
              </w:rPr>
              <w:t>18-3</w:t>
            </w:r>
            <w:r w:rsidR="007A67BE">
              <w:rPr>
                <w:rFonts w:ascii="Verdana" w:hAnsi="Verdana" w:cs="Arial"/>
                <w:bCs/>
                <w:sz w:val="24"/>
                <w:szCs w:val="24"/>
              </w:rPr>
              <w:t>2</w:t>
            </w:r>
          </w:p>
        </w:tc>
      </w:tr>
    </w:tbl>
    <w:p w14:paraId="3756A31A" w14:textId="77777777" w:rsidR="00893A4D" w:rsidRDefault="00893A4D">
      <w:pPr>
        <w:rPr>
          <w:rFonts w:ascii="Verdana" w:hAnsi="Verdana" w:cs="Arial"/>
          <w:b/>
          <w:sz w:val="28"/>
          <w:szCs w:val="28"/>
        </w:rPr>
      </w:pPr>
    </w:p>
    <w:p w14:paraId="2DDDF4F9" w14:textId="77777777" w:rsidR="000C197F" w:rsidRDefault="000C197F">
      <w:pPr>
        <w:rPr>
          <w:rFonts w:ascii="Verdana" w:hAnsi="Verdana" w:cs="Arial"/>
          <w:b/>
          <w:sz w:val="28"/>
          <w:szCs w:val="28"/>
        </w:rPr>
      </w:pPr>
    </w:p>
    <w:p w14:paraId="05F3D0F3" w14:textId="39C3F6C0" w:rsidR="006D1E15" w:rsidRPr="00FC2C90" w:rsidRDefault="006D1E15">
      <w:pPr>
        <w:rPr>
          <w:rFonts w:ascii="Verdana" w:hAnsi="Verdana" w:cs="Arial"/>
          <w:b/>
          <w:sz w:val="28"/>
          <w:szCs w:val="28"/>
        </w:rPr>
      </w:pPr>
      <w:r w:rsidRPr="00FC2C90">
        <w:rPr>
          <w:rFonts w:ascii="Verdana" w:hAnsi="Verdana" w:cs="Arial"/>
          <w:b/>
          <w:sz w:val="28"/>
          <w:szCs w:val="28"/>
        </w:rPr>
        <w:lastRenderedPageBreak/>
        <w:t>Foreword</w:t>
      </w:r>
    </w:p>
    <w:p w14:paraId="1702D0D6" w14:textId="77777777" w:rsidR="00DD2A23" w:rsidRPr="00DD2A23" w:rsidRDefault="00DD2A23" w:rsidP="00DD2A23">
      <w:pPr>
        <w:spacing w:after="0" w:line="240" w:lineRule="auto"/>
        <w:rPr>
          <w:rFonts w:ascii="Verdana" w:eastAsia="Times New Roman" w:hAnsi="Verdana" w:cs="Segoe UI"/>
          <w:sz w:val="24"/>
          <w:szCs w:val="24"/>
          <w:lang w:eastAsia="en-GB"/>
        </w:rPr>
      </w:pPr>
      <w:r w:rsidRPr="00DD2A23">
        <w:rPr>
          <w:rFonts w:ascii="Verdana" w:eastAsia="Times New Roman" w:hAnsi="Verdana" w:cs="Segoe UI"/>
          <w:sz w:val="24"/>
          <w:szCs w:val="24"/>
          <w:lang w:eastAsia="en-GB"/>
        </w:rPr>
        <w:t>Clinical outcomes and effectiveness remain a core component of the Health Board’s quality governance arrangements, enabling assurance that services are delivering care in line with agreed standards and identifying opportunities for improvement. During 2025–26, clinical audit activity, mortality reviews, and monitoring of compliance with key national guidance have continued to provide both assurance and learning across acute, specialist, community, and mental health services.</w:t>
      </w:r>
    </w:p>
    <w:p w14:paraId="6BE1BCCA" w14:textId="77777777" w:rsidR="00DD2A23" w:rsidRDefault="00DD2A23" w:rsidP="00DD2A23">
      <w:pPr>
        <w:spacing w:after="0" w:line="240" w:lineRule="auto"/>
        <w:rPr>
          <w:rFonts w:ascii="Verdana" w:eastAsia="Times New Roman" w:hAnsi="Verdana" w:cs="Segoe UI"/>
          <w:b/>
          <w:bCs/>
          <w:sz w:val="24"/>
          <w:szCs w:val="24"/>
          <w:lang w:eastAsia="en-GB"/>
        </w:rPr>
      </w:pPr>
    </w:p>
    <w:p w14:paraId="621267A6" w14:textId="736B0668" w:rsidR="00DD2A23" w:rsidRPr="00DD2A23" w:rsidRDefault="00DD2A23" w:rsidP="00DD2A23">
      <w:pPr>
        <w:spacing w:after="0" w:line="240" w:lineRule="auto"/>
        <w:rPr>
          <w:rFonts w:ascii="Verdana" w:eastAsia="Times New Roman" w:hAnsi="Verdana" w:cs="Segoe UI"/>
          <w:sz w:val="24"/>
          <w:szCs w:val="24"/>
          <w:lang w:eastAsia="en-GB"/>
        </w:rPr>
      </w:pPr>
      <w:r w:rsidRPr="00DD2A23">
        <w:rPr>
          <w:rFonts w:ascii="Verdana" w:eastAsia="Times New Roman" w:hAnsi="Verdana" w:cs="Segoe UI"/>
          <w:sz w:val="24"/>
          <w:szCs w:val="24"/>
          <w:lang w:eastAsia="en-GB"/>
        </w:rPr>
        <w:t>This year’s Annual Report demonstrates a clear strengthening of clinical audit assurance across the organisation. Compared with the previous year, there has been a marked improvement in the completion, visibility, and ownership of audit outcomes, supported by the full implementation of the Clinical Audit App. Risks identified through audit are increasingly associated with demand</w:t>
      </w:r>
      <w:r w:rsidRPr="00DD2A23">
        <w:rPr>
          <w:rFonts w:ascii="Verdana" w:eastAsia="Times New Roman" w:hAnsi="Verdana" w:cs="Segoe UI"/>
          <w:sz w:val="24"/>
          <w:szCs w:val="24"/>
          <w:lang w:eastAsia="en-GB"/>
        </w:rPr>
        <w:noBreakHyphen/>
        <w:t>pressured pathways rather than failures in governance, with re</w:t>
      </w:r>
      <w:r w:rsidRPr="00DD2A23">
        <w:rPr>
          <w:rFonts w:ascii="Verdana" w:eastAsia="Times New Roman" w:hAnsi="Verdana" w:cs="Segoe UI"/>
          <w:sz w:val="24"/>
          <w:szCs w:val="24"/>
          <w:lang w:eastAsia="en-GB"/>
        </w:rPr>
        <w:noBreakHyphen/>
        <w:t>audit and Quality Improvement activity appropriately and proportionately triggered where required.</w:t>
      </w:r>
    </w:p>
    <w:p w14:paraId="754F0476" w14:textId="77777777" w:rsidR="00DD2A23" w:rsidRDefault="00DD2A23" w:rsidP="00DD2A23">
      <w:pPr>
        <w:spacing w:after="0" w:line="240" w:lineRule="auto"/>
        <w:rPr>
          <w:rFonts w:ascii="Verdana" w:eastAsia="Times New Roman" w:hAnsi="Verdana" w:cs="Segoe UI"/>
          <w:sz w:val="24"/>
          <w:szCs w:val="24"/>
          <w:lang w:eastAsia="en-GB"/>
        </w:rPr>
      </w:pPr>
    </w:p>
    <w:p w14:paraId="771F3733" w14:textId="2FCA0C85" w:rsidR="00DD2A23" w:rsidRPr="00DD2A23" w:rsidRDefault="00DD2A23" w:rsidP="00DD2A23">
      <w:pPr>
        <w:spacing w:after="0" w:line="240" w:lineRule="auto"/>
        <w:rPr>
          <w:rFonts w:ascii="Verdana" w:eastAsia="Times New Roman" w:hAnsi="Verdana" w:cs="Segoe UI"/>
          <w:sz w:val="24"/>
          <w:szCs w:val="24"/>
          <w:lang w:eastAsia="en-GB"/>
        </w:rPr>
      </w:pPr>
      <w:r w:rsidRPr="00DD2A23">
        <w:rPr>
          <w:rFonts w:ascii="Verdana" w:eastAsia="Times New Roman" w:hAnsi="Verdana" w:cs="Segoe UI"/>
          <w:sz w:val="24"/>
          <w:szCs w:val="24"/>
          <w:lang w:eastAsia="en-GB"/>
        </w:rPr>
        <w:t>A key development this year has been the increased use of digital approaches to support the delivery and oversight of clinical outcomes and effectiveness work. Enhanced audit submission and reporting tools have enabled more timely capture of outcomes, clearer documentation of actions, and improved visibility of risk and residual assurance at both Service Group and organisational level, strengthening oversight and supporting more consistent monitoring of progress.</w:t>
      </w:r>
    </w:p>
    <w:p w14:paraId="014E3168" w14:textId="77777777" w:rsidR="00DD2A23" w:rsidRDefault="00DD2A23" w:rsidP="00DD2A23">
      <w:pPr>
        <w:spacing w:after="0" w:line="240" w:lineRule="auto"/>
        <w:rPr>
          <w:rFonts w:ascii="Verdana" w:eastAsia="Times New Roman" w:hAnsi="Verdana" w:cs="Segoe UI"/>
          <w:sz w:val="24"/>
          <w:szCs w:val="24"/>
          <w:lang w:eastAsia="en-GB"/>
        </w:rPr>
      </w:pPr>
    </w:p>
    <w:p w14:paraId="5071B1F5" w14:textId="77777777" w:rsidR="00B814FB" w:rsidRDefault="00DD2A23" w:rsidP="00DD2A23">
      <w:pPr>
        <w:spacing w:after="0" w:line="240" w:lineRule="auto"/>
        <w:rPr>
          <w:rFonts w:ascii="Verdana" w:eastAsia="Times New Roman" w:hAnsi="Verdana" w:cs="Segoe UI"/>
          <w:sz w:val="24"/>
          <w:szCs w:val="24"/>
          <w:lang w:eastAsia="en-GB"/>
        </w:rPr>
      </w:pPr>
      <w:r w:rsidRPr="00DD2A23">
        <w:rPr>
          <w:rFonts w:ascii="Verdana" w:eastAsia="Times New Roman" w:hAnsi="Verdana" w:cs="Segoe UI"/>
          <w:sz w:val="24"/>
          <w:szCs w:val="24"/>
          <w:lang w:eastAsia="en-GB"/>
        </w:rPr>
        <w:t>The two</w:t>
      </w:r>
      <w:r w:rsidRPr="00DD2A23">
        <w:rPr>
          <w:rFonts w:ascii="Verdana" w:eastAsia="Times New Roman" w:hAnsi="Verdana" w:cs="Segoe UI"/>
          <w:sz w:val="24"/>
          <w:szCs w:val="24"/>
          <w:lang w:eastAsia="en-GB"/>
        </w:rPr>
        <w:noBreakHyphen/>
        <w:t>year clinical audit programme approach is now established and has enabled more realistic end</w:t>
      </w:r>
      <w:r w:rsidRPr="00DD2A23">
        <w:rPr>
          <w:rFonts w:ascii="Verdana" w:eastAsia="Times New Roman" w:hAnsi="Verdana" w:cs="Segoe UI"/>
          <w:sz w:val="24"/>
          <w:szCs w:val="24"/>
          <w:lang w:eastAsia="en-GB"/>
        </w:rPr>
        <w:noBreakHyphen/>
        <w:t>to</w:t>
      </w:r>
      <w:r w:rsidRPr="00DD2A23">
        <w:rPr>
          <w:rFonts w:ascii="Verdana" w:eastAsia="Times New Roman" w:hAnsi="Verdana" w:cs="Segoe UI"/>
          <w:sz w:val="24"/>
          <w:szCs w:val="24"/>
          <w:lang w:eastAsia="en-GB"/>
        </w:rPr>
        <w:noBreakHyphen/>
        <w:t>end completion of audits, from data collection through to action implementation and re</w:t>
      </w:r>
      <w:r w:rsidRPr="00DD2A23">
        <w:rPr>
          <w:rFonts w:ascii="Verdana" w:eastAsia="Times New Roman" w:hAnsi="Verdana" w:cs="Segoe UI"/>
          <w:sz w:val="24"/>
          <w:szCs w:val="24"/>
          <w:lang w:eastAsia="en-GB"/>
        </w:rPr>
        <w:noBreakHyphen/>
        <w:t xml:space="preserve">evaluation. In parallel, the continued use of a standardised digital presentation template for Service Group updates to the Clinical Outcomes and Effectiveness Group (COEG) has improved consistency, comparability, and focus across audit plan progress, mortality reviews, and responses to key national guidance. </w:t>
      </w:r>
    </w:p>
    <w:p w14:paraId="7EC7986B" w14:textId="77777777" w:rsidR="00B814FB" w:rsidRDefault="00B814FB" w:rsidP="00DD2A23">
      <w:pPr>
        <w:spacing w:after="0" w:line="240" w:lineRule="auto"/>
        <w:rPr>
          <w:rFonts w:ascii="Verdana" w:eastAsia="Times New Roman" w:hAnsi="Verdana" w:cs="Segoe UI"/>
          <w:sz w:val="24"/>
          <w:szCs w:val="24"/>
          <w:lang w:eastAsia="en-GB"/>
        </w:rPr>
      </w:pPr>
    </w:p>
    <w:p w14:paraId="03958EF3" w14:textId="34C4D90D" w:rsidR="00DD2A23" w:rsidRPr="00DD2A23" w:rsidRDefault="00DD2A23" w:rsidP="00DD2A23">
      <w:pPr>
        <w:spacing w:after="0" w:line="240" w:lineRule="auto"/>
        <w:rPr>
          <w:rFonts w:ascii="Verdana" w:eastAsia="Times New Roman" w:hAnsi="Verdana" w:cs="Segoe UI"/>
          <w:sz w:val="24"/>
          <w:szCs w:val="24"/>
          <w:lang w:eastAsia="en-GB"/>
        </w:rPr>
      </w:pPr>
      <w:r w:rsidRPr="00DD2A23">
        <w:rPr>
          <w:rFonts w:ascii="Verdana" w:eastAsia="Times New Roman" w:hAnsi="Verdana" w:cs="Segoe UI"/>
          <w:sz w:val="24"/>
          <w:szCs w:val="24"/>
          <w:lang w:eastAsia="en-GB"/>
        </w:rPr>
        <w:t>Together, these approaches have supported clearer articulation of learning, benchmarking, and the impact of change where re</w:t>
      </w:r>
      <w:r w:rsidRPr="00DD2A23">
        <w:rPr>
          <w:rFonts w:ascii="Verdana" w:eastAsia="Times New Roman" w:hAnsi="Verdana" w:cs="Segoe UI"/>
          <w:sz w:val="24"/>
          <w:szCs w:val="24"/>
          <w:lang w:eastAsia="en-GB"/>
        </w:rPr>
        <w:noBreakHyphen/>
        <w:t>audit or Quality Improvement activity is required.</w:t>
      </w:r>
    </w:p>
    <w:p w14:paraId="389A085B" w14:textId="77777777" w:rsidR="00DD2A23" w:rsidRDefault="00DD2A23" w:rsidP="00DD2A23">
      <w:pPr>
        <w:spacing w:after="0" w:line="240" w:lineRule="auto"/>
        <w:rPr>
          <w:rFonts w:ascii="Verdana" w:eastAsia="Times New Roman" w:hAnsi="Verdana" w:cs="Segoe UI"/>
          <w:sz w:val="24"/>
          <w:szCs w:val="24"/>
          <w:lang w:eastAsia="en-GB"/>
        </w:rPr>
      </w:pPr>
    </w:p>
    <w:p w14:paraId="1B99B7A7" w14:textId="62963C74" w:rsidR="00DD2A23" w:rsidRPr="00DD2A23" w:rsidRDefault="00DD2A23" w:rsidP="00DD2A23">
      <w:pPr>
        <w:spacing w:after="0" w:line="240" w:lineRule="auto"/>
        <w:rPr>
          <w:rFonts w:ascii="Verdana" w:eastAsia="Times New Roman" w:hAnsi="Verdana" w:cs="Segoe UI"/>
          <w:sz w:val="24"/>
          <w:szCs w:val="24"/>
          <w:lang w:eastAsia="en-GB"/>
        </w:rPr>
      </w:pPr>
      <w:r w:rsidRPr="00DD2A23">
        <w:rPr>
          <w:rFonts w:ascii="Verdana" w:eastAsia="Times New Roman" w:hAnsi="Verdana" w:cs="Segoe UI"/>
          <w:sz w:val="24"/>
          <w:szCs w:val="24"/>
          <w:lang w:eastAsia="en-GB"/>
        </w:rPr>
        <w:t>I would like to extend my thanks to the Clinical Audit Team for their continued focus on developing and embedding digital solutions to support the COEG, clinical teams, and Service Groups. Their work to streamline systems, enhance engagement, and improve compliance with local and national requirements continues to strengthen effective oversight of clinical outcomes and effectiveness across the organisation.</w:t>
      </w:r>
    </w:p>
    <w:p w14:paraId="7765D4FE" w14:textId="77777777" w:rsidR="00DD2A23" w:rsidRDefault="00DD2A23" w:rsidP="006311AD">
      <w:pPr>
        <w:spacing w:after="0" w:line="240" w:lineRule="auto"/>
        <w:rPr>
          <w:rFonts w:ascii="Verdana" w:hAnsi="Verdana" w:cs="Arial"/>
          <w:b/>
          <w:bCs/>
          <w:iCs/>
          <w:sz w:val="24"/>
          <w:szCs w:val="24"/>
          <w:lang w:val="en-US"/>
        </w:rPr>
      </w:pPr>
    </w:p>
    <w:p w14:paraId="0F535143" w14:textId="6821E547" w:rsidR="001B52E2" w:rsidRPr="001B52E2" w:rsidRDefault="001B52E2" w:rsidP="006311AD">
      <w:pPr>
        <w:spacing w:after="0" w:line="240" w:lineRule="auto"/>
        <w:rPr>
          <w:rFonts w:ascii="Verdana" w:hAnsi="Verdana" w:cs="Arial"/>
          <w:b/>
          <w:bCs/>
          <w:iCs/>
          <w:sz w:val="24"/>
          <w:szCs w:val="24"/>
          <w:lang w:val="en-US"/>
        </w:rPr>
      </w:pPr>
      <w:r w:rsidRPr="001B52E2">
        <w:rPr>
          <w:rFonts w:ascii="Verdana" w:hAnsi="Verdana" w:cs="Arial"/>
          <w:b/>
          <w:bCs/>
          <w:iCs/>
          <w:sz w:val="24"/>
          <w:szCs w:val="24"/>
          <w:lang w:val="en-US"/>
        </w:rPr>
        <w:t>Dr Raj Krishnan</w:t>
      </w:r>
    </w:p>
    <w:p w14:paraId="284A0C3E" w14:textId="77777777" w:rsidR="00DD2A23" w:rsidRDefault="0078376E" w:rsidP="006311AD">
      <w:pPr>
        <w:spacing w:after="0" w:line="240" w:lineRule="auto"/>
        <w:rPr>
          <w:rFonts w:ascii="Verdana" w:hAnsi="Verdana" w:cs="Arial"/>
          <w:b/>
          <w:bCs/>
          <w:iCs/>
          <w:sz w:val="24"/>
          <w:szCs w:val="24"/>
          <w:lang w:val="en-US"/>
        </w:rPr>
      </w:pPr>
      <w:r>
        <w:rPr>
          <w:rFonts w:ascii="Verdana" w:hAnsi="Verdana" w:cs="Arial"/>
          <w:b/>
          <w:bCs/>
          <w:iCs/>
          <w:sz w:val="24"/>
          <w:szCs w:val="24"/>
          <w:lang w:val="en-US"/>
        </w:rPr>
        <w:t>Interim</w:t>
      </w:r>
      <w:r w:rsidR="001B52E2" w:rsidRPr="001B52E2">
        <w:rPr>
          <w:rFonts w:ascii="Verdana" w:hAnsi="Verdana" w:cs="Arial"/>
          <w:b/>
          <w:bCs/>
          <w:iCs/>
          <w:sz w:val="24"/>
          <w:szCs w:val="24"/>
          <w:lang w:val="en-US"/>
        </w:rPr>
        <w:t xml:space="preserve"> </w:t>
      </w:r>
      <w:r w:rsidR="00A36D45">
        <w:rPr>
          <w:rFonts w:ascii="Verdana" w:hAnsi="Verdana" w:cs="Arial"/>
          <w:b/>
          <w:bCs/>
          <w:iCs/>
          <w:sz w:val="24"/>
          <w:szCs w:val="24"/>
          <w:lang w:val="en-US"/>
        </w:rPr>
        <w:t xml:space="preserve">Executive </w:t>
      </w:r>
      <w:r w:rsidR="001B52E2" w:rsidRPr="001B52E2">
        <w:rPr>
          <w:rFonts w:ascii="Verdana" w:hAnsi="Verdana" w:cs="Arial"/>
          <w:b/>
          <w:bCs/>
          <w:iCs/>
          <w:sz w:val="24"/>
          <w:szCs w:val="24"/>
          <w:lang w:val="en-US"/>
        </w:rPr>
        <w:t>Medical Director</w:t>
      </w:r>
    </w:p>
    <w:p w14:paraId="77169FA9" w14:textId="77777777" w:rsidR="00DD2A23" w:rsidRDefault="00DD2A23" w:rsidP="006311AD">
      <w:pPr>
        <w:spacing w:after="0" w:line="240" w:lineRule="auto"/>
        <w:rPr>
          <w:rFonts w:ascii="Verdana" w:hAnsi="Verdana" w:cs="Arial"/>
          <w:b/>
          <w:bCs/>
          <w:iCs/>
          <w:sz w:val="24"/>
          <w:szCs w:val="24"/>
          <w:lang w:val="en-US"/>
        </w:rPr>
      </w:pPr>
    </w:p>
    <w:p w14:paraId="2323EF93" w14:textId="7A6F8448" w:rsidR="006D1E15" w:rsidRPr="00F37A62" w:rsidRDefault="006D1E15" w:rsidP="00E755E5">
      <w:pPr>
        <w:pStyle w:val="ListParagraph"/>
        <w:numPr>
          <w:ilvl w:val="0"/>
          <w:numId w:val="26"/>
        </w:numPr>
        <w:spacing w:line="276" w:lineRule="auto"/>
        <w:ind w:hanging="720"/>
        <w:rPr>
          <w:rFonts w:ascii="Verdana" w:hAnsi="Verdana" w:cs="Arial"/>
          <w:b/>
          <w:bCs/>
          <w:sz w:val="28"/>
          <w:szCs w:val="28"/>
        </w:rPr>
      </w:pPr>
      <w:r w:rsidRPr="00F37A62">
        <w:rPr>
          <w:rFonts w:ascii="Verdana" w:hAnsi="Verdana" w:cs="Arial"/>
          <w:b/>
          <w:bCs/>
          <w:sz w:val="28"/>
          <w:szCs w:val="28"/>
        </w:rPr>
        <w:lastRenderedPageBreak/>
        <w:t>Report from the Clinical Audit Team</w:t>
      </w:r>
    </w:p>
    <w:p w14:paraId="0FCF4E5E" w14:textId="3D5393DC" w:rsidR="006D1E15" w:rsidRPr="006E3538" w:rsidRDefault="006D1E15" w:rsidP="00E755E5">
      <w:pPr>
        <w:pStyle w:val="ListParagraph"/>
        <w:numPr>
          <w:ilvl w:val="1"/>
          <w:numId w:val="21"/>
        </w:numPr>
        <w:spacing w:line="276" w:lineRule="auto"/>
        <w:ind w:left="426" w:hanging="426"/>
        <w:rPr>
          <w:rFonts w:ascii="Verdana" w:hAnsi="Verdana" w:cs="Arial"/>
          <w:b/>
          <w:bCs/>
          <w:sz w:val="24"/>
          <w:szCs w:val="24"/>
        </w:rPr>
      </w:pPr>
      <w:r w:rsidRPr="006E3538">
        <w:rPr>
          <w:rFonts w:ascii="Verdana" w:hAnsi="Verdana" w:cs="Arial"/>
          <w:b/>
          <w:bCs/>
          <w:sz w:val="24"/>
          <w:szCs w:val="24"/>
        </w:rPr>
        <w:t>Clinical Outcomes and Effectiveness Group (COEG)</w:t>
      </w:r>
    </w:p>
    <w:p w14:paraId="75236F86" w14:textId="3255D4AB" w:rsidR="00AD6058" w:rsidRDefault="00AD6058" w:rsidP="00287ED9">
      <w:pPr>
        <w:spacing w:before="100" w:beforeAutospacing="1" w:after="100" w:afterAutospacing="1" w:line="240" w:lineRule="auto"/>
        <w:rPr>
          <w:rFonts w:ascii="Verdana" w:eastAsia="Times New Roman" w:hAnsi="Verdana" w:cs="Segoe UI"/>
          <w:sz w:val="24"/>
          <w:szCs w:val="24"/>
          <w:lang w:eastAsia="en-GB"/>
        </w:rPr>
      </w:pPr>
      <w:r w:rsidRPr="00AD6058">
        <w:rPr>
          <w:rFonts w:ascii="Verdana" w:eastAsia="Times New Roman" w:hAnsi="Verdana" w:cs="Segoe UI"/>
          <w:sz w:val="24"/>
          <w:szCs w:val="24"/>
          <w:lang w:eastAsia="en-GB"/>
        </w:rPr>
        <w:t>Clinical audit plays a critical role in providing assurance, identifying and reducing risk, waste, and inefficiencies, and improving the effectiveness of care pathways, alongside the quality of patient outcomes and experience.</w:t>
      </w:r>
    </w:p>
    <w:p w14:paraId="5122D398" w14:textId="569D8C7D" w:rsidR="00AD6058" w:rsidRPr="00AD6058" w:rsidRDefault="002C7E5E" w:rsidP="00287ED9">
      <w:pPr>
        <w:spacing w:before="100" w:beforeAutospacing="1" w:after="100" w:afterAutospacing="1" w:line="240" w:lineRule="auto"/>
        <w:rPr>
          <w:rFonts w:ascii="Verdana" w:eastAsia="Times New Roman" w:hAnsi="Verdana" w:cs="Segoe UI"/>
          <w:sz w:val="24"/>
          <w:szCs w:val="24"/>
          <w:lang w:eastAsia="en-GB"/>
        </w:rPr>
      </w:pPr>
      <w:r w:rsidRPr="002C7E5E">
        <w:rPr>
          <w:rFonts w:ascii="Verdana" w:eastAsia="Times New Roman" w:hAnsi="Verdana" w:cs="Segoe UI"/>
          <w:sz w:val="24"/>
          <w:szCs w:val="24"/>
          <w:lang w:eastAsia="en-GB"/>
        </w:rPr>
        <w:t xml:space="preserve">The Clinical Outcomes and Effectiveness Group (COEG) is chaired by members of the Executive Medical Directors Department and acts on behalf of the Health Board to ensure that appropriate and robust systems are in place to support the delivery of effective clinical audit priorities and projects. </w:t>
      </w:r>
      <w:r w:rsidR="00AD6058">
        <w:rPr>
          <w:rFonts w:ascii="Verdana" w:eastAsia="Times New Roman" w:hAnsi="Verdana" w:cs="Segoe UI"/>
          <w:sz w:val="24"/>
          <w:szCs w:val="24"/>
          <w:lang w:eastAsia="en-GB"/>
        </w:rPr>
        <w:t xml:space="preserve">It </w:t>
      </w:r>
      <w:r w:rsidR="00AD6058" w:rsidRPr="00AD6058">
        <w:rPr>
          <w:rFonts w:ascii="Verdana" w:eastAsia="Times New Roman" w:hAnsi="Verdana" w:cs="Segoe UI"/>
          <w:sz w:val="24"/>
          <w:szCs w:val="24"/>
          <w:lang w:eastAsia="en-GB"/>
        </w:rPr>
        <w:t>provides assurance on the development, delivery and monitoring of the Clinical Audit Programme through regular reporting to relevant governance groups and, where required, escalates risks or issues to the Quality and Safety Committee via the Quality and Safety Group.</w:t>
      </w:r>
    </w:p>
    <w:p w14:paraId="57A752F1" w14:textId="0A3A5DE2" w:rsidR="00AD6058" w:rsidRPr="00AD6058" w:rsidRDefault="00AD6058" w:rsidP="00287ED9">
      <w:pPr>
        <w:pStyle w:val="NormalWeb"/>
        <w:rPr>
          <w:rFonts w:ascii="Verdana" w:hAnsi="Verdana" w:cs="Segoe UI"/>
        </w:rPr>
      </w:pPr>
      <w:r>
        <w:rPr>
          <w:rFonts w:ascii="Verdana" w:hAnsi="Verdana" w:cs="Segoe UI"/>
        </w:rPr>
        <w:t xml:space="preserve">In addition, the COEG </w:t>
      </w:r>
      <w:r w:rsidRPr="00AD6058">
        <w:rPr>
          <w:rFonts w:ascii="Verdana" w:hAnsi="Verdana" w:cs="Segoe UI"/>
        </w:rPr>
        <w:t>has oversight of arrangements relating to Mortality Reviews, the review and implementation of NICE guidance applicable to Wales, and consideration of recommendations issued by Health Technology Wales (HTW).</w:t>
      </w:r>
    </w:p>
    <w:p w14:paraId="572EC146" w14:textId="3310D4DE" w:rsidR="002C7E5E" w:rsidRPr="002C7E5E" w:rsidRDefault="002C7E5E" w:rsidP="00287ED9">
      <w:pPr>
        <w:spacing w:before="100" w:beforeAutospacing="1" w:after="100" w:afterAutospacing="1" w:line="240" w:lineRule="auto"/>
        <w:rPr>
          <w:rFonts w:ascii="Verdana" w:eastAsia="Times New Roman" w:hAnsi="Verdana" w:cs="Segoe UI"/>
          <w:sz w:val="24"/>
          <w:szCs w:val="24"/>
          <w:lang w:eastAsia="en-GB"/>
        </w:rPr>
      </w:pPr>
      <w:r w:rsidRPr="002C7E5E">
        <w:rPr>
          <w:rFonts w:ascii="Verdana" w:eastAsia="Times New Roman" w:hAnsi="Verdana" w:cs="Segoe UI"/>
          <w:sz w:val="24"/>
          <w:szCs w:val="24"/>
          <w:lang w:eastAsia="en-GB"/>
        </w:rPr>
        <w:t>In 2024, COEG supported the extension of the audit cycle to a bi</w:t>
      </w:r>
      <w:r w:rsidRPr="002C7E5E">
        <w:rPr>
          <w:rFonts w:ascii="Verdana" w:eastAsia="Times New Roman" w:hAnsi="Verdana" w:cs="Segoe UI"/>
          <w:sz w:val="24"/>
          <w:szCs w:val="24"/>
          <w:lang w:eastAsia="en-GB"/>
        </w:rPr>
        <w:noBreakHyphen/>
        <w:t xml:space="preserve">annual timeframe in recognition of the time required to deliver audit topics and obtain meaningful outcomes. </w:t>
      </w:r>
      <w:r w:rsidR="001C1BFE">
        <w:rPr>
          <w:rFonts w:ascii="Verdana" w:eastAsia="Times New Roman" w:hAnsi="Verdana" w:cs="Segoe UI"/>
          <w:sz w:val="24"/>
          <w:szCs w:val="24"/>
          <w:lang w:eastAsia="en-GB"/>
        </w:rPr>
        <w:t xml:space="preserve">The </w:t>
      </w:r>
      <w:r w:rsidRPr="002C7E5E">
        <w:rPr>
          <w:rFonts w:ascii="Verdana" w:eastAsia="Times New Roman" w:hAnsi="Verdana" w:cs="Segoe UI"/>
          <w:sz w:val="24"/>
          <w:szCs w:val="24"/>
          <w:lang w:eastAsia="en-GB"/>
        </w:rPr>
        <w:t xml:space="preserve">report provides an update on the position </w:t>
      </w:r>
      <w:r>
        <w:rPr>
          <w:rFonts w:ascii="Verdana" w:eastAsia="Times New Roman" w:hAnsi="Verdana" w:cs="Segoe UI"/>
          <w:sz w:val="24"/>
          <w:szCs w:val="24"/>
          <w:lang w:eastAsia="en-GB"/>
        </w:rPr>
        <w:t xml:space="preserve">of the </w:t>
      </w:r>
      <w:r w:rsidRPr="002C7E5E">
        <w:rPr>
          <w:rFonts w:ascii="Verdana" w:eastAsia="Times New Roman" w:hAnsi="Verdana" w:cs="Segoe UI"/>
          <w:sz w:val="24"/>
          <w:szCs w:val="24"/>
          <w:lang w:eastAsia="en-GB"/>
        </w:rPr>
        <w:t>2024–26 Audit Programme</w:t>
      </w:r>
      <w:r>
        <w:rPr>
          <w:rFonts w:ascii="Verdana" w:eastAsia="Times New Roman" w:hAnsi="Verdana" w:cs="Segoe UI"/>
          <w:sz w:val="24"/>
          <w:szCs w:val="24"/>
          <w:lang w:eastAsia="en-GB"/>
        </w:rPr>
        <w:t xml:space="preserve"> and any historic </w:t>
      </w:r>
      <w:r w:rsidRPr="002C7E5E">
        <w:rPr>
          <w:rFonts w:ascii="Verdana" w:eastAsia="Times New Roman" w:hAnsi="Verdana" w:cs="Segoe UI"/>
          <w:sz w:val="24"/>
          <w:szCs w:val="24"/>
          <w:lang w:eastAsia="en-GB"/>
        </w:rPr>
        <w:t>topics that had not previously been formally accounted for.</w:t>
      </w:r>
      <w:r>
        <w:rPr>
          <w:rFonts w:ascii="Verdana" w:eastAsia="Times New Roman" w:hAnsi="Verdana" w:cs="Segoe UI"/>
          <w:sz w:val="24"/>
          <w:szCs w:val="24"/>
          <w:lang w:eastAsia="en-GB"/>
        </w:rPr>
        <w:t xml:space="preserve">  It </w:t>
      </w:r>
      <w:r w:rsidR="00D302DC">
        <w:rPr>
          <w:rFonts w:ascii="Verdana" w:eastAsia="Times New Roman" w:hAnsi="Verdana" w:cs="Segoe UI"/>
          <w:sz w:val="24"/>
          <w:szCs w:val="24"/>
          <w:lang w:eastAsia="en-GB"/>
        </w:rPr>
        <w:t xml:space="preserve">also </w:t>
      </w:r>
      <w:r w:rsidRPr="002C7E5E">
        <w:rPr>
          <w:rFonts w:ascii="Verdana" w:eastAsia="Times New Roman" w:hAnsi="Verdana" w:cs="Segoe UI"/>
          <w:sz w:val="24"/>
          <w:szCs w:val="24"/>
          <w:lang w:eastAsia="en-GB"/>
        </w:rPr>
        <w:t xml:space="preserve">outlines the </w:t>
      </w:r>
      <w:r w:rsidR="00D302DC">
        <w:rPr>
          <w:rFonts w:ascii="Verdana" w:eastAsia="Times New Roman" w:hAnsi="Verdana" w:cs="Segoe UI"/>
          <w:sz w:val="24"/>
          <w:szCs w:val="24"/>
          <w:lang w:eastAsia="en-GB"/>
        </w:rPr>
        <w:t xml:space="preserve">process used for compiling the </w:t>
      </w:r>
      <w:r w:rsidRPr="002C7E5E">
        <w:rPr>
          <w:rFonts w:ascii="Verdana" w:eastAsia="Times New Roman" w:hAnsi="Verdana" w:cs="Segoe UI"/>
          <w:sz w:val="24"/>
          <w:szCs w:val="24"/>
          <w:lang w:eastAsia="en-GB"/>
        </w:rPr>
        <w:t>content of the</w:t>
      </w:r>
      <w:r w:rsidR="00D302DC">
        <w:rPr>
          <w:rFonts w:ascii="Verdana" w:eastAsia="Times New Roman" w:hAnsi="Verdana" w:cs="Segoe UI"/>
          <w:sz w:val="24"/>
          <w:szCs w:val="24"/>
          <w:lang w:eastAsia="en-GB"/>
        </w:rPr>
        <w:t xml:space="preserve"> planned element of the </w:t>
      </w:r>
      <w:r w:rsidRPr="002C7E5E">
        <w:rPr>
          <w:rFonts w:ascii="Verdana" w:eastAsia="Times New Roman" w:hAnsi="Verdana" w:cs="Segoe UI"/>
          <w:sz w:val="24"/>
          <w:szCs w:val="24"/>
          <w:lang w:eastAsia="en-GB"/>
        </w:rPr>
        <w:t>2026–28 Audit Programme</w:t>
      </w:r>
      <w:r w:rsidR="00D302DC">
        <w:rPr>
          <w:rFonts w:ascii="Verdana" w:eastAsia="Times New Roman" w:hAnsi="Verdana" w:cs="Segoe UI"/>
          <w:sz w:val="24"/>
          <w:szCs w:val="24"/>
          <w:lang w:eastAsia="en-GB"/>
        </w:rPr>
        <w:t>.</w:t>
      </w:r>
    </w:p>
    <w:p w14:paraId="525406CA" w14:textId="77777777" w:rsidR="0068279D" w:rsidRDefault="006D1E15" w:rsidP="00287ED9">
      <w:pPr>
        <w:spacing w:after="120" w:line="240" w:lineRule="auto"/>
        <w:rPr>
          <w:rFonts w:ascii="Verdana" w:hAnsi="Verdana" w:cs="Arial"/>
          <w:sz w:val="24"/>
          <w:szCs w:val="24"/>
        </w:rPr>
      </w:pPr>
      <w:r w:rsidRPr="00FC2C90">
        <w:rPr>
          <w:rFonts w:ascii="Verdana" w:hAnsi="Verdana" w:cs="Arial"/>
          <w:b/>
          <w:bCs/>
          <w:sz w:val="24"/>
          <w:szCs w:val="24"/>
        </w:rPr>
        <w:t xml:space="preserve">1.2 </w:t>
      </w:r>
      <w:r w:rsidR="006E3538">
        <w:rPr>
          <w:rFonts w:ascii="Verdana" w:hAnsi="Verdana" w:cs="Arial"/>
          <w:b/>
          <w:bCs/>
          <w:sz w:val="24"/>
          <w:szCs w:val="24"/>
        </w:rPr>
        <w:t xml:space="preserve">  </w:t>
      </w:r>
      <w:r w:rsidRPr="00FC2C90">
        <w:rPr>
          <w:rFonts w:ascii="Verdana" w:hAnsi="Verdana" w:cs="Arial"/>
          <w:b/>
          <w:bCs/>
          <w:sz w:val="24"/>
          <w:szCs w:val="24"/>
        </w:rPr>
        <w:t>Clinical Audit and Effectiveness Policy &amp; Audit Hierarchy</w:t>
      </w:r>
    </w:p>
    <w:p w14:paraId="278805DE" w14:textId="58DE0C35" w:rsidR="0068279D" w:rsidRDefault="001C1BFE" w:rsidP="00287ED9">
      <w:pPr>
        <w:spacing w:after="120" w:line="240" w:lineRule="auto"/>
        <w:jc w:val="center"/>
        <w:rPr>
          <w:rFonts w:ascii="Verdana" w:hAnsi="Verdana" w:cs="Arial"/>
          <w:sz w:val="24"/>
          <w:szCs w:val="24"/>
        </w:rPr>
      </w:pPr>
      <w:r>
        <w:rPr>
          <w:rFonts w:ascii="Verdana" w:hAnsi="Verdana" w:cs="Arial"/>
          <w:noProof/>
          <w:sz w:val="24"/>
          <w:szCs w:val="24"/>
          <w14:ligatures w14:val="standardContextual"/>
        </w:rPr>
        <w:drawing>
          <wp:inline distT="0" distB="0" distL="0" distR="0" wp14:anchorId="59873F38" wp14:editId="5731F457">
            <wp:extent cx="5754114" cy="3153104"/>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rotWithShape="1">
                    <a:blip r:embed="rId12">
                      <a:extLst>
                        <a:ext uri="{BEBA8EAE-BF5A-486C-A8C5-ECC9F3942E4B}">
                          <a14:imgProps xmlns:a14="http://schemas.microsoft.com/office/drawing/2010/main">
                            <a14:imgLayer r:embed="rId13">
                              <a14:imgEffect>
                                <a14:saturation sat="300000"/>
                              </a14:imgEffect>
                            </a14:imgLayer>
                          </a14:imgProps>
                        </a:ext>
                        <a:ext uri="{28A0092B-C50C-407E-A947-70E740481C1C}">
                          <a14:useLocalDpi xmlns:a14="http://schemas.microsoft.com/office/drawing/2010/main" val="0"/>
                        </a:ext>
                      </a:extLst>
                    </a:blip>
                    <a:srcRect l="2804" t="3654" r="3754" b="5313"/>
                    <a:stretch/>
                  </pic:blipFill>
                  <pic:spPr bwMode="auto">
                    <a:xfrm>
                      <a:off x="0" y="0"/>
                      <a:ext cx="5828780" cy="3194019"/>
                    </a:xfrm>
                    <a:prstGeom prst="rect">
                      <a:avLst/>
                    </a:prstGeom>
                    <a:solidFill>
                      <a:schemeClr val="accent5">
                        <a:lumMod val="20000"/>
                        <a:lumOff val="80000"/>
                      </a:schemeClr>
                    </a:solidFill>
                    <a:ln>
                      <a:noFill/>
                    </a:ln>
                    <a:effectLst/>
                    <a:extLst>
                      <a:ext uri="{53640926-AAD7-44D8-BBD7-CCE9431645EC}">
                        <a14:shadowObscured xmlns:a14="http://schemas.microsoft.com/office/drawing/2010/main"/>
                      </a:ext>
                    </a:extLst>
                  </pic:spPr>
                </pic:pic>
              </a:graphicData>
            </a:graphic>
          </wp:inline>
        </w:drawing>
      </w:r>
    </w:p>
    <w:p w14:paraId="714B4D19" w14:textId="1745139C" w:rsidR="0068279D" w:rsidRPr="00637D5F" w:rsidRDefault="0068279D" w:rsidP="00287ED9">
      <w:pPr>
        <w:spacing w:line="240" w:lineRule="auto"/>
        <w:jc w:val="right"/>
        <w:rPr>
          <w:rFonts w:ascii="Verdana" w:hAnsi="Verdana" w:cs="Arial"/>
          <w:sz w:val="16"/>
          <w:szCs w:val="16"/>
        </w:rPr>
      </w:pPr>
      <w:r>
        <w:rPr>
          <w:rFonts w:ascii="Verdana" w:hAnsi="Verdana" w:cs="Arial"/>
          <w:sz w:val="18"/>
          <w:szCs w:val="18"/>
        </w:rPr>
        <w:t xml:space="preserve">                               </w:t>
      </w:r>
      <w:r w:rsidRPr="00637D5F">
        <w:rPr>
          <w:rFonts w:ascii="Verdana" w:hAnsi="Verdana" w:cs="Arial"/>
          <w:sz w:val="16"/>
          <w:szCs w:val="16"/>
        </w:rPr>
        <w:t>Fig</w:t>
      </w:r>
      <w:r w:rsidR="00933236" w:rsidRPr="00637D5F">
        <w:rPr>
          <w:rFonts w:ascii="Verdana" w:hAnsi="Verdana" w:cs="Arial"/>
          <w:sz w:val="16"/>
          <w:szCs w:val="16"/>
        </w:rPr>
        <w:t>ure</w:t>
      </w:r>
      <w:r w:rsidRPr="00637D5F">
        <w:rPr>
          <w:rFonts w:ascii="Verdana" w:hAnsi="Verdana" w:cs="Arial"/>
          <w:sz w:val="16"/>
          <w:szCs w:val="16"/>
        </w:rPr>
        <w:t xml:space="preserve"> 1. Hierarchy of Audit Priorities</w:t>
      </w:r>
    </w:p>
    <w:p w14:paraId="19E65A8D" w14:textId="1A5AD652" w:rsidR="00774D5E" w:rsidRPr="00774D5E" w:rsidRDefault="00774D5E" w:rsidP="00287ED9">
      <w:pPr>
        <w:spacing w:before="100" w:beforeAutospacing="1" w:after="100" w:afterAutospacing="1" w:line="240" w:lineRule="auto"/>
        <w:rPr>
          <w:rFonts w:ascii="Verdana" w:eastAsia="Times New Roman" w:hAnsi="Verdana" w:cs="Segoe UI"/>
          <w:sz w:val="24"/>
          <w:szCs w:val="24"/>
          <w:lang w:eastAsia="en-GB"/>
        </w:rPr>
      </w:pPr>
      <w:r w:rsidRPr="00774D5E">
        <w:rPr>
          <w:rFonts w:ascii="Verdana" w:eastAsia="Times New Roman" w:hAnsi="Verdana" w:cs="Segoe UI"/>
          <w:sz w:val="24"/>
          <w:szCs w:val="24"/>
          <w:lang w:eastAsia="en-GB"/>
        </w:rPr>
        <w:lastRenderedPageBreak/>
        <w:t>The Clinical Audit and Effectiveness Policy sets out the Executive Medical Director’s vision for a robust framework to prioritise, deliver and monitor clinical audit, in line with best</w:t>
      </w:r>
      <w:r w:rsidRPr="00774D5E">
        <w:rPr>
          <w:rFonts w:ascii="Verdana" w:eastAsia="Times New Roman" w:hAnsi="Verdana" w:cs="Segoe UI"/>
          <w:sz w:val="24"/>
          <w:szCs w:val="24"/>
          <w:lang w:eastAsia="en-GB"/>
        </w:rPr>
        <w:noBreakHyphen/>
        <w:t>practice guidance and the requirements of the Health and Care Standards. The Policy describes the governance structures, roles and processes that support the Health Board, Service Groups, doctors in training and other healthcare professionals in navigating the audit hierarchy.</w:t>
      </w:r>
    </w:p>
    <w:p w14:paraId="352C965C" w14:textId="77777777" w:rsidR="00774D5E" w:rsidRPr="00774D5E" w:rsidRDefault="00774D5E" w:rsidP="00287ED9">
      <w:pPr>
        <w:spacing w:before="100" w:beforeAutospacing="1" w:after="100" w:afterAutospacing="1" w:line="240" w:lineRule="auto"/>
        <w:rPr>
          <w:rFonts w:ascii="Verdana" w:eastAsia="Times New Roman" w:hAnsi="Verdana" w:cs="Segoe UI"/>
          <w:sz w:val="24"/>
          <w:szCs w:val="24"/>
          <w:lang w:eastAsia="en-GB"/>
        </w:rPr>
      </w:pPr>
      <w:r w:rsidRPr="00774D5E">
        <w:rPr>
          <w:rFonts w:ascii="Verdana" w:eastAsia="Times New Roman" w:hAnsi="Verdana" w:cs="Segoe UI"/>
          <w:b/>
          <w:bCs/>
          <w:sz w:val="24"/>
          <w:szCs w:val="24"/>
          <w:lang w:eastAsia="en-GB"/>
        </w:rPr>
        <w:t>Level 1</w:t>
      </w:r>
      <w:r w:rsidRPr="00774D5E">
        <w:rPr>
          <w:rFonts w:ascii="Verdana" w:eastAsia="Times New Roman" w:hAnsi="Verdana" w:cs="Segoe UI"/>
          <w:sz w:val="24"/>
          <w:szCs w:val="24"/>
          <w:lang w:eastAsia="en-GB"/>
        </w:rPr>
        <w:t xml:space="preserve"> requires Welsh Health Boards and Trusts to deliver the Welsh Government</w:t>
      </w:r>
      <w:r w:rsidRPr="00774D5E">
        <w:rPr>
          <w:rFonts w:ascii="Verdana" w:eastAsia="Times New Roman" w:hAnsi="Verdana" w:cs="Segoe UI"/>
          <w:sz w:val="24"/>
          <w:szCs w:val="24"/>
          <w:lang w:eastAsia="en-GB"/>
        </w:rPr>
        <w:noBreakHyphen/>
        <w:t>mandated programme of national audits, registries and studies, where relevant to the services provided.</w:t>
      </w:r>
    </w:p>
    <w:p w14:paraId="0A9117AC" w14:textId="7ADCAFC3" w:rsidR="00774D5E" w:rsidRPr="00774D5E" w:rsidRDefault="00774D5E" w:rsidP="00287ED9">
      <w:pPr>
        <w:spacing w:before="100" w:beforeAutospacing="1" w:after="100" w:afterAutospacing="1" w:line="240" w:lineRule="auto"/>
        <w:rPr>
          <w:rFonts w:ascii="Verdana" w:eastAsia="Times New Roman" w:hAnsi="Verdana" w:cs="Segoe UI"/>
          <w:sz w:val="24"/>
          <w:szCs w:val="24"/>
          <w:lang w:eastAsia="en-GB"/>
        </w:rPr>
      </w:pPr>
      <w:r w:rsidRPr="00774D5E">
        <w:rPr>
          <w:rFonts w:ascii="Verdana" w:eastAsia="Times New Roman" w:hAnsi="Verdana" w:cs="Segoe UI"/>
          <w:b/>
          <w:bCs/>
          <w:sz w:val="24"/>
          <w:szCs w:val="24"/>
          <w:lang w:eastAsia="en-GB"/>
        </w:rPr>
        <w:t>Level 2</w:t>
      </w:r>
      <w:r w:rsidRPr="00774D5E">
        <w:rPr>
          <w:rFonts w:ascii="Verdana" w:eastAsia="Times New Roman" w:hAnsi="Verdana" w:cs="Segoe UI"/>
          <w:sz w:val="24"/>
          <w:szCs w:val="24"/>
          <w:lang w:eastAsia="en-GB"/>
        </w:rPr>
        <w:t xml:space="preserve"> comprises a small number of Health Board Priority Audit Topics agreed annually. These are informed by system risks, adverse patient outcomes or patient</w:t>
      </w:r>
      <w:r w:rsidRPr="00774D5E">
        <w:rPr>
          <w:rFonts w:ascii="Verdana" w:eastAsia="Times New Roman" w:hAnsi="Verdana" w:cs="Segoe UI"/>
          <w:sz w:val="24"/>
          <w:szCs w:val="24"/>
          <w:lang w:eastAsia="en-GB"/>
        </w:rPr>
        <w:noBreakHyphen/>
        <w:t>safety concerns that impact more than one Service Group.</w:t>
      </w:r>
    </w:p>
    <w:p w14:paraId="7B45E990" w14:textId="0B4E690B" w:rsidR="00774D5E" w:rsidRPr="00774D5E" w:rsidRDefault="00774D5E" w:rsidP="00287ED9">
      <w:pPr>
        <w:spacing w:before="100" w:beforeAutospacing="1" w:after="100" w:afterAutospacing="1" w:line="240" w:lineRule="auto"/>
        <w:rPr>
          <w:rFonts w:ascii="Verdana" w:eastAsia="Times New Roman" w:hAnsi="Verdana" w:cs="Segoe UI"/>
          <w:sz w:val="24"/>
          <w:szCs w:val="24"/>
          <w:lang w:eastAsia="en-GB"/>
        </w:rPr>
      </w:pPr>
      <w:r w:rsidRPr="00774D5E">
        <w:rPr>
          <w:rFonts w:ascii="Verdana" w:eastAsia="Times New Roman" w:hAnsi="Verdana" w:cs="Segoe UI"/>
          <w:b/>
          <w:bCs/>
          <w:sz w:val="24"/>
          <w:szCs w:val="24"/>
          <w:lang w:eastAsia="en-GB"/>
        </w:rPr>
        <w:t>Levels 3 and 4</w:t>
      </w:r>
      <w:r w:rsidRPr="00774D5E">
        <w:rPr>
          <w:rFonts w:ascii="Verdana" w:eastAsia="Times New Roman" w:hAnsi="Verdana" w:cs="Segoe UI"/>
          <w:sz w:val="24"/>
          <w:szCs w:val="24"/>
          <w:lang w:eastAsia="en-GB"/>
        </w:rPr>
        <w:t xml:space="preserve"> At the conclusion of each audit cycle, Project Contacts are required to assign a risk matrix score following presentation and discussion of findings. Scores of 12 or above automatically trigger a re</w:t>
      </w:r>
      <w:r w:rsidRPr="00774D5E">
        <w:rPr>
          <w:rFonts w:ascii="Verdana" w:eastAsia="Times New Roman" w:hAnsi="Verdana" w:cs="Segoe UI"/>
          <w:sz w:val="24"/>
          <w:szCs w:val="24"/>
          <w:lang w:eastAsia="en-GB"/>
        </w:rPr>
        <w:noBreakHyphen/>
        <w:t xml:space="preserve">audit (Level </w:t>
      </w:r>
      <w:r>
        <w:rPr>
          <w:rFonts w:ascii="Verdana" w:eastAsia="Times New Roman" w:hAnsi="Verdana" w:cs="Segoe UI"/>
          <w:sz w:val="24"/>
          <w:szCs w:val="24"/>
          <w:lang w:eastAsia="en-GB"/>
        </w:rPr>
        <w:t>3</w:t>
      </w:r>
      <w:r w:rsidRPr="00774D5E">
        <w:rPr>
          <w:rFonts w:ascii="Verdana" w:eastAsia="Times New Roman" w:hAnsi="Verdana" w:cs="Segoe UI"/>
          <w:sz w:val="24"/>
          <w:szCs w:val="24"/>
          <w:lang w:eastAsia="en-GB"/>
        </w:rPr>
        <w:t>). Audit Leads review outcome summaries and risk matrix scores to enable certificate release. Where Audit Leads disagree with the recorded score and/or the requirement to list a re</w:t>
      </w:r>
      <w:r w:rsidRPr="00774D5E">
        <w:rPr>
          <w:rFonts w:ascii="Verdana" w:eastAsia="Times New Roman" w:hAnsi="Verdana" w:cs="Segoe UI"/>
          <w:sz w:val="24"/>
          <w:szCs w:val="24"/>
          <w:lang w:eastAsia="en-GB"/>
        </w:rPr>
        <w:noBreakHyphen/>
        <w:t>audit, they are expected to amend the record accordingly.</w:t>
      </w:r>
      <w:r>
        <w:rPr>
          <w:rFonts w:ascii="Verdana" w:eastAsia="Times New Roman" w:hAnsi="Verdana" w:cs="Segoe UI"/>
          <w:sz w:val="24"/>
          <w:szCs w:val="24"/>
          <w:lang w:eastAsia="en-GB"/>
        </w:rPr>
        <w:t xml:space="preserve">  The planning round </w:t>
      </w:r>
      <w:r w:rsidRPr="00774D5E">
        <w:rPr>
          <w:rFonts w:ascii="Verdana" w:eastAsia="Times New Roman" w:hAnsi="Verdana" w:cs="Segoe UI"/>
          <w:sz w:val="24"/>
          <w:szCs w:val="24"/>
          <w:lang w:eastAsia="en-GB"/>
        </w:rPr>
        <w:t>enable</w:t>
      </w:r>
      <w:r>
        <w:rPr>
          <w:rFonts w:ascii="Verdana" w:eastAsia="Times New Roman" w:hAnsi="Verdana" w:cs="Segoe UI"/>
          <w:sz w:val="24"/>
          <w:szCs w:val="24"/>
          <w:lang w:eastAsia="en-GB"/>
        </w:rPr>
        <w:t>s</w:t>
      </w:r>
      <w:r w:rsidRPr="00774D5E">
        <w:rPr>
          <w:rFonts w:ascii="Verdana" w:eastAsia="Times New Roman" w:hAnsi="Verdana" w:cs="Segoe UI"/>
          <w:sz w:val="24"/>
          <w:szCs w:val="24"/>
          <w:lang w:eastAsia="en-GB"/>
        </w:rPr>
        <w:t xml:space="preserve"> departments to prioritise and </w:t>
      </w:r>
      <w:r>
        <w:rPr>
          <w:rFonts w:ascii="Verdana" w:eastAsia="Times New Roman" w:hAnsi="Verdana" w:cs="Segoe UI"/>
          <w:sz w:val="24"/>
          <w:szCs w:val="24"/>
          <w:lang w:eastAsia="en-GB"/>
        </w:rPr>
        <w:t>list</w:t>
      </w:r>
      <w:r w:rsidRPr="00774D5E">
        <w:rPr>
          <w:rFonts w:ascii="Verdana" w:eastAsia="Times New Roman" w:hAnsi="Verdana" w:cs="Segoe UI"/>
          <w:sz w:val="24"/>
          <w:szCs w:val="24"/>
          <w:lang w:eastAsia="en-GB"/>
        </w:rPr>
        <w:t xml:space="preserve"> known audit requirements </w:t>
      </w:r>
      <w:r>
        <w:rPr>
          <w:rFonts w:ascii="Verdana" w:eastAsia="Times New Roman" w:hAnsi="Verdana" w:cs="Segoe UI"/>
          <w:sz w:val="24"/>
          <w:szCs w:val="24"/>
          <w:lang w:eastAsia="en-GB"/>
        </w:rPr>
        <w:t xml:space="preserve">for the given period (Level 4).  </w:t>
      </w:r>
      <w:r w:rsidRPr="00774D5E">
        <w:rPr>
          <w:rFonts w:ascii="Verdana" w:eastAsia="Times New Roman" w:hAnsi="Verdana" w:cs="Segoe UI"/>
          <w:sz w:val="24"/>
          <w:szCs w:val="24"/>
          <w:lang w:eastAsia="en-GB"/>
        </w:rPr>
        <w:t>Topic selection should be informed by areas of concern and redress, findings from national audits and registries, and new or updated NICE and other key guidance. Levels 3 and 4 collectively form the basis of the Audit Plan.</w:t>
      </w:r>
    </w:p>
    <w:p w14:paraId="441E2F79" w14:textId="77777777" w:rsidR="00774D5E" w:rsidRPr="00774D5E" w:rsidRDefault="00774D5E" w:rsidP="00287ED9">
      <w:pPr>
        <w:spacing w:before="100" w:beforeAutospacing="1" w:after="100" w:afterAutospacing="1" w:line="240" w:lineRule="auto"/>
        <w:rPr>
          <w:rFonts w:ascii="Verdana" w:eastAsia="Times New Roman" w:hAnsi="Verdana" w:cs="Segoe UI"/>
          <w:sz w:val="24"/>
          <w:szCs w:val="24"/>
          <w:lang w:eastAsia="en-GB"/>
        </w:rPr>
      </w:pPr>
      <w:r w:rsidRPr="00774D5E">
        <w:rPr>
          <w:rFonts w:ascii="Verdana" w:eastAsia="Times New Roman" w:hAnsi="Verdana" w:cs="Segoe UI"/>
          <w:b/>
          <w:bCs/>
          <w:sz w:val="24"/>
          <w:szCs w:val="24"/>
          <w:lang w:eastAsia="en-GB"/>
        </w:rPr>
        <w:t>Level 5</w:t>
      </w:r>
      <w:r w:rsidRPr="00774D5E">
        <w:rPr>
          <w:rFonts w:ascii="Verdana" w:eastAsia="Times New Roman" w:hAnsi="Verdana" w:cs="Segoe UI"/>
          <w:sz w:val="24"/>
          <w:szCs w:val="24"/>
          <w:lang w:eastAsia="en-GB"/>
        </w:rPr>
        <w:t xml:space="preserve"> recognises that emerging risks or issues may necessitate unplanned audits during the audit period, alongside Medical Student projects and participation in regional or national audits not included at Level 1. These ad</w:t>
      </w:r>
      <w:r w:rsidRPr="00774D5E">
        <w:rPr>
          <w:rFonts w:ascii="Verdana" w:eastAsia="Times New Roman" w:hAnsi="Verdana" w:cs="Segoe UI"/>
          <w:sz w:val="24"/>
          <w:szCs w:val="24"/>
          <w:lang w:eastAsia="en-GB"/>
        </w:rPr>
        <w:noBreakHyphen/>
        <w:t>hoc proposals are logged as Level 5 and, if authorised, are incorporated into the wider Audit Programme.</w:t>
      </w:r>
    </w:p>
    <w:p w14:paraId="4C1FC7B4" w14:textId="59218E39" w:rsidR="00235CCA" w:rsidRPr="00F37A62" w:rsidRDefault="00235CCA" w:rsidP="00E755E5">
      <w:pPr>
        <w:spacing w:after="120" w:line="276" w:lineRule="auto"/>
        <w:rPr>
          <w:rFonts w:ascii="Verdana" w:hAnsi="Verdana" w:cs="Arial"/>
          <w:b/>
          <w:bCs/>
          <w:sz w:val="28"/>
          <w:szCs w:val="28"/>
        </w:rPr>
      </w:pPr>
      <w:r w:rsidRPr="00F37A62">
        <w:rPr>
          <w:rFonts w:ascii="Verdana" w:hAnsi="Verdana" w:cs="Arial"/>
          <w:b/>
          <w:bCs/>
          <w:sz w:val="28"/>
          <w:szCs w:val="28"/>
        </w:rPr>
        <w:t>2.  Activity</w:t>
      </w:r>
    </w:p>
    <w:p w14:paraId="3446621F" w14:textId="1CB75F13" w:rsidR="00235CCA" w:rsidRPr="00FC2C90" w:rsidRDefault="00235CCA" w:rsidP="00E755E5">
      <w:pPr>
        <w:spacing w:after="120" w:line="276" w:lineRule="auto"/>
        <w:rPr>
          <w:rFonts w:ascii="Verdana" w:hAnsi="Verdana" w:cs="Arial"/>
          <w:b/>
          <w:bCs/>
          <w:sz w:val="24"/>
          <w:szCs w:val="24"/>
        </w:rPr>
      </w:pPr>
      <w:r w:rsidRPr="00FC2C90">
        <w:rPr>
          <w:rFonts w:ascii="Verdana" w:hAnsi="Verdana" w:cs="Arial"/>
          <w:b/>
          <w:bCs/>
          <w:sz w:val="24"/>
          <w:szCs w:val="24"/>
        </w:rPr>
        <w:t xml:space="preserve">2.1 </w:t>
      </w:r>
      <w:r w:rsidR="006E3538">
        <w:rPr>
          <w:rFonts w:ascii="Verdana" w:hAnsi="Verdana" w:cs="Arial"/>
          <w:b/>
          <w:bCs/>
          <w:sz w:val="24"/>
          <w:szCs w:val="24"/>
        </w:rPr>
        <w:t xml:space="preserve">  </w:t>
      </w:r>
      <w:r w:rsidRPr="00FC2C90">
        <w:rPr>
          <w:rFonts w:ascii="Verdana" w:hAnsi="Verdana" w:cs="Arial"/>
          <w:b/>
          <w:bCs/>
          <w:sz w:val="24"/>
          <w:szCs w:val="24"/>
        </w:rPr>
        <w:t>Digital Systems</w:t>
      </w:r>
    </w:p>
    <w:p w14:paraId="2F5FEC3D" w14:textId="4995C7C2" w:rsidR="008D7C8B" w:rsidRDefault="008D7C8B" w:rsidP="00287ED9">
      <w:pPr>
        <w:spacing w:line="240" w:lineRule="auto"/>
        <w:rPr>
          <w:rFonts w:ascii="Verdana" w:hAnsi="Verdana" w:cs="Arial"/>
          <w:sz w:val="24"/>
          <w:szCs w:val="24"/>
        </w:rPr>
      </w:pPr>
      <w:r>
        <w:rPr>
          <w:rFonts w:ascii="Verdana" w:hAnsi="Verdana" w:cs="Arial"/>
          <w:sz w:val="24"/>
          <w:szCs w:val="24"/>
        </w:rPr>
        <w:t>At the request of Quality Improvement colleagues, the Clinical Audit and Effectiveness Department (CAED) no longer log Q</w:t>
      </w:r>
      <w:r w:rsidR="00BD0BED">
        <w:rPr>
          <w:rFonts w:ascii="Verdana" w:hAnsi="Verdana" w:cs="Arial"/>
          <w:sz w:val="24"/>
          <w:szCs w:val="24"/>
        </w:rPr>
        <w:t xml:space="preserve">uality </w:t>
      </w:r>
      <w:r>
        <w:rPr>
          <w:rFonts w:ascii="Verdana" w:hAnsi="Verdana" w:cs="Arial"/>
          <w:sz w:val="24"/>
          <w:szCs w:val="24"/>
        </w:rPr>
        <w:t>I</w:t>
      </w:r>
      <w:r w:rsidR="00BD0BED">
        <w:rPr>
          <w:rFonts w:ascii="Verdana" w:hAnsi="Verdana" w:cs="Arial"/>
          <w:sz w:val="24"/>
          <w:szCs w:val="24"/>
        </w:rPr>
        <w:t>mprovement (QI)</w:t>
      </w:r>
      <w:r>
        <w:rPr>
          <w:rFonts w:ascii="Verdana" w:hAnsi="Verdana" w:cs="Arial"/>
          <w:sz w:val="24"/>
          <w:szCs w:val="24"/>
        </w:rPr>
        <w:t xml:space="preserve"> activities and signpost them to the QI Hive.</w:t>
      </w:r>
    </w:p>
    <w:p w14:paraId="400AA87E" w14:textId="26ECD2B7" w:rsidR="00235CCA" w:rsidRPr="00FC2C90" w:rsidRDefault="00235CCA" w:rsidP="00287ED9">
      <w:pPr>
        <w:spacing w:line="240" w:lineRule="auto"/>
        <w:rPr>
          <w:rFonts w:ascii="Verdana" w:hAnsi="Verdana" w:cs="Arial"/>
          <w:sz w:val="24"/>
          <w:szCs w:val="24"/>
        </w:rPr>
      </w:pPr>
      <w:r w:rsidRPr="00FC2C90">
        <w:rPr>
          <w:rFonts w:ascii="Verdana" w:hAnsi="Verdana" w:cs="Arial"/>
          <w:sz w:val="24"/>
          <w:szCs w:val="24"/>
        </w:rPr>
        <w:t>Nursing</w:t>
      </w:r>
      <w:r w:rsidR="00C42BDD">
        <w:rPr>
          <w:rFonts w:ascii="Verdana" w:hAnsi="Verdana" w:cs="Arial"/>
          <w:sz w:val="24"/>
          <w:szCs w:val="24"/>
        </w:rPr>
        <w:t>, Midwifery and Allied Health Professionals con</w:t>
      </w:r>
      <w:r w:rsidRPr="00FC2C90">
        <w:rPr>
          <w:rFonts w:ascii="Verdana" w:hAnsi="Verdana" w:cs="Arial"/>
          <w:sz w:val="24"/>
          <w:szCs w:val="24"/>
        </w:rPr>
        <w:t>tinue to utilise the Audit Management and Tracking (A</w:t>
      </w:r>
      <w:r w:rsidR="006E3538">
        <w:rPr>
          <w:rFonts w:ascii="Verdana" w:hAnsi="Verdana" w:cs="Arial"/>
          <w:sz w:val="24"/>
          <w:szCs w:val="24"/>
        </w:rPr>
        <w:t>M</w:t>
      </w:r>
      <w:r w:rsidRPr="00FC2C90">
        <w:rPr>
          <w:rFonts w:ascii="Verdana" w:hAnsi="Verdana" w:cs="Arial"/>
          <w:sz w:val="24"/>
          <w:szCs w:val="24"/>
        </w:rPr>
        <w:t xml:space="preserve">aT) system in support of several </w:t>
      </w:r>
      <w:r w:rsidR="00C42BDD">
        <w:rPr>
          <w:rFonts w:ascii="Verdana" w:hAnsi="Verdana" w:cs="Arial"/>
          <w:sz w:val="24"/>
          <w:szCs w:val="24"/>
        </w:rPr>
        <w:t xml:space="preserve">continuous or ongoing </w:t>
      </w:r>
      <w:r w:rsidRPr="00FC2C90">
        <w:rPr>
          <w:rFonts w:ascii="Verdana" w:hAnsi="Verdana" w:cs="Arial"/>
          <w:sz w:val="24"/>
          <w:szCs w:val="24"/>
        </w:rPr>
        <w:t xml:space="preserve">work-streams.   </w:t>
      </w:r>
    </w:p>
    <w:p w14:paraId="2B31F6EF" w14:textId="4BF1A5C0" w:rsidR="00235CCA" w:rsidRPr="00FC2C90" w:rsidRDefault="00235CCA" w:rsidP="00287ED9">
      <w:pPr>
        <w:spacing w:line="240" w:lineRule="auto"/>
        <w:rPr>
          <w:rFonts w:ascii="Verdana" w:hAnsi="Verdana" w:cs="Arial"/>
          <w:sz w:val="24"/>
          <w:szCs w:val="24"/>
        </w:rPr>
      </w:pPr>
      <w:r w:rsidRPr="00FC2C90">
        <w:rPr>
          <w:rFonts w:ascii="Verdana" w:hAnsi="Verdana" w:cs="Arial"/>
          <w:sz w:val="24"/>
          <w:szCs w:val="24"/>
        </w:rPr>
        <w:t xml:space="preserve">In response to user feedback, the </w:t>
      </w:r>
      <w:r w:rsidR="008D7C8B">
        <w:rPr>
          <w:rFonts w:ascii="Verdana" w:hAnsi="Verdana" w:cs="Arial"/>
          <w:sz w:val="24"/>
          <w:szCs w:val="24"/>
        </w:rPr>
        <w:t xml:space="preserve">CAED </w:t>
      </w:r>
      <w:r w:rsidRPr="00FC2C90">
        <w:rPr>
          <w:rFonts w:ascii="Verdana" w:hAnsi="Verdana" w:cs="Arial"/>
          <w:sz w:val="24"/>
          <w:szCs w:val="24"/>
        </w:rPr>
        <w:t xml:space="preserve">reverted to using SharePoint for registration and monitoring of audit activities for topics logged </w:t>
      </w:r>
      <w:r w:rsidR="00F60359">
        <w:rPr>
          <w:rFonts w:ascii="Verdana" w:hAnsi="Verdana" w:cs="Arial"/>
          <w:sz w:val="24"/>
          <w:szCs w:val="24"/>
        </w:rPr>
        <w:t xml:space="preserve">from </w:t>
      </w:r>
      <w:r w:rsidR="008A510E">
        <w:rPr>
          <w:rFonts w:ascii="Verdana" w:hAnsi="Verdana" w:cs="Arial"/>
          <w:sz w:val="24"/>
          <w:szCs w:val="24"/>
        </w:rPr>
        <w:t>1</w:t>
      </w:r>
      <w:r w:rsidR="008A510E" w:rsidRPr="008A510E">
        <w:rPr>
          <w:rFonts w:ascii="Verdana" w:hAnsi="Verdana" w:cs="Arial"/>
          <w:sz w:val="24"/>
          <w:szCs w:val="24"/>
          <w:vertAlign w:val="superscript"/>
        </w:rPr>
        <w:t>st</w:t>
      </w:r>
      <w:r w:rsidR="00F60359">
        <w:rPr>
          <w:rFonts w:ascii="Verdana" w:hAnsi="Verdana" w:cs="Arial"/>
          <w:sz w:val="24"/>
          <w:szCs w:val="24"/>
        </w:rPr>
        <w:t xml:space="preserve"> </w:t>
      </w:r>
      <w:r w:rsidR="00F60359">
        <w:rPr>
          <w:rFonts w:ascii="Verdana" w:hAnsi="Verdana" w:cs="Arial"/>
          <w:sz w:val="24"/>
          <w:szCs w:val="24"/>
        </w:rPr>
        <w:lastRenderedPageBreak/>
        <w:t>April 2024</w:t>
      </w:r>
      <w:r w:rsidR="00D52EDC">
        <w:rPr>
          <w:rFonts w:ascii="Verdana" w:hAnsi="Verdana" w:cs="Arial"/>
          <w:sz w:val="24"/>
          <w:szCs w:val="24"/>
        </w:rPr>
        <w:t xml:space="preserve">.  In January 2026, the SharePoint site was used as the basis of a new Clinical Audit App.  All historic topics unaccounted for on </w:t>
      </w:r>
      <w:r w:rsidRPr="00FC2C90">
        <w:rPr>
          <w:rFonts w:ascii="Verdana" w:hAnsi="Verdana" w:cs="Arial"/>
          <w:sz w:val="24"/>
          <w:szCs w:val="24"/>
        </w:rPr>
        <w:t>A</w:t>
      </w:r>
      <w:r w:rsidR="006E3538">
        <w:rPr>
          <w:rFonts w:ascii="Verdana" w:hAnsi="Verdana" w:cs="Arial"/>
          <w:sz w:val="24"/>
          <w:szCs w:val="24"/>
        </w:rPr>
        <w:t>M</w:t>
      </w:r>
      <w:r w:rsidRPr="00FC2C90">
        <w:rPr>
          <w:rFonts w:ascii="Verdana" w:hAnsi="Verdana" w:cs="Arial"/>
          <w:sz w:val="24"/>
          <w:szCs w:val="24"/>
        </w:rPr>
        <w:t xml:space="preserve">aT </w:t>
      </w:r>
      <w:r w:rsidR="00D52EDC">
        <w:rPr>
          <w:rFonts w:ascii="Verdana" w:hAnsi="Verdana" w:cs="Arial"/>
          <w:sz w:val="24"/>
          <w:szCs w:val="24"/>
        </w:rPr>
        <w:t>were migrated across to the new app.</w:t>
      </w:r>
    </w:p>
    <w:p w14:paraId="636C9622" w14:textId="14A3053B" w:rsidR="00235CCA" w:rsidRPr="00933236" w:rsidRDefault="00235CCA" w:rsidP="00933236">
      <w:pPr>
        <w:pStyle w:val="ListParagraph"/>
        <w:numPr>
          <w:ilvl w:val="1"/>
          <w:numId w:val="27"/>
        </w:numPr>
        <w:spacing w:line="276" w:lineRule="auto"/>
        <w:rPr>
          <w:rFonts w:ascii="Verdana" w:hAnsi="Verdana" w:cs="Arial"/>
          <w:b/>
          <w:bCs/>
          <w:sz w:val="24"/>
          <w:szCs w:val="24"/>
        </w:rPr>
      </w:pPr>
      <w:r w:rsidRPr="00933236">
        <w:rPr>
          <w:rFonts w:ascii="Verdana" w:hAnsi="Verdana" w:cs="Arial"/>
          <w:b/>
          <w:bCs/>
          <w:sz w:val="24"/>
          <w:szCs w:val="24"/>
        </w:rPr>
        <w:t xml:space="preserve">Explaining </w:t>
      </w:r>
      <w:r w:rsidR="00D07CD1" w:rsidRPr="00933236">
        <w:rPr>
          <w:rFonts w:ascii="Verdana" w:hAnsi="Verdana" w:cs="Arial"/>
          <w:b/>
          <w:bCs/>
          <w:sz w:val="24"/>
          <w:szCs w:val="24"/>
        </w:rPr>
        <w:t>F</w:t>
      </w:r>
      <w:r w:rsidRPr="00933236">
        <w:rPr>
          <w:rFonts w:ascii="Verdana" w:hAnsi="Verdana" w:cs="Arial"/>
          <w:b/>
          <w:bCs/>
          <w:sz w:val="24"/>
          <w:szCs w:val="24"/>
        </w:rPr>
        <w:t>igures</w:t>
      </w:r>
    </w:p>
    <w:p w14:paraId="5AEFE629" w14:textId="4A0A8B2E" w:rsidR="00235CCA" w:rsidRDefault="00235CCA" w:rsidP="00287ED9">
      <w:pPr>
        <w:spacing w:line="240" w:lineRule="auto"/>
        <w:rPr>
          <w:rFonts w:ascii="Verdana" w:hAnsi="Verdana" w:cs="Arial"/>
          <w:sz w:val="24"/>
          <w:szCs w:val="24"/>
        </w:rPr>
      </w:pPr>
      <w:r w:rsidRPr="00FC2C90">
        <w:rPr>
          <w:rFonts w:ascii="Verdana" w:hAnsi="Verdana" w:cs="Arial"/>
          <w:sz w:val="24"/>
          <w:szCs w:val="24"/>
        </w:rPr>
        <w:t>The figures relate to Levels 3 and 4 of the Audit Hierarchy</w:t>
      </w:r>
      <w:r w:rsidR="00F87E72">
        <w:rPr>
          <w:rFonts w:ascii="Verdana" w:hAnsi="Verdana" w:cs="Arial"/>
          <w:sz w:val="24"/>
          <w:szCs w:val="24"/>
        </w:rPr>
        <w:t xml:space="preserve"> for 2022/23 and 2023/24.  For the 2024/26 completion figures, </w:t>
      </w:r>
      <w:r w:rsidR="00A97A04">
        <w:rPr>
          <w:rFonts w:ascii="Verdana" w:hAnsi="Verdana" w:cs="Arial"/>
          <w:sz w:val="24"/>
          <w:szCs w:val="24"/>
        </w:rPr>
        <w:t xml:space="preserve">completed </w:t>
      </w:r>
      <w:r w:rsidR="00F87E72">
        <w:rPr>
          <w:rFonts w:ascii="Verdana" w:hAnsi="Verdana" w:cs="Arial"/>
          <w:sz w:val="24"/>
          <w:szCs w:val="24"/>
        </w:rPr>
        <w:t xml:space="preserve">Level 5 ad-hoc topics have </w:t>
      </w:r>
      <w:r w:rsidR="00A97A04">
        <w:rPr>
          <w:rFonts w:ascii="Verdana" w:hAnsi="Verdana" w:cs="Arial"/>
          <w:sz w:val="24"/>
          <w:szCs w:val="24"/>
        </w:rPr>
        <w:t xml:space="preserve">also </w:t>
      </w:r>
      <w:r w:rsidR="00F87E72">
        <w:rPr>
          <w:rFonts w:ascii="Verdana" w:hAnsi="Verdana" w:cs="Arial"/>
          <w:sz w:val="24"/>
          <w:szCs w:val="24"/>
        </w:rPr>
        <w:t>been included.</w:t>
      </w:r>
    </w:p>
    <w:p w14:paraId="0646F250" w14:textId="2DF85A8A" w:rsidR="0065349E" w:rsidRPr="00933236" w:rsidRDefault="0065349E" w:rsidP="00933236">
      <w:pPr>
        <w:pStyle w:val="ListParagraph"/>
        <w:numPr>
          <w:ilvl w:val="1"/>
          <w:numId w:val="27"/>
        </w:numPr>
        <w:spacing w:line="276" w:lineRule="auto"/>
        <w:rPr>
          <w:rFonts w:ascii="Verdana" w:hAnsi="Verdana" w:cs="Arial"/>
          <w:b/>
          <w:bCs/>
          <w:sz w:val="24"/>
          <w:szCs w:val="24"/>
        </w:rPr>
      </w:pPr>
      <w:r w:rsidRPr="00933236">
        <w:rPr>
          <w:rFonts w:ascii="Verdana" w:hAnsi="Verdana" w:cs="Arial"/>
          <w:b/>
          <w:bCs/>
          <w:sz w:val="24"/>
          <w:szCs w:val="24"/>
        </w:rPr>
        <w:t>Health Board Overview 2022/23 to 202</w:t>
      </w:r>
      <w:r w:rsidR="00A160C1" w:rsidRPr="00933236">
        <w:rPr>
          <w:rFonts w:ascii="Verdana" w:hAnsi="Verdana" w:cs="Arial"/>
          <w:b/>
          <w:bCs/>
          <w:sz w:val="24"/>
          <w:szCs w:val="24"/>
        </w:rPr>
        <w:t>6</w:t>
      </w:r>
    </w:p>
    <w:p w14:paraId="18F09730" w14:textId="267290D3" w:rsidR="005A02FC" w:rsidRDefault="00F60359" w:rsidP="00287ED9">
      <w:pPr>
        <w:spacing w:line="240" w:lineRule="auto"/>
        <w:rPr>
          <w:rFonts w:ascii="Verdana" w:hAnsi="Verdana" w:cs="Arial"/>
          <w:sz w:val="24"/>
          <w:szCs w:val="24"/>
        </w:rPr>
      </w:pPr>
      <w:r>
        <w:rPr>
          <w:rFonts w:ascii="Verdana" w:hAnsi="Verdana" w:cs="Arial"/>
          <w:sz w:val="24"/>
          <w:szCs w:val="24"/>
        </w:rPr>
        <w:t xml:space="preserve">Figure 2 below shows </w:t>
      </w:r>
      <w:r w:rsidR="0060660F">
        <w:rPr>
          <w:rFonts w:ascii="Verdana" w:hAnsi="Verdana" w:cs="Arial"/>
          <w:sz w:val="24"/>
          <w:szCs w:val="24"/>
        </w:rPr>
        <w:t xml:space="preserve">the Health Board’s </w:t>
      </w:r>
      <w:r>
        <w:rPr>
          <w:rFonts w:ascii="Verdana" w:hAnsi="Verdana" w:cs="Arial"/>
          <w:sz w:val="24"/>
          <w:szCs w:val="24"/>
        </w:rPr>
        <w:t xml:space="preserve">progress with the individual audit periods at different points in time, </w:t>
      </w:r>
      <w:r w:rsidR="00A160C1">
        <w:rPr>
          <w:rFonts w:ascii="Verdana" w:hAnsi="Verdana" w:cs="Arial"/>
          <w:sz w:val="24"/>
          <w:szCs w:val="24"/>
        </w:rPr>
        <w:t xml:space="preserve">supporting the </w:t>
      </w:r>
      <w:r>
        <w:rPr>
          <w:rFonts w:ascii="Verdana" w:hAnsi="Verdana" w:cs="Arial"/>
          <w:sz w:val="24"/>
          <w:szCs w:val="24"/>
        </w:rPr>
        <w:t xml:space="preserve">move towards an extended two-year audit </w:t>
      </w:r>
      <w:r w:rsidR="00A160C1">
        <w:rPr>
          <w:rFonts w:ascii="Verdana" w:hAnsi="Verdana" w:cs="Arial"/>
          <w:sz w:val="24"/>
          <w:szCs w:val="24"/>
        </w:rPr>
        <w:t>programme;</w:t>
      </w:r>
    </w:p>
    <w:tbl>
      <w:tblPr>
        <w:tblStyle w:val="TableGrid"/>
        <w:tblW w:w="9093" w:type="dxa"/>
        <w:tblInd w:w="-5" w:type="dxa"/>
        <w:tblLayout w:type="fixed"/>
        <w:tblLook w:val="04A0" w:firstRow="1" w:lastRow="0" w:firstColumn="1" w:lastColumn="0" w:noHBand="0" w:noVBand="1"/>
      </w:tblPr>
      <w:tblGrid>
        <w:gridCol w:w="471"/>
        <w:gridCol w:w="419"/>
        <w:gridCol w:w="237"/>
        <w:gridCol w:w="469"/>
        <w:gridCol w:w="418"/>
        <w:gridCol w:w="236"/>
        <w:gridCol w:w="468"/>
        <w:gridCol w:w="422"/>
        <w:gridCol w:w="270"/>
        <w:gridCol w:w="139"/>
        <w:gridCol w:w="102"/>
        <w:gridCol w:w="359"/>
        <w:gridCol w:w="418"/>
        <w:gridCol w:w="236"/>
        <w:gridCol w:w="469"/>
        <w:gridCol w:w="418"/>
        <w:gridCol w:w="236"/>
        <w:gridCol w:w="469"/>
        <w:gridCol w:w="420"/>
        <w:gridCol w:w="111"/>
        <w:gridCol w:w="311"/>
        <w:gridCol w:w="82"/>
        <w:gridCol w:w="236"/>
        <w:gridCol w:w="148"/>
        <w:gridCol w:w="418"/>
        <w:gridCol w:w="236"/>
        <w:gridCol w:w="456"/>
        <w:gridCol w:w="125"/>
        <w:gridCol w:w="282"/>
        <w:gridCol w:w="12"/>
      </w:tblGrid>
      <w:tr w:rsidR="00DA6EDE" w:rsidRPr="00DA6EDE" w14:paraId="6E7A8BBC" w14:textId="77777777" w:rsidTr="00F1343E">
        <w:trPr>
          <w:gridAfter w:val="2"/>
          <w:wAfter w:w="294" w:type="dxa"/>
          <w:trHeight w:val="447"/>
        </w:trPr>
        <w:tc>
          <w:tcPr>
            <w:tcW w:w="3140" w:type="dxa"/>
            <w:gridSpan w:val="8"/>
            <w:tcBorders>
              <w:top w:val="nil"/>
              <w:left w:val="nil"/>
              <w:bottom w:val="nil"/>
              <w:right w:val="nil"/>
            </w:tcBorders>
            <w:vAlign w:val="center"/>
          </w:tcPr>
          <w:p w14:paraId="6581A967" w14:textId="77777777" w:rsidR="00770A5A" w:rsidRPr="00DA6EDE" w:rsidRDefault="00770A5A" w:rsidP="00287ED9">
            <w:pPr>
              <w:jc w:val="center"/>
              <w:rPr>
                <w:rFonts w:ascii="Arial" w:hAnsi="Arial" w:cs="Arial"/>
                <w:b/>
                <w:bCs/>
                <w:sz w:val="24"/>
                <w:szCs w:val="24"/>
              </w:rPr>
            </w:pPr>
            <w:r w:rsidRPr="00DA6EDE">
              <w:rPr>
                <w:rFonts w:ascii="Arial" w:hAnsi="Arial" w:cs="Arial"/>
                <w:b/>
                <w:bCs/>
                <w:sz w:val="24"/>
                <w:szCs w:val="24"/>
              </w:rPr>
              <w:t>2022/23</w:t>
            </w:r>
          </w:p>
        </w:tc>
        <w:tc>
          <w:tcPr>
            <w:tcW w:w="270" w:type="dxa"/>
            <w:tcBorders>
              <w:top w:val="nil"/>
              <w:left w:val="nil"/>
              <w:bottom w:val="nil"/>
              <w:right w:val="nil"/>
            </w:tcBorders>
            <w:vAlign w:val="center"/>
          </w:tcPr>
          <w:p w14:paraId="3A4CBD51" w14:textId="77777777" w:rsidR="00770A5A" w:rsidRPr="00DA6EDE" w:rsidRDefault="00770A5A" w:rsidP="00287ED9">
            <w:pPr>
              <w:jc w:val="center"/>
              <w:rPr>
                <w:rFonts w:ascii="Arial" w:hAnsi="Arial" w:cs="Arial"/>
                <w:b/>
                <w:bCs/>
                <w:sz w:val="24"/>
                <w:szCs w:val="24"/>
              </w:rPr>
            </w:pPr>
          </w:p>
        </w:tc>
        <w:tc>
          <w:tcPr>
            <w:tcW w:w="241" w:type="dxa"/>
            <w:gridSpan w:val="2"/>
            <w:tcBorders>
              <w:top w:val="nil"/>
              <w:left w:val="nil"/>
              <w:bottom w:val="nil"/>
              <w:right w:val="nil"/>
            </w:tcBorders>
            <w:vAlign w:val="center"/>
          </w:tcPr>
          <w:p w14:paraId="2D07B1A8" w14:textId="77777777" w:rsidR="00770A5A" w:rsidRPr="00DA6EDE" w:rsidRDefault="00770A5A" w:rsidP="00287ED9">
            <w:pPr>
              <w:jc w:val="center"/>
              <w:rPr>
                <w:rFonts w:ascii="Arial" w:hAnsi="Arial" w:cs="Arial"/>
                <w:b/>
                <w:bCs/>
                <w:sz w:val="24"/>
                <w:szCs w:val="24"/>
              </w:rPr>
            </w:pPr>
          </w:p>
        </w:tc>
        <w:tc>
          <w:tcPr>
            <w:tcW w:w="3136" w:type="dxa"/>
            <w:gridSpan w:val="9"/>
            <w:tcBorders>
              <w:top w:val="nil"/>
              <w:left w:val="nil"/>
              <w:bottom w:val="nil"/>
              <w:right w:val="nil"/>
            </w:tcBorders>
            <w:vAlign w:val="center"/>
          </w:tcPr>
          <w:p w14:paraId="1B373CB8" w14:textId="070BE6E4" w:rsidR="00770A5A" w:rsidRPr="00DA6EDE" w:rsidRDefault="00F1343E" w:rsidP="00287ED9">
            <w:pPr>
              <w:rPr>
                <w:rFonts w:ascii="Arial" w:hAnsi="Arial" w:cs="Arial"/>
                <w:b/>
                <w:bCs/>
                <w:sz w:val="24"/>
                <w:szCs w:val="24"/>
              </w:rPr>
            </w:pPr>
            <w:r>
              <w:rPr>
                <w:rFonts w:ascii="Arial" w:hAnsi="Arial" w:cs="Arial"/>
                <w:b/>
                <w:bCs/>
                <w:sz w:val="24"/>
                <w:szCs w:val="24"/>
              </w:rPr>
              <w:t xml:space="preserve">             </w:t>
            </w:r>
            <w:r w:rsidRPr="00F1343E">
              <w:rPr>
                <w:rFonts w:ascii="Arial" w:hAnsi="Arial" w:cs="Arial"/>
                <w:b/>
                <w:bCs/>
                <w:color w:val="FFFFFF" w:themeColor="background1"/>
                <w:sz w:val="16"/>
                <w:szCs w:val="16"/>
              </w:rPr>
              <w:t>.</w:t>
            </w:r>
            <w:r>
              <w:rPr>
                <w:rFonts w:ascii="Arial" w:hAnsi="Arial" w:cs="Arial"/>
                <w:b/>
                <w:bCs/>
                <w:sz w:val="24"/>
                <w:szCs w:val="24"/>
              </w:rPr>
              <w:t>2</w:t>
            </w:r>
            <w:r w:rsidR="00770A5A" w:rsidRPr="00DA6EDE">
              <w:rPr>
                <w:rFonts w:ascii="Arial" w:hAnsi="Arial" w:cs="Arial"/>
                <w:b/>
                <w:bCs/>
                <w:sz w:val="24"/>
                <w:szCs w:val="24"/>
              </w:rPr>
              <w:t>023/24</w:t>
            </w:r>
          </w:p>
        </w:tc>
        <w:tc>
          <w:tcPr>
            <w:tcW w:w="393" w:type="dxa"/>
            <w:gridSpan w:val="2"/>
            <w:tcBorders>
              <w:top w:val="nil"/>
              <w:left w:val="nil"/>
              <w:bottom w:val="nil"/>
              <w:right w:val="nil"/>
            </w:tcBorders>
            <w:vAlign w:val="center"/>
          </w:tcPr>
          <w:p w14:paraId="31212BA5" w14:textId="77777777" w:rsidR="00770A5A" w:rsidRPr="00DA6EDE" w:rsidRDefault="00770A5A" w:rsidP="00287ED9">
            <w:pPr>
              <w:jc w:val="center"/>
              <w:rPr>
                <w:rFonts w:ascii="Arial" w:hAnsi="Arial" w:cs="Arial"/>
                <w:b/>
                <w:bCs/>
                <w:sz w:val="24"/>
                <w:szCs w:val="24"/>
              </w:rPr>
            </w:pPr>
          </w:p>
        </w:tc>
        <w:tc>
          <w:tcPr>
            <w:tcW w:w="236" w:type="dxa"/>
            <w:tcBorders>
              <w:top w:val="nil"/>
              <w:left w:val="nil"/>
              <w:bottom w:val="nil"/>
              <w:right w:val="nil"/>
            </w:tcBorders>
            <w:vAlign w:val="center"/>
          </w:tcPr>
          <w:p w14:paraId="609439BF" w14:textId="77777777" w:rsidR="00770A5A" w:rsidRPr="00DA6EDE" w:rsidRDefault="00770A5A" w:rsidP="00287ED9">
            <w:pPr>
              <w:jc w:val="center"/>
              <w:rPr>
                <w:rFonts w:ascii="Arial" w:hAnsi="Arial" w:cs="Arial"/>
                <w:b/>
                <w:bCs/>
                <w:sz w:val="24"/>
                <w:szCs w:val="24"/>
              </w:rPr>
            </w:pPr>
          </w:p>
        </w:tc>
        <w:tc>
          <w:tcPr>
            <w:tcW w:w="1383" w:type="dxa"/>
            <w:gridSpan w:val="5"/>
            <w:tcBorders>
              <w:top w:val="nil"/>
              <w:left w:val="nil"/>
              <w:bottom w:val="nil"/>
              <w:right w:val="nil"/>
            </w:tcBorders>
            <w:vAlign w:val="center"/>
          </w:tcPr>
          <w:p w14:paraId="3178484D" w14:textId="77777777" w:rsidR="00770A5A" w:rsidRPr="00DA6EDE" w:rsidRDefault="00770A5A" w:rsidP="00287ED9">
            <w:pPr>
              <w:jc w:val="center"/>
              <w:rPr>
                <w:rFonts w:ascii="Arial" w:hAnsi="Arial" w:cs="Arial"/>
                <w:b/>
                <w:bCs/>
                <w:sz w:val="24"/>
                <w:szCs w:val="24"/>
              </w:rPr>
            </w:pPr>
            <w:r w:rsidRPr="00DA6EDE">
              <w:rPr>
                <w:rFonts w:ascii="Arial" w:hAnsi="Arial" w:cs="Arial"/>
                <w:b/>
                <w:bCs/>
                <w:sz w:val="24"/>
                <w:szCs w:val="24"/>
              </w:rPr>
              <w:t>2024-26</w:t>
            </w:r>
          </w:p>
        </w:tc>
      </w:tr>
      <w:tr w:rsidR="00F1343E" w:rsidRPr="00F1343E" w14:paraId="0885255B" w14:textId="77777777" w:rsidTr="00F1343E">
        <w:trPr>
          <w:trHeight w:val="231"/>
        </w:trPr>
        <w:tc>
          <w:tcPr>
            <w:tcW w:w="890" w:type="dxa"/>
            <w:gridSpan w:val="2"/>
            <w:tcBorders>
              <w:top w:val="nil"/>
              <w:left w:val="single" w:sz="12" w:space="0" w:color="FFFFFF" w:themeColor="background1"/>
              <w:bottom w:val="single" w:sz="12" w:space="0" w:color="FFFFFF" w:themeColor="background1"/>
              <w:right w:val="single" w:sz="12" w:space="0" w:color="FFFFFF" w:themeColor="background1"/>
            </w:tcBorders>
          </w:tcPr>
          <w:p w14:paraId="6E4F9C5C" w14:textId="77777777" w:rsidR="00F1343E" w:rsidRPr="00F1343E" w:rsidRDefault="00F1343E" w:rsidP="00287ED9">
            <w:pPr>
              <w:rPr>
                <w:rFonts w:ascii="Arial" w:hAnsi="Arial" w:cs="Arial"/>
                <w:sz w:val="17"/>
                <w:szCs w:val="17"/>
              </w:rPr>
            </w:pPr>
            <w:r w:rsidRPr="00F1343E">
              <w:rPr>
                <w:rFonts w:ascii="Arial" w:hAnsi="Arial" w:cs="Arial"/>
                <w:sz w:val="17"/>
                <w:szCs w:val="17"/>
              </w:rPr>
              <w:t>@ 23/24</w:t>
            </w:r>
          </w:p>
        </w:tc>
        <w:tc>
          <w:tcPr>
            <w:tcW w:w="237" w:type="dxa"/>
            <w:tcBorders>
              <w:top w:val="nil"/>
              <w:left w:val="single" w:sz="12" w:space="0" w:color="FFFFFF" w:themeColor="background1"/>
              <w:bottom w:val="single" w:sz="12" w:space="0" w:color="FFFFFF" w:themeColor="background1"/>
              <w:right w:val="single" w:sz="12" w:space="0" w:color="FFFFFF" w:themeColor="background1"/>
            </w:tcBorders>
          </w:tcPr>
          <w:p w14:paraId="7F2E795E" w14:textId="77777777" w:rsidR="00F1343E" w:rsidRPr="00F1343E" w:rsidRDefault="00F1343E" w:rsidP="00287ED9">
            <w:pPr>
              <w:rPr>
                <w:rFonts w:ascii="Arial" w:hAnsi="Arial" w:cs="Arial"/>
                <w:sz w:val="17"/>
                <w:szCs w:val="17"/>
              </w:rPr>
            </w:pPr>
          </w:p>
        </w:tc>
        <w:tc>
          <w:tcPr>
            <w:tcW w:w="887" w:type="dxa"/>
            <w:gridSpan w:val="2"/>
            <w:tcBorders>
              <w:top w:val="nil"/>
              <w:left w:val="single" w:sz="12" w:space="0" w:color="FFFFFF" w:themeColor="background1"/>
              <w:bottom w:val="single" w:sz="12" w:space="0" w:color="FFFFFF" w:themeColor="background1"/>
              <w:right w:val="single" w:sz="12" w:space="0" w:color="FFFFFF" w:themeColor="background1"/>
            </w:tcBorders>
          </w:tcPr>
          <w:p w14:paraId="34F30668" w14:textId="77777777" w:rsidR="00F1343E" w:rsidRPr="00F1343E" w:rsidRDefault="00F1343E" w:rsidP="00287ED9">
            <w:pPr>
              <w:rPr>
                <w:rFonts w:ascii="Arial" w:hAnsi="Arial" w:cs="Arial"/>
                <w:sz w:val="17"/>
                <w:szCs w:val="17"/>
              </w:rPr>
            </w:pPr>
            <w:r w:rsidRPr="00F1343E">
              <w:rPr>
                <w:rFonts w:ascii="Arial" w:hAnsi="Arial" w:cs="Arial"/>
                <w:sz w:val="17"/>
                <w:szCs w:val="17"/>
              </w:rPr>
              <w:t>@ 24/25</w:t>
            </w:r>
          </w:p>
        </w:tc>
        <w:tc>
          <w:tcPr>
            <w:tcW w:w="236" w:type="dxa"/>
            <w:tcBorders>
              <w:top w:val="nil"/>
              <w:left w:val="single" w:sz="12" w:space="0" w:color="FFFFFF" w:themeColor="background1"/>
              <w:bottom w:val="single" w:sz="12" w:space="0" w:color="FFFFFF" w:themeColor="background1"/>
              <w:right w:val="single" w:sz="12" w:space="0" w:color="FFFFFF" w:themeColor="background1"/>
            </w:tcBorders>
          </w:tcPr>
          <w:p w14:paraId="6A4995FA" w14:textId="77777777" w:rsidR="00F1343E" w:rsidRPr="00F1343E" w:rsidRDefault="00F1343E" w:rsidP="00287ED9">
            <w:pPr>
              <w:rPr>
                <w:rFonts w:ascii="Arial" w:hAnsi="Arial" w:cs="Arial"/>
                <w:sz w:val="17"/>
                <w:szCs w:val="17"/>
              </w:rPr>
            </w:pPr>
          </w:p>
        </w:tc>
        <w:tc>
          <w:tcPr>
            <w:tcW w:w="890" w:type="dxa"/>
            <w:gridSpan w:val="2"/>
            <w:tcBorders>
              <w:top w:val="nil"/>
              <w:left w:val="single" w:sz="12" w:space="0" w:color="FFFFFF" w:themeColor="background1"/>
              <w:bottom w:val="single" w:sz="12" w:space="0" w:color="FFFFFF" w:themeColor="background1"/>
              <w:right w:val="single" w:sz="12" w:space="0" w:color="FFFFFF" w:themeColor="background1"/>
            </w:tcBorders>
          </w:tcPr>
          <w:p w14:paraId="240B7BA0" w14:textId="77777777" w:rsidR="00F1343E" w:rsidRPr="00F1343E" w:rsidRDefault="00F1343E" w:rsidP="00287ED9">
            <w:pPr>
              <w:rPr>
                <w:rFonts w:ascii="Arial" w:hAnsi="Arial" w:cs="Arial"/>
                <w:sz w:val="17"/>
                <w:szCs w:val="17"/>
              </w:rPr>
            </w:pPr>
            <w:r w:rsidRPr="00F1343E">
              <w:rPr>
                <w:rFonts w:ascii="Arial" w:hAnsi="Arial" w:cs="Arial"/>
                <w:sz w:val="17"/>
                <w:szCs w:val="17"/>
              </w:rPr>
              <w:t>@ 25/26</w:t>
            </w:r>
          </w:p>
        </w:tc>
        <w:tc>
          <w:tcPr>
            <w:tcW w:w="409" w:type="dxa"/>
            <w:gridSpan w:val="2"/>
            <w:vMerge w:val="restart"/>
            <w:tcBorders>
              <w:top w:val="nil"/>
              <w:left w:val="single" w:sz="12" w:space="0" w:color="FFFFFF" w:themeColor="background1"/>
              <w:right w:val="single" w:sz="12" w:space="0" w:color="FFFFFF" w:themeColor="background1"/>
            </w:tcBorders>
          </w:tcPr>
          <w:p w14:paraId="7A669305" w14:textId="77777777" w:rsidR="00F1343E" w:rsidRPr="00F1343E" w:rsidRDefault="00F1343E" w:rsidP="00287ED9">
            <w:pPr>
              <w:rPr>
                <w:rFonts w:ascii="Arial" w:hAnsi="Arial" w:cs="Arial"/>
                <w:sz w:val="17"/>
                <w:szCs w:val="17"/>
              </w:rPr>
            </w:pPr>
          </w:p>
        </w:tc>
        <w:tc>
          <w:tcPr>
            <w:tcW w:w="879" w:type="dxa"/>
            <w:gridSpan w:val="3"/>
            <w:tcBorders>
              <w:top w:val="nil"/>
              <w:left w:val="single" w:sz="12" w:space="0" w:color="FFFFFF" w:themeColor="background1"/>
              <w:bottom w:val="single" w:sz="12" w:space="0" w:color="FFFFFF" w:themeColor="background1"/>
              <w:right w:val="single" w:sz="12" w:space="0" w:color="FFFFFF" w:themeColor="background1"/>
            </w:tcBorders>
          </w:tcPr>
          <w:p w14:paraId="4C2326DE" w14:textId="77777777" w:rsidR="00F1343E" w:rsidRPr="00F1343E" w:rsidRDefault="00F1343E" w:rsidP="00287ED9">
            <w:pPr>
              <w:rPr>
                <w:rFonts w:ascii="Arial" w:hAnsi="Arial" w:cs="Arial"/>
                <w:sz w:val="17"/>
                <w:szCs w:val="17"/>
              </w:rPr>
            </w:pPr>
            <w:r w:rsidRPr="00F1343E">
              <w:rPr>
                <w:rFonts w:ascii="Arial" w:hAnsi="Arial" w:cs="Arial"/>
                <w:sz w:val="17"/>
                <w:szCs w:val="17"/>
              </w:rPr>
              <w:t>@ 24/25</w:t>
            </w:r>
          </w:p>
        </w:tc>
        <w:tc>
          <w:tcPr>
            <w:tcW w:w="236" w:type="dxa"/>
            <w:tcBorders>
              <w:top w:val="nil"/>
              <w:left w:val="single" w:sz="12" w:space="0" w:color="FFFFFF" w:themeColor="background1"/>
              <w:bottom w:val="single" w:sz="12" w:space="0" w:color="FFFFFF" w:themeColor="background1"/>
              <w:right w:val="single" w:sz="12" w:space="0" w:color="FFFFFF" w:themeColor="background1"/>
            </w:tcBorders>
          </w:tcPr>
          <w:p w14:paraId="7B96FCD2" w14:textId="77777777" w:rsidR="00F1343E" w:rsidRPr="00F1343E" w:rsidRDefault="00F1343E" w:rsidP="00287ED9">
            <w:pPr>
              <w:rPr>
                <w:rFonts w:ascii="Arial" w:hAnsi="Arial" w:cs="Arial"/>
                <w:sz w:val="17"/>
                <w:szCs w:val="17"/>
              </w:rPr>
            </w:pPr>
          </w:p>
        </w:tc>
        <w:tc>
          <w:tcPr>
            <w:tcW w:w="887" w:type="dxa"/>
            <w:gridSpan w:val="2"/>
            <w:tcBorders>
              <w:top w:val="nil"/>
              <w:left w:val="single" w:sz="12" w:space="0" w:color="FFFFFF" w:themeColor="background1"/>
              <w:bottom w:val="single" w:sz="12" w:space="0" w:color="FFFFFF" w:themeColor="background1"/>
              <w:right w:val="single" w:sz="12" w:space="0" w:color="FFFFFF" w:themeColor="background1"/>
            </w:tcBorders>
          </w:tcPr>
          <w:p w14:paraId="6A6DECE3" w14:textId="77777777" w:rsidR="00F1343E" w:rsidRPr="00F1343E" w:rsidRDefault="00F1343E" w:rsidP="00287ED9">
            <w:pPr>
              <w:rPr>
                <w:rFonts w:ascii="Arial" w:hAnsi="Arial" w:cs="Arial"/>
                <w:sz w:val="17"/>
                <w:szCs w:val="17"/>
              </w:rPr>
            </w:pPr>
            <w:r w:rsidRPr="00F1343E">
              <w:rPr>
                <w:rFonts w:ascii="Arial" w:hAnsi="Arial" w:cs="Arial"/>
                <w:sz w:val="17"/>
                <w:szCs w:val="17"/>
              </w:rPr>
              <w:t>@ 25/26</w:t>
            </w:r>
          </w:p>
        </w:tc>
        <w:tc>
          <w:tcPr>
            <w:tcW w:w="236" w:type="dxa"/>
            <w:tcBorders>
              <w:top w:val="nil"/>
              <w:left w:val="single" w:sz="12" w:space="0" w:color="FFFFFF" w:themeColor="background1"/>
              <w:bottom w:val="single" w:sz="12" w:space="0" w:color="FFFFFF" w:themeColor="background1"/>
              <w:right w:val="single" w:sz="12" w:space="0" w:color="FFFFFF" w:themeColor="background1"/>
            </w:tcBorders>
          </w:tcPr>
          <w:p w14:paraId="1625B030" w14:textId="77777777" w:rsidR="00F1343E" w:rsidRPr="00F1343E" w:rsidRDefault="00F1343E" w:rsidP="00287ED9">
            <w:pPr>
              <w:rPr>
                <w:rFonts w:ascii="Arial" w:hAnsi="Arial" w:cs="Arial"/>
                <w:sz w:val="17"/>
                <w:szCs w:val="17"/>
              </w:rPr>
            </w:pPr>
          </w:p>
        </w:tc>
        <w:tc>
          <w:tcPr>
            <w:tcW w:w="889" w:type="dxa"/>
            <w:gridSpan w:val="2"/>
            <w:tcBorders>
              <w:top w:val="nil"/>
              <w:left w:val="single" w:sz="12" w:space="0" w:color="FFFFFF" w:themeColor="background1"/>
              <w:bottom w:val="single" w:sz="12" w:space="0" w:color="FFFFFF" w:themeColor="background1"/>
              <w:right w:val="single" w:sz="12" w:space="0" w:color="FFFFFF" w:themeColor="background1"/>
            </w:tcBorders>
          </w:tcPr>
          <w:p w14:paraId="3EE4CE3F" w14:textId="77777777" w:rsidR="00F1343E" w:rsidRPr="00F1343E" w:rsidRDefault="00F1343E" w:rsidP="00287ED9">
            <w:pPr>
              <w:rPr>
                <w:rFonts w:ascii="Arial" w:hAnsi="Arial" w:cs="Arial"/>
                <w:sz w:val="17"/>
                <w:szCs w:val="17"/>
              </w:rPr>
            </w:pPr>
            <w:r w:rsidRPr="00F1343E">
              <w:rPr>
                <w:rFonts w:ascii="Arial" w:hAnsi="Arial" w:cs="Arial"/>
                <w:sz w:val="17"/>
                <w:szCs w:val="17"/>
              </w:rPr>
              <w:t>@ 26/27</w:t>
            </w:r>
          </w:p>
        </w:tc>
        <w:tc>
          <w:tcPr>
            <w:tcW w:w="422" w:type="dxa"/>
            <w:gridSpan w:val="2"/>
            <w:vMerge w:val="restart"/>
            <w:tcBorders>
              <w:top w:val="nil"/>
              <w:left w:val="single" w:sz="12" w:space="0" w:color="FFFFFF" w:themeColor="background1"/>
              <w:right w:val="single" w:sz="12" w:space="0" w:color="FFFFFF" w:themeColor="background1"/>
            </w:tcBorders>
          </w:tcPr>
          <w:p w14:paraId="3ECBAA55" w14:textId="77777777" w:rsidR="00F1343E" w:rsidRPr="00F1343E" w:rsidRDefault="00F1343E" w:rsidP="00287ED9">
            <w:pPr>
              <w:rPr>
                <w:rFonts w:ascii="Arial" w:hAnsi="Arial" w:cs="Arial"/>
                <w:sz w:val="17"/>
                <w:szCs w:val="17"/>
              </w:rPr>
            </w:pPr>
          </w:p>
        </w:tc>
        <w:tc>
          <w:tcPr>
            <w:tcW w:w="884" w:type="dxa"/>
            <w:gridSpan w:val="4"/>
            <w:tcBorders>
              <w:top w:val="nil"/>
              <w:left w:val="single" w:sz="12" w:space="0" w:color="FFFFFF" w:themeColor="background1"/>
              <w:bottom w:val="single" w:sz="12" w:space="0" w:color="FFFFFF" w:themeColor="background1"/>
              <w:right w:val="single" w:sz="12" w:space="0" w:color="FFFFFF" w:themeColor="background1"/>
            </w:tcBorders>
          </w:tcPr>
          <w:p w14:paraId="26525220" w14:textId="77777777" w:rsidR="00F1343E" w:rsidRPr="00F1343E" w:rsidRDefault="00F1343E" w:rsidP="00287ED9">
            <w:pPr>
              <w:rPr>
                <w:rFonts w:ascii="Arial" w:hAnsi="Arial" w:cs="Arial"/>
                <w:sz w:val="17"/>
                <w:szCs w:val="17"/>
              </w:rPr>
            </w:pPr>
            <w:r w:rsidRPr="00F1343E">
              <w:rPr>
                <w:rFonts w:ascii="Arial" w:hAnsi="Arial" w:cs="Arial"/>
                <w:sz w:val="17"/>
                <w:szCs w:val="17"/>
              </w:rPr>
              <w:t>@ 25/26</w:t>
            </w:r>
          </w:p>
        </w:tc>
        <w:tc>
          <w:tcPr>
            <w:tcW w:w="236" w:type="dxa"/>
            <w:tcBorders>
              <w:top w:val="nil"/>
              <w:left w:val="single" w:sz="12" w:space="0" w:color="FFFFFF" w:themeColor="background1"/>
              <w:bottom w:val="single" w:sz="12" w:space="0" w:color="FFFFFF" w:themeColor="background1"/>
              <w:right w:val="single" w:sz="12" w:space="0" w:color="FFFFFF" w:themeColor="background1"/>
            </w:tcBorders>
          </w:tcPr>
          <w:p w14:paraId="3F2567E6" w14:textId="77777777" w:rsidR="00F1343E" w:rsidRPr="00F1343E" w:rsidRDefault="00F1343E" w:rsidP="00287ED9">
            <w:pPr>
              <w:rPr>
                <w:rFonts w:ascii="Arial" w:hAnsi="Arial" w:cs="Arial"/>
                <w:sz w:val="17"/>
                <w:szCs w:val="17"/>
              </w:rPr>
            </w:pPr>
          </w:p>
        </w:tc>
        <w:tc>
          <w:tcPr>
            <w:tcW w:w="875" w:type="dxa"/>
            <w:gridSpan w:val="4"/>
            <w:tcBorders>
              <w:top w:val="nil"/>
              <w:left w:val="single" w:sz="12" w:space="0" w:color="FFFFFF" w:themeColor="background1"/>
              <w:right w:val="single" w:sz="12" w:space="0" w:color="FFFFFF" w:themeColor="background1"/>
            </w:tcBorders>
          </w:tcPr>
          <w:p w14:paraId="190FA6F8" w14:textId="77777777" w:rsidR="00F1343E" w:rsidRPr="00F1343E" w:rsidRDefault="00F1343E" w:rsidP="00287ED9">
            <w:pPr>
              <w:rPr>
                <w:rFonts w:ascii="Arial" w:hAnsi="Arial" w:cs="Arial"/>
                <w:sz w:val="17"/>
                <w:szCs w:val="17"/>
              </w:rPr>
            </w:pPr>
            <w:r w:rsidRPr="00F1343E">
              <w:rPr>
                <w:rFonts w:ascii="Arial" w:hAnsi="Arial" w:cs="Arial"/>
                <w:sz w:val="17"/>
                <w:szCs w:val="17"/>
              </w:rPr>
              <w:t>@ 26/27</w:t>
            </w:r>
          </w:p>
        </w:tc>
      </w:tr>
      <w:tr w:rsidR="00F1343E" w:rsidRPr="00DA6EDE" w14:paraId="1A5B7623" w14:textId="77777777" w:rsidTr="00F1343E">
        <w:trPr>
          <w:gridAfter w:val="1"/>
          <w:wAfter w:w="12" w:type="dxa"/>
          <w:trHeight w:val="231"/>
        </w:trPr>
        <w:tc>
          <w:tcPr>
            <w:tcW w:w="471"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76F6BC71" w14:textId="77777777" w:rsidR="00F1343E" w:rsidRPr="00DA6EDE" w:rsidRDefault="00F1343E" w:rsidP="00287ED9">
            <w:pPr>
              <w:rPr>
                <w:sz w:val="19"/>
                <w:szCs w:val="19"/>
              </w:rPr>
            </w:pPr>
          </w:p>
        </w:tc>
        <w:tc>
          <w:tcPr>
            <w:tcW w:w="419"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72A83794" w14:textId="77777777" w:rsidR="00F1343E" w:rsidRPr="00DA6EDE" w:rsidRDefault="00F1343E" w:rsidP="00287ED9">
            <w:pPr>
              <w:rPr>
                <w:sz w:val="19"/>
                <w:szCs w:val="19"/>
              </w:rPr>
            </w:pPr>
          </w:p>
        </w:tc>
        <w:tc>
          <w:tcPr>
            <w:tcW w:w="237"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tcPr>
          <w:p w14:paraId="3A6924C6" w14:textId="77777777" w:rsidR="00F1343E" w:rsidRPr="00DA6EDE" w:rsidRDefault="00F1343E" w:rsidP="00287ED9">
            <w:pPr>
              <w:rPr>
                <w:sz w:val="19"/>
                <w:szCs w:val="19"/>
              </w:rPr>
            </w:pPr>
          </w:p>
        </w:tc>
        <w:tc>
          <w:tcPr>
            <w:tcW w:w="469"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6EB48B15" w14:textId="77777777" w:rsidR="00F1343E" w:rsidRPr="00DA6EDE" w:rsidRDefault="00F1343E" w:rsidP="00287ED9">
            <w:pPr>
              <w:rPr>
                <w:sz w:val="19"/>
                <w:szCs w:val="19"/>
              </w:rPr>
            </w:pPr>
          </w:p>
        </w:tc>
        <w:tc>
          <w:tcPr>
            <w:tcW w:w="41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1F488597" w14:textId="77777777" w:rsidR="00F1343E" w:rsidRPr="00DA6EDE" w:rsidRDefault="00F1343E" w:rsidP="00287ED9">
            <w:pPr>
              <w:rPr>
                <w:sz w:val="19"/>
                <w:szCs w:val="19"/>
              </w:rPr>
            </w:pPr>
          </w:p>
        </w:tc>
        <w:tc>
          <w:tcPr>
            <w:tcW w:w="236"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tcPr>
          <w:p w14:paraId="3C39A721" w14:textId="77777777" w:rsidR="00F1343E" w:rsidRPr="00DA6EDE" w:rsidRDefault="00F1343E" w:rsidP="00287ED9">
            <w:pPr>
              <w:rPr>
                <w:sz w:val="19"/>
                <w:szCs w:val="19"/>
              </w:rPr>
            </w:pPr>
          </w:p>
        </w:tc>
        <w:tc>
          <w:tcPr>
            <w:tcW w:w="46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5AC036"/>
          </w:tcPr>
          <w:p w14:paraId="0ACD7C73" w14:textId="77777777" w:rsidR="00F1343E" w:rsidRPr="00DA6EDE" w:rsidRDefault="00F1343E" w:rsidP="00287ED9">
            <w:pPr>
              <w:rPr>
                <w:sz w:val="19"/>
                <w:szCs w:val="19"/>
              </w:rPr>
            </w:pPr>
          </w:p>
        </w:tc>
        <w:tc>
          <w:tcPr>
            <w:tcW w:w="422"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082C0AFE" w14:textId="77777777" w:rsidR="00F1343E" w:rsidRPr="00DA6EDE" w:rsidRDefault="00F1343E" w:rsidP="00287ED9">
            <w:pPr>
              <w:rPr>
                <w:sz w:val="19"/>
                <w:szCs w:val="19"/>
              </w:rPr>
            </w:pPr>
          </w:p>
        </w:tc>
        <w:tc>
          <w:tcPr>
            <w:tcW w:w="409" w:type="dxa"/>
            <w:gridSpan w:val="2"/>
            <w:vMerge/>
            <w:tcBorders>
              <w:left w:val="single" w:sz="12" w:space="0" w:color="FFFFFF" w:themeColor="background1"/>
              <w:right w:val="single" w:sz="12" w:space="0" w:color="FFFFFF" w:themeColor="background1"/>
            </w:tcBorders>
          </w:tcPr>
          <w:p w14:paraId="691DACF2" w14:textId="77777777" w:rsidR="00F1343E" w:rsidRPr="00DA6EDE" w:rsidRDefault="00F1343E" w:rsidP="00287ED9">
            <w:pPr>
              <w:rPr>
                <w:sz w:val="19"/>
                <w:szCs w:val="19"/>
              </w:rPr>
            </w:pPr>
          </w:p>
        </w:tc>
        <w:tc>
          <w:tcPr>
            <w:tcW w:w="461" w:type="dxa"/>
            <w:gridSpan w:val="2"/>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3280B674" w14:textId="77777777" w:rsidR="00F1343E" w:rsidRPr="00DA6EDE" w:rsidRDefault="00F1343E" w:rsidP="00287ED9">
            <w:pPr>
              <w:rPr>
                <w:sz w:val="19"/>
                <w:szCs w:val="19"/>
              </w:rPr>
            </w:pPr>
          </w:p>
        </w:tc>
        <w:tc>
          <w:tcPr>
            <w:tcW w:w="41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0EE44142" w14:textId="77777777" w:rsidR="00F1343E" w:rsidRPr="00DA6EDE" w:rsidRDefault="00F1343E" w:rsidP="00287ED9">
            <w:pPr>
              <w:rPr>
                <w:sz w:val="19"/>
                <w:szCs w:val="19"/>
              </w:rPr>
            </w:pPr>
          </w:p>
        </w:tc>
        <w:tc>
          <w:tcPr>
            <w:tcW w:w="236"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tcPr>
          <w:p w14:paraId="65A82E88" w14:textId="77777777" w:rsidR="00F1343E" w:rsidRPr="00DA6EDE" w:rsidRDefault="00F1343E" w:rsidP="00287ED9">
            <w:pPr>
              <w:rPr>
                <w:sz w:val="19"/>
                <w:szCs w:val="19"/>
              </w:rPr>
            </w:pPr>
          </w:p>
        </w:tc>
        <w:tc>
          <w:tcPr>
            <w:tcW w:w="469"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000E0209" w14:textId="77777777" w:rsidR="00F1343E" w:rsidRPr="00DA6EDE" w:rsidRDefault="00F1343E" w:rsidP="00287ED9">
            <w:pPr>
              <w:rPr>
                <w:sz w:val="19"/>
                <w:szCs w:val="19"/>
              </w:rPr>
            </w:pPr>
          </w:p>
        </w:tc>
        <w:tc>
          <w:tcPr>
            <w:tcW w:w="41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3470B297" w14:textId="77777777" w:rsidR="00F1343E" w:rsidRPr="00DA6EDE" w:rsidRDefault="00F1343E" w:rsidP="00287ED9">
            <w:pPr>
              <w:rPr>
                <w:sz w:val="19"/>
                <w:szCs w:val="19"/>
              </w:rPr>
            </w:pPr>
          </w:p>
        </w:tc>
        <w:tc>
          <w:tcPr>
            <w:tcW w:w="236"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tcPr>
          <w:p w14:paraId="628021D9" w14:textId="77777777" w:rsidR="00F1343E" w:rsidRPr="00DA6EDE" w:rsidRDefault="00F1343E" w:rsidP="00287ED9">
            <w:pPr>
              <w:rPr>
                <w:sz w:val="19"/>
                <w:szCs w:val="19"/>
              </w:rPr>
            </w:pPr>
          </w:p>
        </w:tc>
        <w:tc>
          <w:tcPr>
            <w:tcW w:w="469"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689F64E3" w14:textId="77777777" w:rsidR="00F1343E" w:rsidRPr="00DA6EDE" w:rsidRDefault="00F1343E" w:rsidP="00287ED9">
            <w:pPr>
              <w:rPr>
                <w:sz w:val="19"/>
                <w:szCs w:val="19"/>
              </w:rPr>
            </w:pPr>
          </w:p>
        </w:tc>
        <w:tc>
          <w:tcPr>
            <w:tcW w:w="42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45EE3740" w14:textId="77777777" w:rsidR="00F1343E" w:rsidRPr="00DA6EDE" w:rsidRDefault="00F1343E" w:rsidP="00287ED9">
            <w:pPr>
              <w:rPr>
                <w:sz w:val="19"/>
                <w:szCs w:val="19"/>
              </w:rPr>
            </w:pPr>
          </w:p>
        </w:tc>
        <w:tc>
          <w:tcPr>
            <w:tcW w:w="422" w:type="dxa"/>
            <w:gridSpan w:val="2"/>
            <w:vMerge/>
            <w:tcBorders>
              <w:left w:val="single" w:sz="12" w:space="0" w:color="FFFFFF" w:themeColor="background1"/>
              <w:right w:val="single" w:sz="12" w:space="0" w:color="FFFFFF" w:themeColor="background1"/>
            </w:tcBorders>
          </w:tcPr>
          <w:p w14:paraId="1556EEE7" w14:textId="77777777" w:rsidR="00F1343E" w:rsidRPr="00DA6EDE" w:rsidRDefault="00F1343E" w:rsidP="00287ED9">
            <w:pPr>
              <w:rPr>
                <w:sz w:val="19"/>
                <w:szCs w:val="19"/>
              </w:rPr>
            </w:pPr>
          </w:p>
        </w:tc>
        <w:tc>
          <w:tcPr>
            <w:tcW w:w="466" w:type="dxa"/>
            <w:gridSpan w:val="3"/>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4317D482" w14:textId="77777777" w:rsidR="00F1343E" w:rsidRPr="00DA6EDE" w:rsidRDefault="00F1343E" w:rsidP="00287ED9">
            <w:pPr>
              <w:rPr>
                <w:sz w:val="19"/>
                <w:szCs w:val="19"/>
              </w:rPr>
            </w:pPr>
          </w:p>
        </w:tc>
        <w:tc>
          <w:tcPr>
            <w:tcW w:w="41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044048BC" w14:textId="77777777" w:rsidR="00F1343E" w:rsidRPr="00DA6EDE" w:rsidRDefault="00F1343E" w:rsidP="00287ED9">
            <w:pPr>
              <w:rPr>
                <w:sz w:val="19"/>
                <w:szCs w:val="19"/>
              </w:rPr>
            </w:pPr>
          </w:p>
        </w:tc>
        <w:tc>
          <w:tcPr>
            <w:tcW w:w="236"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tcPr>
          <w:p w14:paraId="31330F0B" w14:textId="77777777" w:rsidR="00F1343E" w:rsidRPr="00DA6EDE" w:rsidRDefault="00F1343E" w:rsidP="00287ED9">
            <w:pPr>
              <w:rPr>
                <w:sz w:val="19"/>
                <w:szCs w:val="19"/>
              </w:rPr>
            </w:pPr>
          </w:p>
        </w:tc>
        <w:tc>
          <w:tcPr>
            <w:tcW w:w="456"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0ED4DC0F" w14:textId="77777777" w:rsidR="00F1343E" w:rsidRPr="00DA6EDE" w:rsidRDefault="00F1343E" w:rsidP="00287ED9">
            <w:pPr>
              <w:rPr>
                <w:sz w:val="19"/>
                <w:szCs w:val="19"/>
              </w:rPr>
            </w:pPr>
          </w:p>
        </w:tc>
        <w:tc>
          <w:tcPr>
            <w:tcW w:w="407" w:type="dxa"/>
            <w:gridSpan w:val="2"/>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170AF4BB" w14:textId="77777777" w:rsidR="00F1343E" w:rsidRPr="00DA6EDE" w:rsidRDefault="00F1343E" w:rsidP="00287ED9">
            <w:pPr>
              <w:rPr>
                <w:sz w:val="19"/>
                <w:szCs w:val="19"/>
              </w:rPr>
            </w:pPr>
          </w:p>
        </w:tc>
      </w:tr>
      <w:tr w:rsidR="00F1343E" w:rsidRPr="00DA6EDE" w14:paraId="5A3BD8AF" w14:textId="77777777" w:rsidTr="00F1343E">
        <w:trPr>
          <w:gridAfter w:val="1"/>
          <w:wAfter w:w="12" w:type="dxa"/>
          <w:trHeight w:val="221"/>
        </w:trPr>
        <w:tc>
          <w:tcPr>
            <w:tcW w:w="471"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41CFEC24" w14:textId="77777777" w:rsidR="00F1343E" w:rsidRPr="00DA6EDE" w:rsidRDefault="00F1343E" w:rsidP="00287ED9">
            <w:pPr>
              <w:rPr>
                <w:sz w:val="19"/>
                <w:szCs w:val="19"/>
              </w:rPr>
            </w:pPr>
          </w:p>
        </w:tc>
        <w:tc>
          <w:tcPr>
            <w:tcW w:w="419"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60A2E93B" w14:textId="77777777" w:rsidR="00F1343E" w:rsidRPr="00DA6EDE" w:rsidRDefault="00F1343E" w:rsidP="00287ED9">
            <w:pPr>
              <w:rPr>
                <w:sz w:val="19"/>
                <w:szCs w:val="19"/>
              </w:rPr>
            </w:pPr>
          </w:p>
        </w:tc>
        <w:tc>
          <w:tcPr>
            <w:tcW w:w="237"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tcPr>
          <w:p w14:paraId="64DA7990" w14:textId="77777777" w:rsidR="00F1343E" w:rsidRPr="00DA6EDE" w:rsidRDefault="00F1343E" w:rsidP="00287ED9">
            <w:pPr>
              <w:rPr>
                <w:sz w:val="19"/>
                <w:szCs w:val="19"/>
              </w:rPr>
            </w:pPr>
          </w:p>
        </w:tc>
        <w:tc>
          <w:tcPr>
            <w:tcW w:w="469"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8DD873" w:themeFill="accent6" w:themeFillTint="99"/>
          </w:tcPr>
          <w:p w14:paraId="2C767031" w14:textId="77777777" w:rsidR="00F1343E" w:rsidRPr="00DA6EDE" w:rsidRDefault="00F1343E" w:rsidP="00287ED9">
            <w:pPr>
              <w:rPr>
                <w:sz w:val="19"/>
                <w:szCs w:val="19"/>
              </w:rPr>
            </w:pPr>
          </w:p>
        </w:tc>
        <w:tc>
          <w:tcPr>
            <w:tcW w:w="41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56BACA56" w14:textId="77777777" w:rsidR="00F1343E" w:rsidRPr="00DA6EDE" w:rsidRDefault="00F1343E" w:rsidP="00287ED9">
            <w:pPr>
              <w:rPr>
                <w:sz w:val="19"/>
                <w:szCs w:val="19"/>
              </w:rPr>
            </w:pPr>
          </w:p>
        </w:tc>
        <w:tc>
          <w:tcPr>
            <w:tcW w:w="236"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tcPr>
          <w:p w14:paraId="56F12A78" w14:textId="77777777" w:rsidR="00F1343E" w:rsidRPr="00DA6EDE" w:rsidRDefault="00F1343E" w:rsidP="00287ED9">
            <w:pPr>
              <w:rPr>
                <w:sz w:val="19"/>
                <w:szCs w:val="19"/>
              </w:rPr>
            </w:pPr>
          </w:p>
        </w:tc>
        <w:tc>
          <w:tcPr>
            <w:tcW w:w="46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8DD873" w:themeFill="accent6" w:themeFillTint="99"/>
          </w:tcPr>
          <w:p w14:paraId="7CF726A4" w14:textId="77777777" w:rsidR="00F1343E" w:rsidRPr="00DA6EDE" w:rsidRDefault="00F1343E" w:rsidP="00287ED9">
            <w:pPr>
              <w:rPr>
                <w:sz w:val="19"/>
                <w:szCs w:val="19"/>
              </w:rPr>
            </w:pPr>
          </w:p>
        </w:tc>
        <w:tc>
          <w:tcPr>
            <w:tcW w:w="422"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8DD873"/>
          </w:tcPr>
          <w:p w14:paraId="309254BF" w14:textId="77777777" w:rsidR="00F1343E" w:rsidRPr="00DA6EDE" w:rsidRDefault="00F1343E" w:rsidP="00287ED9">
            <w:pPr>
              <w:rPr>
                <w:sz w:val="19"/>
                <w:szCs w:val="19"/>
              </w:rPr>
            </w:pPr>
          </w:p>
        </w:tc>
        <w:tc>
          <w:tcPr>
            <w:tcW w:w="409" w:type="dxa"/>
            <w:gridSpan w:val="2"/>
            <w:vMerge/>
            <w:tcBorders>
              <w:left w:val="single" w:sz="12" w:space="0" w:color="FFFFFF" w:themeColor="background1"/>
              <w:right w:val="single" w:sz="12" w:space="0" w:color="FFFFFF" w:themeColor="background1"/>
            </w:tcBorders>
          </w:tcPr>
          <w:p w14:paraId="7352E1CC" w14:textId="77777777" w:rsidR="00F1343E" w:rsidRPr="00DA6EDE" w:rsidRDefault="00F1343E" w:rsidP="00287ED9">
            <w:pPr>
              <w:rPr>
                <w:sz w:val="19"/>
                <w:szCs w:val="19"/>
              </w:rPr>
            </w:pPr>
          </w:p>
        </w:tc>
        <w:tc>
          <w:tcPr>
            <w:tcW w:w="461" w:type="dxa"/>
            <w:gridSpan w:val="2"/>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4DAD4B1D" w14:textId="77777777" w:rsidR="00F1343E" w:rsidRPr="00DA6EDE" w:rsidRDefault="00F1343E" w:rsidP="00287ED9">
            <w:pPr>
              <w:rPr>
                <w:sz w:val="19"/>
                <w:szCs w:val="19"/>
              </w:rPr>
            </w:pPr>
          </w:p>
        </w:tc>
        <w:tc>
          <w:tcPr>
            <w:tcW w:w="41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0C27890E" w14:textId="77777777" w:rsidR="00F1343E" w:rsidRPr="00DA6EDE" w:rsidRDefault="00F1343E" w:rsidP="00287ED9">
            <w:pPr>
              <w:rPr>
                <w:sz w:val="19"/>
                <w:szCs w:val="19"/>
              </w:rPr>
            </w:pPr>
          </w:p>
        </w:tc>
        <w:tc>
          <w:tcPr>
            <w:tcW w:w="236"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tcPr>
          <w:p w14:paraId="63C198AE" w14:textId="77777777" w:rsidR="00F1343E" w:rsidRPr="00DA6EDE" w:rsidRDefault="00F1343E" w:rsidP="00287ED9">
            <w:pPr>
              <w:rPr>
                <w:sz w:val="19"/>
                <w:szCs w:val="19"/>
              </w:rPr>
            </w:pPr>
          </w:p>
        </w:tc>
        <w:tc>
          <w:tcPr>
            <w:tcW w:w="469"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8DD873"/>
          </w:tcPr>
          <w:p w14:paraId="150B26B4" w14:textId="77777777" w:rsidR="00F1343E" w:rsidRPr="00DA6EDE" w:rsidRDefault="00F1343E" w:rsidP="00287ED9">
            <w:pPr>
              <w:rPr>
                <w:sz w:val="19"/>
                <w:szCs w:val="19"/>
              </w:rPr>
            </w:pPr>
          </w:p>
        </w:tc>
        <w:tc>
          <w:tcPr>
            <w:tcW w:w="41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67D8728C" w14:textId="77777777" w:rsidR="00F1343E" w:rsidRPr="00DA6EDE" w:rsidRDefault="00F1343E" w:rsidP="00287ED9">
            <w:pPr>
              <w:rPr>
                <w:sz w:val="19"/>
                <w:szCs w:val="19"/>
              </w:rPr>
            </w:pPr>
          </w:p>
        </w:tc>
        <w:tc>
          <w:tcPr>
            <w:tcW w:w="236"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tcPr>
          <w:p w14:paraId="75AF56AC" w14:textId="77777777" w:rsidR="00F1343E" w:rsidRPr="00DA6EDE" w:rsidRDefault="00F1343E" w:rsidP="00287ED9">
            <w:pPr>
              <w:rPr>
                <w:sz w:val="19"/>
                <w:szCs w:val="19"/>
              </w:rPr>
            </w:pPr>
          </w:p>
        </w:tc>
        <w:tc>
          <w:tcPr>
            <w:tcW w:w="469"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8DD873"/>
          </w:tcPr>
          <w:p w14:paraId="629D0150" w14:textId="77777777" w:rsidR="00F1343E" w:rsidRPr="00DA6EDE" w:rsidRDefault="00F1343E" w:rsidP="00287ED9">
            <w:pPr>
              <w:rPr>
                <w:sz w:val="19"/>
                <w:szCs w:val="19"/>
              </w:rPr>
            </w:pPr>
          </w:p>
        </w:tc>
        <w:tc>
          <w:tcPr>
            <w:tcW w:w="42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3C484B94" w14:textId="77777777" w:rsidR="00F1343E" w:rsidRPr="00DA6EDE" w:rsidRDefault="00F1343E" w:rsidP="00287ED9">
            <w:pPr>
              <w:rPr>
                <w:sz w:val="19"/>
                <w:szCs w:val="19"/>
              </w:rPr>
            </w:pPr>
          </w:p>
        </w:tc>
        <w:tc>
          <w:tcPr>
            <w:tcW w:w="422" w:type="dxa"/>
            <w:gridSpan w:val="2"/>
            <w:vMerge/>
            <w:tcBorders>
              <w:left w:val="single" w:sz="12" w:space="0" w:color="FFFFFF" w:themeColor="background1"/>
              <w:right w:val="single" w:sz="12" w:space="0" w:color="FFFFFF" w:themeColor="background1"/>
            </w:tcBorders>
          </w:tcPr>
          <w:p w14:paraId="541A8DB2" w14:textId="77777777" w:rsidR="00F1343E" w:rsidRPr="00DA6EDE" w:rsidRDefault="00F1343E" w:rsidP="00287ED9">
            <w:pPr>
              <w:rPr>
                <w:sz w:val="19"/>
                <w:szCs w:val="19"/>
              </w:rPr>
            </w:pPr>
          </w:p>
        </w:tc>
        <w:tc>
          <w:tcPr>
            <w:tcW w:w="466" w:type="dxa"/>
            <w:gridSpan w:val="3"/>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19BAB730" w14:textId="77777777" w:rsidR="00F1343E" w:rsidRPr="00DA6EDE" w:rsidRDefault="00F1343E" w:rsidP="00287ED9">
            <w:pPr>
              <w:rPr>
                <w:sz w:val="19"/>
                <w:szCs w:val="19"/>
              </w:rPr>
            </w:pPr>
          </w:p>
        </w:tc>
        <w:tc>
          <w:tcPr>
            <w:tcW w:w="41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2B1277E4" w14:textId="77777777" w:rsidR="00F1343E" w:rsidRPr="00DA6EDE" w:rsidRDefault="00F1343E" w:rsidP="00287ED9">
            <w:pPr>
              <w:rPr>
                <w:sz w:val="19"/>
                <w:szCs w:val="19"/>
              </w:rPr>
            </w:pPr>
          </w:p>
        </w:tc>
        <w:tc>
          <w:tcPr>
            <w:tcW w:w="236"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tcPr>
          <w:p w14:paraId="7E8E3C4B" w14:textId="77777777" w:rsidR="00F1343E" w:rsidRPr="00DA6EDE" w:rsidRDefault="00F1343E" w:rsidP="00287ED9">
            <w:pPr>
              <w:rPr>
                <w:sz w:val="19"/>
                <w:szCs w:val="19"/>
              </w:rPr>
            </w:pPr>
          </w:p>
        </w:tc>
        <w:tc>
          <w:tcPr>
            <w:tcW w:w="456"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31ABFA9D" w14:textId="77777777" w:rsidR="00F1343E" w:rsidRPr="00DA6EDE" w:rsidRDefault="00F1343E" w:rsidP="00287ED9">
            <w:pPr>
              <w:rPr>
                <w:sz w:val="19"/>
                <w:szCs w:val="19"/>
              </w:rPr>
            </w:pPr>
          </w:p>
        </w:tc>
        <w:tc>
          <w:tcPr>
            <w:tcW w:w="407" w:type="dxa"/>
            <w:gridSpan w:val="2"/>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2DBA2C22" w14:textId="77777777" w:rsidR="00F1343E" w:rsidRPr="00DA6EDE" w:rsidRDefault="00F1343E" w:rsidP="00287ED9">
            <w:pPr>
              <w:rPr>
                <w:sz w:val="19"/>
                <w:szCs w:val="19"/>
              </w:rPr>
            </w:pPr>
          </w:p>
        </w:tc>
      </w:tr>
      <w:tr w:rsidR="00F1343E" w:rsidRPr="00DA6EDE" w14:paraId="3CDC6CC3" w14:textId="77777777" w:rsidTr="00F1343E">
        <w:trPr>
          <w:gridAfter w:val="1"/>
          <w:wAfter w:w="12" w:type="dxa"/>
          <w:trHeight w:val="231"/>
        </w:trPr>
        <w:tc>
          <w:tcPr>
            <w:tcW w:w="471"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44F4A497" w14:textId="77777777" w:rsidR="00F1343E" w:rsidRPr="00DA6EDE" w:rsidRDefault="00F1343E" w:rsidP="00287ED9">
            <w:pPr>
              <w:rPr>
                <w:sz w:val="19"/>
                <w:szCs w:val="19"/>
              </w:rPr>
            </w:pPr>
          </w:p>
        </w:tc>
        <w:tc>
          <w:tcPr>
            <w:tcW w:w="419"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785B07B9" w14:textId="77777777" w:rsidR="00F1343E" w:rsidRPr="00DA6EDE" w:rsidRDefault="00F1343E" w:rsidP="00287ED9">
            <w:pPr>
              <w:rPr>
                <w:sz w:val="19"/>
                <w:szCs w:val="19"/>
              </w:rPr>
            </w:pPr>
          </w:p>
        </w:tc>
        <w:tc>
          <w:tcPr>
            <w:tcW w:w="237"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tcPr>
          <w:p w14:paraId="5744405D" w14:textId="77777777" w:rsidR="00F1343E" w:rsidRPr="00DA6EDE" w:rsidRDefault="00F1343E" w:rsidP="00287ED9">
            <w:pPr>
              <w:rPr>
                <w:sz w:val="19"/>
                <w:szCs w:val="19"/>
              </w:rPr>
            </w:pPr>
          </w:p>
        </w:tc>
        <w:tc>
          <w:tcPr>
            <w:tcW w:w="469"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BBE84A"/>
          </w:tcPr>
          <w:p w14:paraId="706608DF" w14:textId="77777777" w:rsidR="00F1343E" w:rsidRPr="00DA6EDE" w:rsidRDefault="00F1343E" w:rsidP="00287ED9">
            <w:pPr>
              <w:rPr>
                <w:sz w:val="19"/>
                <w:szCs w:val="19"/>
              </w:rPr>
            </w:pPr>
          </w:p>
        </w:tc>
        <w:tc>
          <w:tcPr>
            <w:tcW w:w="41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BBE84A"/>
          </w:tcPr>
          <w:p w14:paraId="156F5218" w14:textId="77777777" w:rsidR="00F1343E" w:rsidRPr="00DA6EDE" w:rsidRDefault="00F1343E" w:rsidP="00287ED9">
            <w:pPr>
              <w:rPr>
                <w:sz w:val="19"/>
                <w:szCs w:val="19"/>
              </w:rPr>
            </w:pPr>
          </w:p>
        </w:tc>
        <w:tc>
          <w:tcPr>
            <w:tcW w:w="236"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tcPr>
          <w:p w14:paraId="6AAD1897" w14:textId="77777777" w:rsidR="00F1343E" w:rsidRPr="00DA6EDE" w:rsidRDefault="00F1343E" w:rsidP="00287ED9">
            <w:pPr>
              <w:rPr>
                <w:sz w:val="19"/>
                <w:szCs w:val="19"/>
              </w:rPr>
            </w:pPr>
          </w:p>
        </w:tc>
        <w:tc>
          <w:tcPr>
            <w:tcW w:w="46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BBE84A"/>
          </w:tcPr>
          <w:p w14:paraId="0D9549B3" w14:textId="77777777" w:rsidR="00F1343E" w:rsidRPr="00DA6EDE" w:rsidRDefault="00F1343E" w:rsidP="00287ED9">
            <w:pPr>
              <w:rPr>
                <w:sz w:val="19"/>
                <w:szCs w:val="19"/>
              </w:rPr>
            </w:pPr>
          </w:p>
        </w:tc>
        <w:tc>
          <w:tcPr>
            <w:tcW w:w="422"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BBE84A"/>
          </w:tcPr>
          <w:p w14:paraId="333920A2" w14:textId="77777777" w:rsidR="00F1343E" w:rsidRPr="00DA6EDE" w:rsidRDefault="00F1343E" w:rsidP="00287ED9">
            <w:pPr>
              <w:rPr>
                <w:sz w:val="19"/>
                <w:szCs w:val="19"/>
              </w:rPr>
            </w:pPr>
          </w:p>
        </w:tc>
        <w:tc>
          <w:tcPr>
            <w:tcW w:w="409" w:type="dxa"/>
            <w:gridSpan w:val="2"/>
            <w:vMerge/>
            <w:tcBorders>
              <w:left w:val="single" w:sz="12" w:space="0" w:color="FFFFFF" w:themeColor="background1"/>
              <w:right w:val="single" w:sz="12" w:space="0" w:color="FFFFFF" w:themeColor="background1"/>
            </w:tcBorders>
          </w:tcPr>
          <w:p w14:paraId="3EEC7754" w14:textId="77777777" w:rsidR="00F1343E" w:rsidRPr="00DA6EDE" w:rsidRDefault="00F1343E" w:rsidP="00287ED9">
            <w:pPr>
              <w:rPr>
                <w:sz w:val="19"/>
                <w:szCs w:val="19"/>
              </w:rPr>
            </w:pPr>
          </w:p>
        </w:tc>
        <w:tc>
          <w:tcPr>
            <w:tcW w:w="461" w:type="dxa"/>
            <w:gridSpan w:val="2"/>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10AA964E" w14:textId="77777777" w:rsidR="00F1343E" w:rsidRPr="00DA6EDE" w:rsidRDefault="00F1343E" w:rsidP="00287ED9">
            <w:pPr>
              <w:rPr>
                <w:sz w:val="19"/>
                <w:szCs w:val="19"/>
              </w:rPr>
            </w:pPr>
          </w:p>
        </w:tc>
        <w:tc>
          <w:tcPr>
            <w:tcW w:w="41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7B54D811" w14:textId="77777777" w:rsidR="00F1343E" w:rsidRPr="00DA6EDE" w:rsidRDefault="00F1343E" w:rsidP="00287ED9">
            <w:pPr>
              <w:rPr>
                <w:sz w:val="19"/>
                <w:szCs w:val="19"/>
              </w:rPr>
            </w:pPr>
          </w:p>
        </w:tc>
        <w:tc>
          <w:tcPr>
            <w:tcW w:w="236"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tcPr>
          <w:p w14:paraId="00F20B0D" w14:textId="77777777" w:rsidR="00F1343E" w:rsidRPr="00DA6EDE" w:rsidRDefault="00F1343E" w:rsidP="00287ED9">
            <w:pPr>
              <w:rPr>
                <w:sz w:val="19"/>
                <w:szCs w:val="19"/>
              </w:rPr>
            </w:pPr>
          </w:p>
        </w:tc>
        <w:tc>
          <w:tcPr>
            <w:tcW w:w="469"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BBE84A"/>
          </w:tcPr>
          <w:p w14:paraId="609EA366" w14:textId="77777777" w:rsidR="00F1343E" w:rsidRPr="00DA6EDE" w:rsidRDefault="00F1343E" w:rsidP="00287ED9">
            <w:pPr>
              <w:rPr>
                <w:sz w:val="19"/>
                <w:szCs w:val="19"/>
              </w:rPr>
            </w:pPr>
          </w:p>
        </w:tc>
        <w:tc>
          <w:tcPr>
            <w:tcW w:w="41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BBE84A"/>
          </w:tcPr>
          <w:p w14:paraId="40EF6A4E" w14:textId="77777777" w:rsidR="00F1343E" w:rsidRPr="00DA6EDE" w:rsidRDefault="00F1343E" w:rsidP="00287ED9">
            <w:pPr>
              <w:rPr>
                <w:sz w:val="19"/>
                <w:szCs w:val="19"/>
              </w:rPr>
            </w:pPr>
          </w:p>
        </w:tc>
        <w:tc>
          <w:tcPr>
            <w:tcW w:w="236"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tcPr>
          <w:p w14:paraId="3BCE0701" w14:textId="77777777" w:rsidR="00F1343E" w:rsidRPr="00DA6EDE" w:rsidRDefault="00F1343E" w:rsidP="00287ED9">
            <w:pPr>
              <w:rPr>
                <w:sz w:val="19"/>
                <w:szCs w:val="19"/>
              </w:rPr>
            </w:pPr>
          </w:p>
        </w:tc>
        <w:tc>
          <w:tcPr>
            <w:tcW w:w="469"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BBE84A"/>
          </w:tcPr>
          <w:p w14:paraId="69EF94F1" w14:textId="77777777" w:rsidR="00F1343E" w:rsidRPr="00DA6EDE" w:rsidRDefault="00F1343E" w:rsidP="00287ED9">
            <w:pPr>
              <w:rPr>
                <w:sz w:val="19"/>
                <w:szCs w:val="19"/>
              </w:rPr>
            </w:pPr>
          </w:p>
        </w:tc>
        <w:tc>
          <w:tcPr>
            <w:tcW w:w="42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BBE84A"/>
          </w:tcPr>
          <w:p w14:paraId="2731CAC0" w14:textId="77777777" w:rsidR="00F1343E" w:rsidRPr="00DA6EDE" w:rsidRDefault="00F1343E" w:rsidP="00287ED9">
            <w:pPr>
              <w:rPr>
                <w:sz w:val="19"/>
                <w:szCs w:val="19"/>
              </w:rPr>
            </w:pPr>
          </w:p>
        </w:tc>
        <w:tc>
          <w:tcPr>
            <w:tcW w:w="422" w:type="dxa"/>
            <w:gridSpan w:val="2"/>
            <w:vMerge/>
            <w:tcBorders>
              <w:left w:val="single" w:sz="12" w:space="0" w:color="FFFFFF" w:themeColor="background1"/>
              <w:right w:val="single" w:sz="12" w:space="0" w:color="FFFFFF" w:themeColor="background1"/>
            </w:tcBorders>
          </w:tcPr>
          <w:p w14:paraId="65384DF9" w14:textId="77777777" w:rsidR="00F1343E" w:rsidRPr="00DA6EDE" w:rsidRDefault="00F1343E" w:rsidP="00287ED9">
            <w:pPr>
              <w:rPr>
                <w:sz w:val="19"/>
                <w:szCs w:val="19"/>
              </w:rPr>
            </w:pPr>
          </w:p>
        </w:tc>
        <w:tc>
          <w:tcPr>
            <w:tcW w:w="466" w:type="dxa"/>
            <w:gridSpan w:val="3"/>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3C143E1F" w14:textId="77777777" w:rsidR="00F1343E" w:rsidRPr="00DA6EDE" w:rsidRDefault="00F1343E" w:rsidP="00287ED9">
            <w:pPr>
              <w:rPr>
                <w:sz w:val="19"/>
                <w:szCs w:val="19"/>
              </w:rPr>
            </w:pPr>
          </w:p>
        </w:tc>
        <w:tc>
          <w:tcPr>
            <w:tcW w:w="41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6F9FFDFB" w14:textId="77777777" w:rsidR="00F1343E" w:rsidRPr="00DA6EDE" w:rsidRDefault="00F1343E" w:rsidP="00287ED9">
            <w:pPr>
              <w:rPr>
                <w:sz w:val="19"/>
                <w:szCs w:val="19"/>
              </w:rPr>
            </w:pPr>
          </w:p>
        </w:tc>
        <w:tc>
          <w:tcPr>
            <w:tcW w:w="236"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tcPr>
          <w:p w14:paraId="67DF7467" w14:textId="77777777" w:rsidR="00F1343E" w:rsidRPr="00DA6EDE" w:rsidRDefault="00F1343E" w:rsidP="00287ED9">
            <w:pPr>
              <w:rPr>
                <w:sz w:val="19"/>
                <w:szCs w:val="19"/>
              </w:rPr>
            </w:pPr>
          </w:p>
        </w:tc>
        <w:tc>
          <w:tcPr>
            <w:tcW w:w="456"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BBE84A"/>
          </w:tcPr>
          <w:p w14:paraId="028174C1" w14:textId="77777777" w:rsidR="00F1343E" w:rsidRPr="00DA6EDE" w:rsidRDefault="00F1343E" w:rsidP="00287ED9">
            <w:pPr>
              <w:rPr>
                <w:sz w:val="19"/>
                <w:szCs w:val="19"/>
              </w:rPr>
            </w:pPr>
          </w:p>
        </w:tc>
        <w:tc>
          <w:tcPr>
            <w:tcW w:w="407" w:type="dxa"/>
            <w:gridSpan w:val="2"/>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3B68C1B7" w14:textId="77777777" w:rsidR="00F1343E" w:rsidRPr="00DA6EDE" w:rsidRDefault="00F1343E" w:rsidP="00287ED9">
            <w:pPr>
              <w:rPr>
                <w:sz w:val="19"/>
                <w:szCs w:val="19"/>
              </w:rPr>
            </w:pPr>
          </w:p>
        </w:tc>
      </w:tr>
      <w:tr w:rsidR="00F1343E" w:rsidRPr="00DA6EDE" w14:paraId="7C37716A" w14:textId="77777777" w:rsidTr="00F1343E">
        <w:trPr>
          <w:gridAfter w:val="1"/>
          <w:wAfter w:w="12" w:type="dxa"/>
          <w:trHeight w:val="221"/>
        </w:trPr>
        <w:tc>
          <w:tcPr>
            <w:tcW w:w="471"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6F45592B" w14:textId="77777777" w:rsidR="00F1343E" w:rsidRPr="00DA6EDE" w:rsidRDefault="00F1343E" w:rsidP="00287ED9">
            <w:pPr>
              <w:rPr>
                <w:sz w:val="19"/>
                <w:szCs w:val="19"/>
              </w:rPr>
            </w:pPr>
          </w:p>
        </w:tc>
        <w:tc>
          <w:tcPr>
            <w:tcW w:w="419"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527AA8C7" w14:textId="77777777" w:rsidR="00F1343E" w:rsidRPr="00DA6EDE" w:rsidRDefault="00F1343E" w:rsidP="00287ED9">
            <w:pPr>
              <w:rPr>
                <w:sz w:val="19"/>
                <w:szCs w:val="19"/>
              </w:rPr>
            </w:pPr>
          </w:p>
        </w:tc>
        <w:tc>
          <w:tcPr>
            <w:tcW w:w="237"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tcPr>
          <w:p w14:paraId="46A9B255" w14:textId="77777777" w:rsidR="00F1343E" w:rsidRPr="00DA6EDE" w:rsidRDefault="00F1343E" w:rsidP="00287ED9">
            <w:pPr>
              <w:rPr>
                <w:sz w:val="19"/>
                <w:szCs w:val="19"/>
              </w:rPr>
            </w:pPr>
          </w:p>
        </w:tc>
        <w:tc>
          <w:tcPr>
            <w:tcW w:w="469"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CEE92"/>
          </w:tcPr>
          <w:p w14:paraId="772B5120" w14:textId="77777777" w:rsidR="00F1343E" w:rsidRPr="00DA6EDE" w:rsidRDefault="00F1343E" w:rsidP="00287ED9">
            <w:pPr>
              <w:rPr>
                <w:sz w:val="19"/>
                <w:szCs w:val="19"/>
              </w:rPr>
            </w:pPr>
          </w:p>
        </w:tc>
        <w:tc>
          <w:tcPr>
            <w:tcW w:w="41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CEE92"/>
          </w:tcPr>
          <w:p w14:paraId="53D42831" w14:textId="77777777" w:rsidR="00F1343E" w:rsidRPr="00DA6EDE" w:rsidRDefault="00F1343E" w:rsidP="00287ED9">
            <w:pPr>
              <w:rPr>
                <w:sz w:val="19"/>
                <w:szCs w:val="19"/>
              </w:rPr>
            </w:pPr>
          </w:p>
        </w:tc>
        <w:tc>
          <w:tcPr>
            <w:tcW w:w="236"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tcPr>
          <w:p w14:paraId="0D16CB7A" w14:textId="77777777" w:rsidR="00F1343E" w:rsidRPr="00DA6EDE" w:rsidRDefault="00F1343E" w:rsidP="00287ED9">
            <w:pPr>
              <w:rPr>
                <w:sz w:val="19"/>
                <w:szCs w:val="19"/>
              </w:rPr>
            </w:pPr>
          </w:p>
        </w:tc>
        <w:tc>
          <w:tcPr>
            <w:tcW w:w="46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CEE92"/>
          </w:tcPr>
          <w:p w14:paraId="3E88BB79" w14:textId="77777777" w:rsidR="00F1343E" w:rsidRPr="00DA6EDE" w:rsidRDefault="00F1343E" w:rsidP="00287ED9">
            <w:pPr>
              <w:rPr>
                <w:sz w:val="19"/>
                <w:szCs w:val="19"/>
              </w:rPr>
            </w:pPr>
          </w:p>
        </w:tc>
        <w:tc>
          <w:tcPr>
            <w:tcW w:w="422"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CEE92"/>
          </w:tcPr>
          <w:p w14:paraId="1E8CD49F" w14:textId="77777777" w:rsidR="00F1343E" w:rsidRPr="00DA6EDE" w:rsidRDefault="00F1343E" w:rsidP="00287ED9">
            <w:pPr>
              <w:rPr>
                <w:sz w:val="19"/>
                <w:szCs w:val="19"/>
              </w:rPr>
            </w:pPr>
          </w:p>
        </w:tc>
        <w:tc>
          <w:tcPr>
            <w:tcW w:w="409" w:type="dxa"/>
            <w:gridSpan w:val="2"/>
            <w:vMerge/>
            <w:tcBorders>
              <w:left w:val="single" w:sz="12" w:space="0" w:color="FFFFFF" w:themeColor="background1"/>
              <w:right w:val="single" w:sz="12" w:space="0" w:color="FFFFFF" w:themeColor="background1"/>
            </w:tcBorders>
          </w:tcPr>
          <w:p w14:paraId="049B136A" w14:textId="77777777" w:rsidR="00F1343E" w:rsidRPr="00DA6EDE" w:rsidRDefault="00F1343E" w:rsidP="00287ED9">
            <w:pPr>
              <w:rPr>
                <w:sz w:val="19"/>
                <w:szCs w:val="19"/>
              </w:rPr>
            </w:pPr>
          </w:p>
        </w:tc>
        <w:tc>
          <w:tcPr>
            <w:tcW w:w="461" w:type="dxa"/>
            <w:gridSpan w:val="2"/>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4C447591" w14:textId="77777777" w:rsidR="00F1343E" w:rsidRPr="00DA6EDE" w:rsidRDefault="00F1343E" w:rsidP="00287ED9">
            <w:pPr>
              <w:rPr>
                <w:sz w:val="19"/>
                <w:szCs w:val="19"/>
              </w:rPr>
            </w:pPr>
          </w:p>
        </w:tc>
        <w:tc>
          <w:tcPr>
            <w:tcW w:w="41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795F0E05" w14:textId="77777777" w:rsidR="00F1343E" w:rsidRPr="00DA6EDE" w:rsidRDefault="00F1343E" w:rsidP="00287ED9">
            <w:pPr>
              <w:rPr>
                <w:sz w:val="19"/>
                <w:szCs w:val="19"/>
              </w:rPr>
            </w:pPr>
          </w:p>
        </w:tc>
        <w:tc>
          <w:tcPr>
            <w:tcW w:w="236"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tcPr>
          <w:p w14:paraId="4EA9C78F" w14:textId="77777777" w:rsidR="00F1343E" w:rsidRPr="00DA6EDE" w:rsidRDefault="00F1343E" w:rsidP="00287ED9">
            <w:pPr>
              <w:rPr>
                <w:sz w:val="19"/>
                <w:szCs w:val="19"/>
              </w:rPr>
            </w:pPr>
          </w:p>
        </w:tc>
        <w:tc>
          <w:tcPr>
            <w:tcW w:w="469"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CEE92"/>
          </w:tcPr>
          <w:p w14:paraId="62598899" w14:textId="77777777" w:rsidR="00F1343E" w:rsidRPr="00DA6EDE" w:rsidRDefault="00F1343E" w:rsidP="00287ED9">
            <w:pPr>
              <w:rPr>
                <w:sz w:val="19"/>
                <w:szCs w:val="19"/>
              </w:rPr>
            </w:pPr>
          </w:p>
        </w:tc>
        <w:tc>
          <w:tcPr>
            <w:tcW w:w="41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CEE92"/>
          </w:tcPr>
          <w:p w14:paraId="1FDA32A5" w14:textId="77777777" w:rsidR="00F1343E" w:rsidRPr="00DA6EDE" w:rsidRDefault="00F1343E" w:rsidP="00287ED9">
            <w:pPr>
              <w:rPr>
                <w:sz w:val="19"/>
                <w:szCs w:val="19"/>
              </w:rPr>
            </w:pPr>
          </w:p>
        </w:tc>
        <w:tc>
          <w:tcPr>
            <w:tcW w:w="236"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tcPr>
          <w:p w14:paraId="10D5AE59" w14:textId="77777777" w:rsidR="00F1343E" w:rsidRPr="00DA6EDE" w:rsidRDefault="00F1343E" w:rsidP="00287ED9">
            <w:pPr>
              <w:rPr>
                <w:sz w:val="19"/>
                <w:szCs w:val="19"/>
              </w:rPr>
            </w:pPr>
          </w:p>
        </w:tc>
        <w:tc>
          <w:tcPr>
            <w:tcW w:w="469"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CEE92"/>
          </w:tcPr>
          <w:p w14:paraId="708E4DF7" w14:textId="77777777" w:rsidR="00F1343E" w:rsidRPr="00DA6EDE" w:rsidRDefault="00F1343E" w:rsidP="00287ED9">
            <w:pPr>
              <w:rPr>
                <w:sz w:val="19"/>
                <w:szCs w:val="19"/>
              </w:rPr>
            </w:pPr>
          </w:p>
        </w:tc>
        <w:tc>
          <w:tcPr>
            <w:tcW w:w="42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CEE92"/>
          </w:tcPr>
          <w:p w14:paraId="1E52016E" w14:textId="77777777" w:rsidR="00F1343E" w:rsidRPr="00DA6EDE" w:rsidRDefault="00F1343E" w:rsidP="00287ED9">
            <w:pPr>
              <w:rPr>
                <w:sz w:val="19"/>
                <w:szCs w:val="19"/>
              </w:rPr>
            </w:pPr>
          </w:p>
        </w:tc>
        <w:tc>
          <w:tcPr>
            <w:tcW w:w="422" w:type="dxa"/>
            <w:gridSpan w:val="2"/>
            <w:vMerge/>
            <w:tcBorders>
              <w:left w:val="single" w:sz="12" w:space="0" w:color="FFFFFF" w:themeColor="background1"/>
              <w:right w:val="single" w:sz="12" w:space="0" w:color="FFFFFF" w:themeColor="background1"/>
            </w:tcBorders>
          </w:tcPr>
          <w:p w14:paraId="65C548D6" w14:textId="77777777" w:rsidR="00F1343E" w:rsidRPr="00DA6EDE" w:rsidRDefault="00F1343E" w:rsidP="00287ED9">
            <w:pPr>
              <w:rPr>
                <w:sz w:val="19"/>
                <w:szCs w:val="19"/>
              </w:rPr>
            </w:pPr>
          </w:p>
        </w:tc>
        <w:tc>
          <w:tcPr>
            <w:tcW w:w="466" w:type="dxa"/>
            <w:gridSpan w:val="3"/>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5C881A53" w14:textId="77777777" w:rsidR="00F1343E" w:rsidRPr="00DA6EDE" w:rsidRDefault="00F1343E" w:rsidP="00287ED9">
            <w:pPr>
              <w:rPr>
                <w:sz w:val="19"/>
                <w:szCs w:val="19"/>
              </w:rPr>
            </w:pPr>
          </w:p>
        </w:tc>
        <w:tc>
          <w:tcPr>
            <w:tcW w:w="41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6C66C129" w14:textId="77777777" w:rsidR="00F1343E" w:rsidRPr="00DA6EDE" w:rsidRDefault="00F1343E" w:rsidP="00287ED9">
            <w:pPr>
              <w:rPr>
                <w:sz w:val="19"/>
                <w:szCs w:val="19"/>
              </w:rPr>
            </w:pPr>
          </w:p>
        </w:tc>
        <w:tc>
          <w:tcPr>
            <w:tcW w:w="236"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tcPr>
          <w:p w14:paraId="3D0D2806" w14:textId="77777777" w:rsidR="00F1343E" w:rsidRPr="00DA6EDE" w:rsidRDefault="00F1343E" w:rsidP="00287ED9">
            <w:pPr>
              <w:rPr>
                <w:sz w:val="19"/>
                <w:szCs w:val="19"/>
              </w:rPr>
            </w:pPr>
          </w:p>
        </w:tc>
        <w:tc>
          <w:tcPr>
            <w:tcW w:w="456"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CEE92"/>
          </w:tcPr>
          <w:p w14:paraId="3CC537D6" w14:textId="77777777" w:rsidR="00F1343E" w:rsidRPr="00DA6EDE" w:rsidRDefault="00F1343E" w:rsidP="00287ED9">
            <w:pPr>
              <w:rPr>
                <w:sz w:val="19"/>
                <w:szCs w:val="19"/>
              </w:rPr>
            </w:pPr>
          </w:p>
        </w:tc>
        <w:tc>
          <w:tcPr>
            <w:tcW w:w="407" w:type="dxa"/>
            <w:gridSpan w:val="2"/>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CEE92"/>
          </w:tcPr>
          <w:p w14:paraId="74FBD56B" w14:textId="77777777" w:rsidR="00F1343E" w:rsidRPr="00DA6EDE" w:rsidRDefault="00F1343E" w:rsidP="00287ED9">
            <w:pPr>
              <w:rPr>
                <w:sz w:val="19"/>
                <w:szCs w:val="19"/>
              </w:rPr>
            </w:pPr>
          </w:p>
        </w:tc>
      </w:tr>
      <w:tr w:rsidR="00F1343E" w:rsidRPr="00DA6EDE" w14:paraId="0FE9597B" w14:textId="77777777" w:rsidTr="00F1343E">
        <w:trPr>
          <w:gridAfter w:val="1"/>
          <w:wAfter w:w="12" w:type="dxa"/>
          <w:trHeight w:val="231"/>
        </w:trPr>
        <w:tc>
          <w:tcPr>
            <w:tcW w:w="471"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7606DFF9" w14:textId="77777777" w:rsidR="00F1343E" w:rsidRPr="00DA6EDE" w:rsidRDefault="00F1343E" w:rsidP="00287ED9">
            <w:pPr>
              <w:rPr>
                <w:sz w:val="19"/>
                <w:szCs w:val="19"/>
              </w:rPr>
            </w:pPr>
          </w:p>
        </w:tc>
        <w:tc>
          <w:tcPr>
            <w:tcW w:w="419"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00CB4607" w14:textId="77777777" w:rsidR="00F1343E" w:rsidRPr="00DA6EDE" w:rsidRDefault="00F1343E" w:rsidP="00287ED9">
            <w:pPr>
              <w:rPr>
                <w:sz w:val="19"/>
                <w:szCs w:val="19"/>
              </w:rPr>
            </w:pPr>
          </w:p>
        </w:tc>
        <w:tc>
          <w:tcPr>
            <w:tcW w:w="237"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tcPr>
          <w:p w14:paraId="114A23AF" w14:textId="77777777" w:rsidR="00F1343E" w:rsidRPr="00DA6EDE" w:rsidRDefault="00F1343E" w:rsidP="00287ED9">
            <w:pPr>
              <w:rPr>
                <w:sz w:val="19"/>
                <w:szCs w:val="19"/>
              </w:rPr>
            </w:pPr>
          </w:p>
        </w:tc>
        <w:tc>
          <w:tcPr>
            <w:tcW w:w="469"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F2F28E"/>
          </w:tcPr>
          <w:p w14:paraId="64479956" w14:textId="77777777" w:rsidR="00F1343E" w:rsidRPr="00DA6EDE" w:rsidRDefault="00F1343E" w:rsidP="00287ED9">
            <w:pPr>
              <w:rPr>
                <w:sz w:val="19"/>
                <w:szCs w:val="19"/>
              </w:rPr>
            </w:pPr>
          </w:p>
        </w:tc>
        <w:tc>
          <w:tcPr>
            <w:tcW w:w="41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F2F28E"/>
          </w:tcPr>
          <w:p w14:paraId="29D25664" w14:textId="77777777" w:rsidR="00F1343E" w:rsidRPr="00DA6EDE" w:rsidRDefault="00F1343E" w:rsidP="00287ED9">
            <w:pPr>
              <w:rPr>
                <w:sz w:val="19"/>
                <w:szCs w:val="19"/>
              </w:rPr>
            </w:pPr>
          </w:p>
        </w:tc>
        <w:tc>
          <w:tcPr>
            <w:tcW w:w="236"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tcPr>
          <w:p w14:paraId="054909E8" w14:textId="77777777" w:rsidR="00F1343E" w:rsidRPr="00DA6EDE" w:rsidRDefault="00F1343E" w:rsidP="00287ED9">
            <w:pPr>
              <w:rPr>
                <w:sz w:val="19"/>
                <w:szCs w:val="19"/>
              </w:rPr>
            </w:pPr>
          </w:p>
        </w:tc>
        <w:tc>
          <w:tcPr>
            <w:tcW w:w="46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F2F28E"/>
          </w:tcPr>
          <w:p w14:paraId="5E0DB902" w14:textId="77777777" w:rsidR="00F1343E" w:rsidRPr="00DA6EDE" w:rsidRDefault="00F1343E" w:rsidP="00287ED9">
            <w:pPr>
              <w:rPr>
                <w:sz w:val="19"/>
                <w:szCs w:val="19"/>
              </w:rPr>
            </w:pPr>
          </w:p>
        </w:tc>
        <w:tc>
          <w:tcPr>
            <w:tcW w:w="422"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F2F28E"/>
          </w:tcPr>
          <w:p w14:paraId="4F7F769D" w14:textId="77777777" w:rsidR="00F1343E" w:rsidRPr="00DA6EDE" w:rsidRDefault="00F1343E" w:rsidP="00287ED9">
            <w:pPr>
              <w:rPr>
                <w:sz w:val="19"/>
                <w:szCs w:val="19"/>
              </w:rPr>
            </w:pPr>
          </w:p>
        </w:tc>
        <w:tc>
          <w:tcPr>
            <w:tcW w:w="409" w:type="dxa"/>
            <w:gridSpan w:val="2"/>
            <w:vMerge/>
            <w:tcBorders>
              <w:left w:val="single" w:sz="12" w:space="0" w:color="FFFFFF" w:themeColor="background1"/>
              <w:right w:val="single" w:sz="12" w:space="0" w:color="FFFFFF" w:themeColor="background1"/>
            </w:tcBorders>
          </w:tcPr>
          <w:p w14:paraId="6EE7D140" w14:textId="77777777" w:rsidR="00F1343E" w:rsidRPr="00DA6EDE" w:rsidRDefault="00F1343E" w:rsidP="00287ED9">
            <w:pPr>
              <w:rPr>
                <w:sz w:val="19"/>
                <w:szCs w:val="19"/>
              </w:rPr>
            </w:pPr>
          </w:p>
        </w:tc>
        <w:tc>
          <w:tcPr>
            <w:tcW w:w="461" w:type="dxa"/>
            <w:gridSpan w:val="2"/>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4E5366A1" w14:textId="77777777" w:rsidR="00F1343E" w:rsidRPr="00DA6EDE" w:rsidRDefault="00F1343E" w:rsidP="00287ED9">
            <w:pPr>
              <w:rPr>
                <w:sz w:val="19"/>
                <w:szCs w:val="19"/>
              </w:rPr>
            </w:pPr>
          </w:p>
        </w:tc>
        <w:tc>
          <w:tcPr>
            <w:tcW w:w="41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70951B5B" w14:textId="77777777" w:rsidR="00F1343E" w:rsidRPr="00DA6EDE" w:rsidRDefault="00F1343E" w:rsidP="00287ED9">
            <w:pPr>
              <w:rPr>
                <w:sz w:val="19"/>
                <w:szCs w:val="19"/>
              </w:rPr>
            </w:pPr>
          </w:p>
        </w:tc>
        <w:tc>
          <w:tcPr>
            <w:tcW w:w="236"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tcPr>
          <w:p w14:paraId="23476F57" w14:textId="77777777" w:rsidR="00F1343E" w:rsidRPr="00DA6EDE" w:rsidRDefault="00F1343E" w:rsidP="00287ED9">
            <w:pPr>
              <w:rPr>
                <w:sz w:val="19"/>
                <w:szCs w:val="19"/>
              </w:rPr>
            </w:pPr>
          </w:p>
        </w:tc>
        <w:tc>
          <w:tcPr>
            <w:tcW w:w="469"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F2F28E"/>
          </w:tcPr>
          <w:p w14:paraId="06872B0F" w14:textId="77777777" w:rsidR="00F1343E" w:rsidRPr="00DA6EDE" w:rsidRDefault="00F1343E" w:rsidP="00287ED9">
            <w:pPr>
              <w:rPr>
                <w:sz w:val="19"/>
                <w:szCs w:val="19"/>
              </w:rPr>
            </w:pPr>
          </w:p>
        </w:tc>
        <w:tc>
          <w:tcPr>
            <w:tcW w:w="41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F2F28E"/>
          </w:tcPr>
          <w:p w14:paraId="0A8B98BF" w14:textId="77777777" w:rsidR="00F1343E" w:rsidRPr="00DA6EDE" w:rsidRDefault="00F1343E" w:rsidP="00287ED9">
            <w:pPr>
              <w:rPr>
                <w:sz w:val="19"/>
                <w:szCs w:val="19"/>
              </w:rPr>
            </w:pPr>
          </w:p>
        </w:tc>
        <w:tc>
          <w:tcPr>
            <w:tcW w:w="236"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tcPr>
          <w:p w14:paraId="286F9701" w14:textId="77777777" w:rsidR="00F1343E" w:rsidRPr="00DA6EDE" w:rsidRDefault="00F1343E" w:rsidP="00287ED9">
            <w:pPr>
              <w:rPr>
                <w:sz w:val="19"/>
                <w:szCs w:val="19"/>
              </w:rPr>
            </w:pPr>
          </w:p>
        </w:tc>
        <w:tc>
          <w:tcPr>
            <w:tcW w:w="469"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F2F28E"/>
          </w:tcPr>
          <w:p w14:paraId="5C00BD01" w14:textId="77777777" w:rsidR="00F1343E" w:rsidRPr="00DA6EDE" w:rsidRDefault="00F1343E" w:rsidP="00287ED9">
            <w:pPr>
              <w:rPr>
                <w:sz w:val="19"/>
                <w:szCs w:val="19"/>
              </w:rPr>
            </w:pPr>
          </w:p>
        </w:tc>
        <w:tc>
          <w:tcPr>
            <w:tcW w:w="42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F2F28E"/>
          </w:tcPr>
          <w:p w14:paraId="235FBFAF" w14:textId="77777777" w:rsidR="00F1343E" w:rsidRPr="00DA6EDE" w:rsidRDefault="00F1343E" w:rsidP="00287ED9">
            <w:pPr>
              <w:rPr>
                <w:sz w:val="19"/>
                <w:szCs w:val="19"/>
              </w:rPr>
            </w:pPr>
          </w:p>
        </w:tc>
        <w:tc>
          <w:tcPr>
            <w:tcW w:w="422" w:type="dxa"/>
            <w:gridSpan w:val="2"/>
            <w:vMerge/>
            <w:tcBorders>
              <w:left w:val="single" w:sz="12" w:space="0" w:color="FFFFFF" w:themeColor="background1"/>
              <w:right w:val="single" w:sz="12" w:space="0" w:color="FFFFFF" w:themeColor="background1"/>
            </w:tcBorders>
          </w:tcPr>
          <w:p w14:paraId="382BE1E7" w14:textId="77777777" w:rsidR="00F1343E" w:rsidRPr="00DA6EDE" w:rsidRDefault="00F1343E" w:rsidP="00287ED9">
            <w:pPr>
              <w:rPr>
                <w:sz w:val="19"/>
                <w:szCs w:val="19"/>
              </w:rPr>
            </w:pPr>
          </w:p>
        </w:tc>
        <w:tc>
          <w:tcPr>
            <w:tcW w:w="466" w:type="dxa"/>
            <w:gridSpan w:val="3"/>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06862673" w14:textId="77777777" w:rsidR="00F1343E" w:rsidRPr="00DA6EDE" w:rsidRDefault="00F1343E" w:rsidP="00287ED9">
            <w:pPr>
              <w:rPr>
                <w:sz w:val="19"/>
                <w:szCs w:val="19"/>
              </w:rPr>
            </w:pPr>
          </w:p>
        </w:tc>
        <w:tc>
          <w:tcPr>
            <w:tcW w:w="41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637DC0D9" w14:textId="77777777" w:rsidR="00F1343E" w:rsidRPr="00DA6EDE" w:rsidRDefault="00F1343E" w:rsidP="00287ED9">
            <w:pPr>
              <w:rPr>
                <w:sz w:val="19"/>
                <w:szCs w:val="19"/>
              </w:rPr>
            </w:pPr>
          </w:p>
        </w:tc>
        <w:tc>
          <w:tcPr>
            <w:tcW w:w="236"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tcPr>
          <w:p w14:paraId="6A5C3213" w14:textId="77777777" w:rsidR="00F1343E" w:rsidRPr="00DA6EDE" w:rsidRDefault="00F1343E" w:rsidP="00287ED9">
            <w:pPr>
              <w:rPr>
                <w:sz w:val="19"/>
                <w:szCs w:val="19"/>
              </w:rPr>
            </w:pPr>
          </w:p>
        </w:tc>
        <w:tc>
          <w:tcPr>
            <w:tcW w:w="456"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F2F28E"/>
          </w:tcPr>
          <w:p w14:paraId="6DF9FCA9" w14:textId="77777777" w:rsidR="00F1343E" w:rsidRPr="00DA6EDE" w:rsidRDefault="00F1343E" w:rsidP="00287ED9">
            <w:pPr>
              <w:rPr>
                <w:sz w:val="19"/>
                <w:szCs w:val="19"/>
              </w:rPr>
            </w:pPr>
          </w:p>
        </w:tc>
        <w:tc>
          <w:tcPr>
            <w:tcW w:w="407" w:type="dxa"/>
            <w:gridSpan w:val="2"/>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F2F28E"/>
          </w:tcPr>
          <w:p w14:paraId="2A5EBF9B" w14:textId="77777777" w:rsidR="00F1343E" w:rsidRPr="00DA6EDE" w:rsidRDefault="00F1343E" w:rsidP="00287ED9">
            <w:pPr>
              <w:rPr>
                <w:sz w:val="19"/>
                <w:szCs w:val="19"/>
              </w:rPr>
            </w:pPr>
          </w:p>
        </w:tc>
      </w:tr>
      <w:tr w:rsidR="00F1343E" w:rsidRPr="00DA6EDE" w14:paraId="1A267940" w14:textId="77777777" w:rsidTr="00F1343E">
        <w:trPr>
          <w:gridAfter w:val="1"/>
          <w:wAfter w:w="12" w:type="dxa"/>
          <w:trHeight w:val="221"/>
        </w:trPr>
        <w:tc>
          <w:tcPr>
            <w:tcW w:w="471"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F1D177"/>
          </w:tcPr>
          <w:p w14:paraId="061A71B2" w14:textId="77777777" w:rsidR="00F1343E" w:rsidRPr="00DA6EDE" w:rsidRDefault="00F1343E" w:rsidP="00287ED9">
            <w:pPr>
              <w:rPr>
                <w:sz w:val="19"/>
                <w:szCs w:val="19"/>
              </w:rPr>
            </w:pPr>
          </w:p>
        </w:tc>
        <w:tc>
          <w:tcPr>
            <w:tcW w:w="419"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F1D177"/>
          </w:tcPr>
          <w:p w14:paraId="3F885B02" w14:textId="77777777" w:rsidR="00F1343E" w:rsidRPr="00DA6EDE" w:rsidRDefault="00F1343E" w:rsidP="00287ED9">
            <w:pPr>
              <w:rPr>
                <w:sz w:val="19"/>
                <w:szCs w:val="19"/>
              </w:rPr>
            </w:pPr>
          </w:p>
        </w:tc>
        <w:tc>
          <w:tcPr>
            <w:tcW w:w="237"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tcPr>
          <w:p w14:paraId="6D182F0B" w14:textId="77777777" w:rsidR="00F1343E" w:rsidRPr="00DA6EDE" w:rsidRDefault="00F1343E" w:rsidP="00287ED9">
            <w:pPr>
              <w:rPr>
                <w:sz w:val="19"/>
                <w:szCs w:val="19"/>
              </w:rPr>
            </w:pPr>
          </w:p>
        </w:tc>
        <w:tc>
          <w:tcPr>
            <w:tcW w:w="469"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F1D177"/>
          </w:tcPr>
          <w:p w14:paraId="53D1B899" w14:textId="77777777" w:rsidR="00F1343E" w:rsidRPr="00DA6EDE" w:rsidRDefault="00F1343E" w:rsidP="00287ED9">
            <w:pPr>
              <w:rPr>
                <w:sz w:val="19"/>
                <w:szCs w:val="19"/>
              </w:rPr>
            </w:pPr>
          </w:p>
        </w:tc>
        <w:tc>
          <w:tcPr>
            <w:tcW w:w="41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F1D177"/>
          </w:tcPr>
          <w:p w14:paraId="2FA3AC4F" w14:textId="77777777" w:rsidR="00F1343E" w:rsidRPr="00DA6EDE" w:rsidRDefault="00F1343E" w:rsidP="00287ED9">
            <w:pPr>
              <w:rPr>
                <w:sz w:val="19"/>
                <w:szCs w:val="19"/>
              </w:rPr>
            </w:pPr>
          </w:p>
        </w:tc>
        <w:tc>
          <w:tcPr>
            <w:tcW w:w="236"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tcPr>
          <w:p w14:paraId="35162DAA" w14:textId="77777777" w:rsidR="00F1343E" w:rsidRPr="00DA6EDE" w:rsidRDefault="00F1343E" w:rsidP="00287ED9">
            <w:pPr>
              <w:rPr>
                <w:sz w:val="19"/>
                <w:szCs w:val="19"/>
              </w:rPr>
            </w:pPr>
          </w:p>
        </w:tc>
        <w:tc>
          <w:tcPr>
            <w:tcW w:w="46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F1D177"/>
          </w:tcPr>
          <w:p w14:paraId="2EE299DE" w14:textId="77777777" w:rsidR="00F1343E" w:rsidRPr="00DA6EDE" w:rsidRDefault="00F1343E" w:rsidP="00287ED9">
            <w:pPr>
              <w:rPr>
                <w:sz w:val="19"/>
                <w:szCs w:val="19"/>
              </w:rPr>
            </w:pPr>
          </w:p>
        </w:tc>
        <w:tc>
          <w:tcPr>
            <w:tcW w:w="422"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F1D177"/>
          </w:tcPr>
          <w:p w14:paraId="46359B96" w14:textId="77777777" w:rsidR="00F1343E" w:rsidRPr="00DA6EDE" w:rsidRDefault="00F1343E" w:rsidP="00287ED9">
            <w:pPr>
              <w:rPr>
                <w:sz w:val="19"/>
                <w:szCs w:val="19"/>
              </w:rPr>
            </w:pPr>
          </w:p>
        </w:tc>
        <w:tc>
          <w:tcPr>
            <w:tcW w:w="409" w:type="dxa"/>
            <w:gridSpan w:val="2"/>
            <w:vMerge/>
            <w:tcBorders>
              <w:left w:val="single" w:sz="12" w:space="0" w:color="FFFFFF" w:themeColor="background1"/>
              <w:right w:val="single" w:sz="12" w:space="0" w:color="FFFFFF" w:themeColor="background1"/>
            </w:tcBorders>
          </w:tcPr>
          <w:p w14:paraId="0D06CFE6" w14:textId="77777777" w:rsidR="00F1343E" w:rsidRPr="00DA6EDE" w:rsidRDefault="00F1343E" w:rsidP="00287ED9">
            <w:pPr>
              <w:rPr>
                <w:sz w:val="19"/>
                <w:szCs w:val="19"/>
              </w:rPr>
            </w:pPr>
          </w:p>
        </w:tc>
        <w:tc>
          <w:tcPr>
            <w:tcW w:w="461" w:type="dxa"/>
            <w:gridSpan w:val="2"/>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5962745C" w14:textId="77777777" w:rsidR="00F1343E" w:rsidRPr="00DA6EDE" w:rsidRDefault="00F1343E" w:rsidP="00287ED9">
            <w:pPr>
              <w:rPr>
                <w:sz w:val="19"/>
                <w:szCs w:val="19"/>
              </w:rPr>
            </w:pPr>
          </w:p>
        </w:tc>
        <w:tc>
          <w:tcPr>
            <w:tcW w:w="41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3116C40A" w14:textId="77777777" w:rsidR="00F1343E" w:rsidRPr="00DA6EDE" w:rsidRDefault="00F1343E" w:rsidP="00287ED9">
            <w:pPr>
              <w:rPr>
                <w:sz w:val="19"/>
                <w:szCs w:val="19"/>
              </w:rPr>
            </w:pPr>
          </w:p>
        </w:tc>
        <w:tc>
          <w:tcPr>
            <w:tcW w:w="236"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tcPr>
          <w:p w14:paraId="516B8C92" w14:textId="77777777" w:rsidR="00F1343E" w:rsidRPr="00DA6EDE" w:rsidRDefault="00F1343E" w:rsidP="00287ED9">
            <w:pPr>
              <w:rPr>
                <w:sz w:val="19"/>
                <w:szCs w:val="19"/>
              </w:rPr>
            </w:pPr>
          </w:p>
        </w:tc>
        <w:tc>
          <w:tcPr>
            <w:tcW w:w="469"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F1D177"/>
          </w:tcPr>
          <w:p w14:paraId="25FCAE2F" w14:textId="77777777" w:rsidR="00F1343E" w:rsidRPr="00DA6EDE" w:rsidRDefault="00F1343E" w:rsidP="00287ED9">
            <w:pPr>
              <w:rPr>
                <w:sz w:val="19"/>
                <w:szCs w:val="19"/>
              </w:rPr>
            </w:pPr>
          </w:p>
        </w:tc>
        <w:tc>
          <w:tcPr>
            <w:tcW w:w="41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F1D177"/>
          </w:tcPr>
          <w:p w14:paraId="69B2FF30" w14:textId="77777777" w:rsidR="00F1343E" w:rsidRPr="00DA6EDE" w:rsidRDefault="00F1343E" w:rsidP="00287ED9">
            <w:pPr>
              <w:rPr>
                <w:sz w:val="19"/>
                <w:szCs w:val="19"/>
              </w:rPr>
            </w:pPr>
          </w:p>
        </w:tc>
        <w:tc>
          <w:tcPr>
            <w:tcW w:w="236"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tcPr>
          <w:p w14:paraId="12F4C489" w14:textId="77777777" w:rsidR="00F1343E" w:rsidRPr="00DA6EDE" w:rsidRDefault="00F1343E" w:rsidP="00287ED9">
            <w:pPr>
              <w:rPr>
                <w:sz w:val="19"/>
                <w:szCs w:val="19"/>
              </w:rPr>
            </w:pPr>
          </w:p>
        </w:tc>
        <w:tc>
          <w:tcPr>
            <w:tcW w:w="469"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F1D177"/>
          </w:tcPr>
          <w:p w14:paraId="5324650E" w14:textId="77777777" w:rsidR="00F1343E" w:rsidRPr="00DA6EDE" w:rsidRDefault="00F1343E" w:rsidP="00287ED9">
            <w:pPr>
              <w:rPr>
                <w:sz w:val="19"/>
                <w:szCs w:val="19"/>
              </w:rPr>
            </w:pPr>
          </w:p>
        </w:tc>
        <w:tc>
          <w:tcPr>
            <w:tcW w:w="42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F1D177"/>
          </w:tcPr>
          <w:p w14:paraId="3645A726" w14:textId="77777777" w:rsidR="00F1343E" w:rsidRPr="00DA6EDE" w:rsidRDefault="00F1343E" w:rsidP="00287ED9">
            <w:pPr>
              <w:rPr>
                <w:sz w:val="19"/>
                <w:szCs w:val="19"/>
              </w:rPr>
            </w:pPr>
          </w:p>
        </w:tc>
        <w:tc>
          <w:tcPr>
            <w:tcW w:w="422" w:type="dxa"/>
            <w:gridSpan w:val="2"/>
            <w:vMerge/>
            <w:tcBorders>
              <w:left w:val="single" w:sz="12" w:space="0" w:color="FFFFFF" w:themeColor="background1"/>
              <w:right w:val="single" w:sz="12" w:space="0" w:color="FFFFFF" w:themeColor="background1"/>
            </w:tcBorders>
          </w:tcPr>
          <w:p w14:paraId="512F0441" w14:textId="77777777" w:rsidR="00F1343E" w:rsidRPr="00DA6EDE" w:rsidRDefault="00F1343E" w:rsidP="00287ED9">
            <w:pPr>
              <w:rPr>
                <w:sz w:val="19"/>
                <w:szCs w:val="19"/>
              </w:rPr>
            </w:pPr>
          </w:p>
        </w:tc>
        <w:tc>
          <w:tcPr>
            <w:tcW w:w="466" w:type="dxa"/>
            <w:gridSpan w:val="3"/>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13C30FF3" w14:textId="77777777" w:rsidR="00F1343E" w:rsidRPr="00DA6EDE" w:rsidRDefault="00F1343E" w:rsidP="00287ED9">
            <w:pPr>
              <w:rPr>
                <w:sz w:val="19"/>
                <w:szCs w:val="19"/>
              </w:rPr>
            </w:pPr>
          </w:p>
        </w:tc>
        <w:tc>
          <w:tcPr>
            <w:tcW w:w="41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3D47AB0E" w14:textId="77777777" w:rsidR="00F1343E" w:rsidRPr="00DA6EDE" w:rsidRDefault="00F1343E" w:rsidP="00287ED9">
            <w:pPr>
              <w:rPr>
                <w:sz w:val="19"/>
                <w:szCs w:val="19"/>
              </w:rPr>
            </w:pPr>
          </w:p>
        </w:tc>
        <w:tc>
          <w:tcPr>
            <w:tcW w:w="236"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tcPr>
          <w:p w14:paraId="017A0065" w14:textId="77777777" w:rsidR="00F1343E" w:rsidRPr="00DA6EDE" w:rsidRDefault="00F1343E" w:rsidP="00287ED9">
            <w:pPr>
              <w:rPr>
                <w:sz w:val="19"/>
                <w:szCs w:val="19"/>
              </w:rPr>
            </w:pPr>
          </w:p>
        </w:tc>
        <w:tc>
          <w:tcPr>
            <w:tcW w:w="456"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F1D177"/>
          </w:tcPr>
          <w:p w14:paraId="406DE108" w14:textId="77777777" w:rsidR="00F1343E" w:rsidRPr="00DA6EDE" w:rsidRDefault="00F1343E" w:rsidP="00287ED9">
            <w:pPr>
              <w:rPr>
                <w:sz w:val="19"/>
                <w:szCs w:val="19"/>
              </w:rPr>
            </w:pPr>
          </w:p>
        </w:tc>
        <w:tc>
          <w:tcPr>
            <w:tcW w:w="407" w:type="dxa"/>
            <w:gridSpan w:val="2"/>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F1D177"/>
          </w:tcPr>
          <w:p w14:paraId="525ECE8B" w14:textId="77777777" w:rsidR="00F1343E" w:rsidRPr="00DA6EDE" w:rsidRDefault="00F1343E" w:rsidP="00287ED9">
            <w:pPr>
              <w:rPr>
                <w:sz w:val="19"/>
                <w:szCs w:val="19"/>
              </w:rPr>
            </w:pPr>
          </w:p>
        </w:tc>
      </w:tr>
      <w:tr w:rsidR="00F1343E" w:rsidRPr="00DA6EDE" w14:paraId="23F3939C" w14:textId="77777777" w:rsidTr="00F1343E">
        <w:trPr>
          <w:gridAfter w:val="1"/>
          <w:wAfter w:w="12" w:type="dxa"/>
          <w:trHeight w:val="221"/>
        </w:trPr>
        <w:tc>
          <w:tcPr>
            <w:tcW w:w="471"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EE9872"/>
          </w:tcPr>
          <w:p w14:paraId="51063C0E" w14:textId="77777777" w:rsidR="00F1343E" w:rsidRPr="00DA6EDE" w:rsidRDefault="00F1343E" w:rsidP="00287ED9">
            <w:pPr>
              <w:rPr>
                <w:sz w:val="19"/>
                <w:szCs w:val="19"/>
              </w:rPr>
            </w:pPr>
          </w:p>
        </w:tc>
        <w:tc>
          <w:tcPr>
            <w:tcW w:w="419"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EE9872"/>
          </w:tcPr>
          <w:p w14:paraId="773ABA93" w14:textId="77777777" w:rsidR="00F1343E" w:rsidRPr="00DA6EDE" w:rsidRDefault="00F1343E" w:rsidP="00287ED9">
            <w:pPr>
              <w:rPr>
                <w:sz w:val="19"/>
                <w:szCs w:val="19"/>
              </w:rPr>
            </w:pPr>
          </w:p>
        </w:tc>
        <w:tc>
          <w:tcPr>
            <w:tcW w:w="237"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tcPr>
          <w:p w14:paraId="2314A346" w14:textId="77777777" w:rsidR="00F1343E" w:rsidRPr="00DA6EDE" w:rsidRDefault="00F1343E" w:rsidP="00287ED9">
            <w:pPr>
              <w:rPr>
                <w:sz w:val="19"/>
                <w:szCs w:val="19"/>
              </w:rPr>
            </w:pPr>
          </w:p>
        </w:tc>
        <w:tc>
          <w:tcPr>
            <w:tcW w:w="469"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EE9872"/>
          </w:tcPr>
          <w:p w14:paraId="69C8704C" w14:textId="77777777" w:rsidR="00F1343E" w:rsidRPr="00DA6EDE" w:rsidRDefault="00F1343E" w:rsidP="00287ED9">
            <w:pPr>
              <w:rPr>
                <w:sz w:val="19"/>
                <w:szCs w:val="19"/>
              </w:rPr>
            </w:pPr>
          </w:p>
        </w:tc>
        <w:tc>
          <w:tcPr>
            <w:tcW w:w="41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EE9872"/>
          </w:tcPr>
          <w:p w14:paraId="4988F278" w14:textId="77777777" w:rsidR="00F1343E" w:rsidRPr="00DA6EDE" w:rsidRDefault="00F1343E" w:rsidP="00287ED9">
            <w:pPr>
              <w:rPr>
                <w:sz w:val="19"/>
                <w:szCs w:val="19"/>
              </w:rPr>
            </w:pPr>
          </w:p>
        </w:tc>
        <w:tc>
          <w:tcPr>
            <w:tcW w:w="236"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tcPr>
          <w:p w14:paraId="25CABDC9" w14:textId="77777777" w:rsidR="00F1343E" w:rsidRPr="00DA6EDE" w:rsidRDefault="00F1343E" w:rsidP="00287ED9">
            <w:pPr>
              <w:rPr>
                <w:sz w:val="19"/>
                <w:szCs w:val="19"/>
              </w:rPr>
            </w:pPr>
          </w:p>
        </w:tc>
        <w:tc>
          <w:tcPr>
            <w:tcW w:w="46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EE9872"/>
          </w:tcPr>
          <w:p w14:paraId="6DDF99D7" w14:textId="77777777" w:rsidR="00F1343E" w:rsidRPr="00DA6EDE" w:rsidRDefault="00F1343E" w:rsidP="00287ED9">
            <w:pPr>
              <w:rPr>
                <w:sz w:val="19"/>
                <w:szCs w:val="19"/>
              </w:rPr>
            </w:pPr>
          </w:p>
        </w:tc>
        <w:tc>
          <w:tcPr>
            <w:tcW w:w="422"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EE9872"/>
          </w:tcPr>
          <w:p w14:paraId="361DB46F" w14:textId="77777777" w:rsidR="00F1343E" w:rsidRPr="00DA6EDE" w:rsidRDefault="00F1343E" w:rsidP="00287ED9">
            <w:pPr>
              <w:rPr>
                <w:sz w:val="19"/>
                <w:szCs w:val="19"/>
              </w:rPr>
            </w:pPr>
          </w:p>
        </w:tc>
        <w:tc>
          <w:tcPr>
            <w:tcW w:w="409" w:type="dxa"/>
            <w:gridSpan w:val="2"/>
            <w:vMerge/>
            <w:tcBorders>
              <w:left w:val="single" w:sz="12" w:space="0" w:color="FFFFFF" w:themeColor="background1"/>
              <w:right w:val="single" w:sz="12" w:space="0" w:color="FFFFFF" w:themeColor="background1"/>
            </w:tcBorders>
          </w:tcPr>
          <w:p w14:paraId="09709F13" w14:textId="77777777" w:rsidR="00F1343E" w:rsidRPr="00DA6EDE" w:rsidRDefault="00F1343E" w:rsidP="00287ED9">
            <w:pPr>
              <w:rPr>
                <w:sz w:val="19"/>
                <w:szCs w:val="19"/>
              </w:rPr>
            </w:pPr>
          </w:p>
        </w:tc>
        <w:tc>
          <w:tcPr>
            <w:tcW w:w="461" w:type="dxa"/>
            <w:gridSpan w:val="2"/>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EE9872"/>
          </w:tcPr>
          <w:p w14:paraId="40935CB7" w14:textId="77777777" w:rsidR="00F1343E" w:rsidRPr="00DA6EDE" w:rsidRDefault="00F1343E" w:rsidP="00287ED9">
            <w:pPr>
              <w:rPr>
                <w:sz w:val="19"/>
                <w:szCs w:val="19"/>
              </w:rPr>
            </w:pPr>
          </w:p>
        </w:tc>
        <w:tc>
          <w:tcPr>
            <w:tcW w:w="41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EE9872"/>
          </w:tcPr>
          <w:p w14:paraId="7058B6E3" w14:textId="77777777" w:rsidR="00F1343E" w:rsidRPr="00DA6EDE" w:rsidRDefault="00F1343E" w:rsidP="00287ED9">
            <w:pPr>
              <w:rPr>
                <w:sz w:val="19"/>
                <w:szCs w:val="19"/>
              </w:rPr>
            </w:pPr>
          </w:p>
        </w:tc>
        <w:tc>
          <w:tcPr>
            <w:tcW w:w="236"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tcPr>
          <w:p w14:paraId="166D1D93" w14:textId="77777777" w:rsidR="00F1343E" w:rsidRPr="00DA6EDE" w:rsidRDefault="00F1343E" w:rsidP="00287ED9">
            <w:pPr>
              <w:rPr>
                <w:sz w:val="19"/>
                <w:szCs w:val="19"/>
              </w:rPr>
            </w:pPr>
          </w:p>
        </w:tc>
        <w:tc>
          <w:tcPr>
            <w:tcW w:w="469"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EE9872"/>
          </w:tcPr>
          <w:p w14:paraId="731454A9" w14:textId="77777777" w:rsidR="00F1343E" w:rsidRPr="00DA6EDE" w:rsidRDefault="00F1343E" w:rsidP="00287ED9">
            <w:pPr>
              <w:rPr>
                <w:sz w:val="19"/>
                <w:szCs w:val="19"/>
              </w:rPr>
            </w:pPr>
          </w:p>
        </w:tc>
        <w:tc>
          <w:tcPr>
            <w:tcW w:w="41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EE9872"/>
          </w:tcPr>
          <w:p w14:paraId="6E00C370" w14:textId="77777777" w:rsidR="00F1343E" w:rsidRPr="00DA6EDE" w:rsidRDefault="00F1343E" w:rsidP="00287ED9">
            <w:pPr>
              <w:rPr>
                <w:sz w:val="19"/>
                <w:szCs w:val="19"/>
              </w:rPr>
            </w:pPr>
          </w:p>
        </w:tc>
        <w:tc>
          <w:tcPr>
            <w:tcW w:w="236"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tcPr>
          <w:p w14:paraId="2E569D32" w14:textId="77777777" w:rsidR="00F1343E" w:rsidRPr="00DA6EDE" w:rsidRDefault="00F1343E" w:rsidP="00287ED9">
            <w:pPr>
              <w:rPr>
                <w:sz w:val="19"/>
                <w:szCs w:val="19"/>
              </w:rPr>
            </w:pPr>
          </w:p>
        </w:tc>
        <w:tc>
          <w:tcPr>
            <w:tcW w:w="469"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EE9872"/>
          </w:tcPr>
          <w:p w14:paraId="4BD9443B" w14:textId="77777777" w:rsidR="00F1343E" w:rsidRPr="00DA6EDE" w:rsidRDefault="00F1343E" w:rsidP="00287ED9">
            <w:pPr>
              <w:rPr>
                <w:sz w:val="19"/>
                <w:szCs w:val="19"/>
              </w:rPr>
            </w:pPr>
          </w:p>
        </w:tc>
        <w:tc>
          <w:tcPr>
            <w:tcW w:w="42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EE9872"/>
          </w:tcPr>
          <w:p w14:paraId="691B66B2" w14:textId="77777777" w:rsidR="00F1343E" w:rsidRPr="00DA6EDE" w:rsidRDefault="00F1343E" w:rsidP="00287ED9">
            <w:pPr>
              <w:rPr>
                <w:sz w:val="19"/>
                <w:szCs w:val="19"/>
              </w:rPr>
            </w:pPr>
          </w:p>
        </w:tc>
        <w:tc>
          <w:tcPr>
            <w:tcW w:w="422" w:type="dxa"/>
            <w:gridSpan w:val="2"/>
            <w:vMerge/>
            <w:tcBorders>
              <w:left w:val="single" w:sz="12" w:space="0" w:color="FFFFFF" w:themeColor="background1"/>
              <w:right w:val="single" w:sz="12" w:space="0" w:color="FFFFFF" w:themeColor="background1"/>
            </w:tcBorders>
          </w:tcPr>
          <w:p w14:paraId="328F9AC2" w14:textId="77777777" w:rsidR="00F1343E" w:rsidRPr="00DA6EDE" w:rsidRDefault="00F1343E" w:rsidP="00287ED9">
            <w:pPr>
              <w:rPr>
                <w:sz w:val="19"/>
                <w:szCs w:val="19"/>
              </w:rPr>
            </w:pPr>
          </w:p>
        </w:tc>
        <w:tc>
          <w:tcPr>
            <w:tcW w:w="466" w:type="dxa"/>
            <w:gridSpan w:val="3"/>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4A30D9D2" w14:textId="77777777" w:rsidR="00F1343E" w:rsidRPr="00DA6EDE" w:rsidRDefault="00F1343E" w:rsidP="00287ED9">
            <w:pPr>
              <w:rPr>
                <w:sz w:val="19"/>
                <w:szCs w:val="19"/>
              </w:rPr>
            </w:pPr>
          </w:p>
        </w:tc>
        <w:tc>
          <w:tcPr>
            <w:tcW w:w="41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4F2122DB" w14:textId="77777777" w:rsidR="00F1343E" w:rsidRPr="00DA6EDE" w:rsidRDefault="00F1343E" w:rsidP="00287ED9">
            <w:pPr>
              <w:rPr>
                <w:sz w:val="19"/>
                <w:szCs w:val="19"/>
              </w:rPr>
            </w:pPr>
          </w:p>
        </w:tc>
        <w:tc>
          <w:tcPr>
            <w:tcW w:w="236"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tcPr>
          <w:p w14:paraId="45431608" w14:textId="77777777" w:rsidR="00F1343E" w:rsidRPr="00DA6EDE" w:rsidRDefault="00F1343E" w:rsidP="00287ED9">
            <w:pPr>
              <w:rPr>
                <w:sz w:val="19"/>
                <w:szCs w:val="19"/>
              </w:rPr>
            </w:pPr>
          </w:p>
        </w:tc>
        <w:tc>
          <w:tcPr>
            <w:tcW w:w="456"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EE9872"/>
          </w:tcPr>
          <w:p w14:paraId="39B10F04" w14:textId="77777777" w:rsidR="00F1343E" w:rsidRPr="00DA6EDE" w:rsidRDefault="00F1343E" w:rsidP="00287ED9">
            <w:pPr>
              <w:rPr>
                <w:sz w:val="19"/>
                <w:szCs w:val="19"/>
              </w:rPr>
            </w:pPr>
          </w:p>
        </w:tc>
        <w:tc>
          <w:tcPr>
            <w:tcW w:w="407" w:type="dxa"/>
            <w:gridSpan w:val="2"/>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EE9872"/>
          </w:tcPr>
          <w:p w14:paraId="5899EBB0" w14:textId="77777777" w:rsidR="00F1343E" w:rsidRPr="00DA6EDE" w:rsidRDefault="00F1343E" w:rsidP="00287ED9">
            <w:pPr>
              <w:rPr>
                <w:sz w:val="19"/>
                <w:szCs w:val="19"/>
              </w:rPr>
            </w:pPr>
          </w:p>
        </w:tc>
      </w:tr>
      <w:tr w:rsidR="00F1343E" w:rsidRPr="00DA6EDE" w14:paraId="097AB717" w14:textId="77777777" w:rsidTr="00F1343E">
        <w:trPr>
          <w:gridAfter w:val="1"/>
          <w:wAfter w:w="12" w:type="dxa"/>
          <w:trHeight w:val="231"/>
        </w:trPr>
        <w:tc>
          <w:tcPr>
            <w:tcW w:w="471"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F47706"/>
          </w:tcPr>
          <w:p w14:paraId="527284E3" w14:textId="77777777" w:rsidR="00F1343E" w:rsidRPr="00DA6EDE" w:rsidRDefault="00F1343E" w:rsidP="00287ED9">
            <w:pPr>
              <w:rPr>
                <w:sz w:val="19"/>
                <w:szCs w:val="19"/>
              </w:rPr>
            </w:pPr>
          </w:p>
        </w:tc>
        <w:tc>
          <w:tcPr>
            <w:tcW w:w="419"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F47706"/>
          </w:tcPr>
          <w:p w14:paraId="0E60E1AB" w14:textId="77777777" w:rsidR="00F1343E" w:rsidRPr="00DA6EDE" w:rsidRDefault="00F1343E" w:rsidP="00287ED9">
            <w:pPr>
              <w:rPr>
                <w:sz w:val="19"/>
                <w:szCs w:val="19"/>
              </w:rPr>
            </w:pPr>
          </w:p>
        </w:tc>
        <w:tc>
          <w:tcPr>
            <w:tcW w:w="237"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tcPr>
          <w:p w14:paraId="35BE117F" w14:textId="77777777" w:rsidR="00F1343E" w:rsidRPr="00DA6EDE" w:rsidRDefault="00F1343E" w:rsidP="00287ED9">
            <w:pPr>
              <w:rPr>
                <w:sz w:val="19"/>
                <w:szCs w:val="19"/>
              </w:rPr>
            </w:pPr>
          </w:p>
        </w:tc>
        <w:tc>
          <w:tcPr>
            <w:tcW w:w="469"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F47706"/>
          </w:tcPr>
          <w:p w14:paraId="57B20DB3" w14:textId="77777777" w:rsidR="00F1343E" w:rsidRPr="00DA6EDE" w:rsidRDefault="00F1343E" w:rsidP="00287ED9">
            <w:pPr>
              <w:rPr>
                <w:sz w:val="19"/>
                <w:szCs w:val="19"/>
              </w:rPr>
            </w:pPr>
          </w:p>
        </w:tc>
        <w:tc>
          <w:tcPr>
            <w:tcW w:w="41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F47706"/>
          </w:tcPr>
          <w:p w14:paraId="64C480B0" w14:textId="77777777" w:rsidR="00F1343E" w:rsidRPr="00DA6EDE" w:rsidRDefault="00F1343E" w:rsidP="00287ED9">
            <w:pPr>
              <w:rPr>
                <w:sz w:val="19"/>
                <w:szCs w:val="19"/>
              </w:rPr>
            </w:pPr>
          </w:p>
        </w:tc>
        <w:tc>
          <w:tcPr>
            <w:tcW w:w="236"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tcPr>
          <w:p w14:paraId="6189D905" w14:textId="77777777" w:rsidR="00F1343E" w:rsidRPr="00DA6EDE" w:rsidRDefault="00F1343E" w:rsidP="00287ED9">
            <w:pPr>
              <w:rPr>
                <w:sz w:val="19"/>
                <w:szCs w:val="19"/>
              </w:rPr>
            </w:pPr>
          </w:p>
        </w:tc>
        <w:tc>
          <w:tcPr>
            <w:tcW w:w="46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F47706"/>
          </w:tcPr>
          <w:p w14:paraId="0057830A" w14:textId="77777777" w:rsidR="00F1343E" w:rsidRPr="00DA6EDE" w:rsidRDefault="00F1343E" w:rsidP="00287ED9">
            <w:pPr>
              <w:rPr>
                <w:sz w:val="19"/>
                <w:szCs w:val="19"/>
              </w:rPr>
            </w:pPr>
          </w:p>
        </w:tc>
        <w:tc>
          <w:tcPr>
            <w:tcW w:w="422"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F47706"/>
          </w:tcPr>
          <w:p w14:paraId="384AD187" w14:textId="77777777" w:rsidR="00F1343E" w:rsidRPr="00DA6EDE" w:rsidRDefault="00F1343E" w:rsidP="00287ED9">
            <w:pPr>
              <w:rPr>
                <w:sz w:val="19"/>
                <w:szCs w:val="19"/>
              </w:rPr>
            </w:pPr>
          </w:p>
        </w:tc>
        <w:tc>
          <w:tcPr>
            <w:tcW w:w="409" w:type="dxa"/>
            <w:gridSpan w:val="2"/>
            <w:vMerge/>
            <w:tcBorders>
              <w:left w:val="single" w:sz="12" w:space="0" w:color="FFFFFF" w:themeColor="background1"/>
              <w:right w:val="single" w:sz="12" w:space="0" w:color="FFFFFF" w:themeColor="background1"/>
            </w:tcBorders>
          </w:tcPr>
          <w:p w14:paraId="3BE2EA6C" w14:textId="77777777" w:rsidR="00F1343E" w:rsidRPr="00DA6EDE" w:rsidRDefault="00F1343E" w:rsidP="00287ED9">
            <w:pPr>
              <w:rPr>
                <w:sz w:val="19"/>
                <w:szCs w:val="19"/>
              </w:rPr>
            </w:pPr>
          </w:p>
        </w:tc>
        <w:tc>
          <w:tcPr>
            <w:tcW w:w="461" w:type="dxa"/>
            <w:gridSpan w:val="2"/>
            <w:tcBorders>
              <w:left w:val="single" w:sz="12" w:space="0" w:color="FFFFFF" w:themeColor="background1"/>
              <w:bottom w:val="single" w:sz="12" w:space="0" w:color="FFFFFF" w:themeColor="background1"/>
              <w:right w:val="single" w:sz="12" w:space="0" w:color="FFFFFF" w:themeColor="background1"/>
            </w:tcBorders>
            <w:shd w:val="clear" w:color="auto" w:fill="F47706"/>
          </w:tcPr>
          <w:p w14:paraId="0B47F965" w14:textId="77777777" w:rsidR="00F1343E" w:rsidRPr="00DA6EDE" w:rsidRDefault="00F1343E" w:rsidP="00287ED9">
            <w:pPr>
              <w:rPr>
                <w:sz w:val="19"/>
                <w:szCs w:val="19"/>
              </w:rPr>
            </w:pPr>
          </w:p>
        </w:tc>
        <w:tc>
          <w:tcPr>
            <w:tcW w:w="418" w:type="dxa"/>
            <w:tcBorders>
              <w:left w:val="single" w:sz="12" w:space="0" w:color="FFFFFF" w:themeColor="background1"/>
              <w:bottom w:val="single" w:sz="12" w:space="0" w:color="FFFFFF" w:themeColor="background1"/>
              <w:right w:val="single" w:sz="12" w:space="0" w:color="FFFFFF" w:themeColor="background1"/>
            </w:tcBorders>
            <w:shd w:val="clear" w:color="auto" w:fill="F47706"/>
          </w:tcPr>
          <w:p w14:paraId="63374818" w14:textId="77777777" w:rsidR="00F1343E" w:rsidRPr="00DA6EDE" w:rsidRDefault="00F1343E" w:rsidP="00287ED9">
            <w:pPr>
              <w:rPr>
                <w:sz w:val="19"/>
                <w:szCs w:val="19"/>
              </w:rPr>
            </w:pPr>
          </w:p>
        </w:tc>
        <w:tc>
          <w:tcPr>
            <w:tcW w:w="236" w:type="dxa"/>
            <w:tcBorders>
              <w:left w:val="single" w:sz="12" w:space="0" w:color="FFFFFF" w:themeColor="background1"/>
              <w:bottom w:val="single" w:sz="12" w:space="0" w:color="FFFFFF" w:themeColor="background1"/>
              <w:right w:val="single" w:sz="12" w:space="0" w:color="FFFFFF" w:themeColor="background1"/>
            </w:tcBorders>
          </w:tcPr>
          <w:p w14:paraId="5AD5A798" w14:textId="77777777" w:rsidR="00F1343E" w:rsidRPr="00DA6EDE" w:rsidRDefault="00F1343E" w:rsidP="00287ED9">
            <w:pPr>
              <w:rPr>
                <w:sz w:val="19"/>
                <w:szCs w:val="19"/>
              </w:rPr>
            </w:pPr>
          </w:p>
        </w:tc>
        <w:tc>
          <w:tcPr>
            <w:tcW w:w="469" w:type="dxa"/>
            <w:tcBorders>
              <w:left w:val="single" w:sz="12" w:space="0" w:color="FFFFFF" w:themeColor="background1"/>
              <w:bottom w:val="single" w:sz="12" w:space="0" w:color="FFFFFF" w:themeColor="background1"/>
              <w:right w:val="single" w:sz="12" w:space="0" w:color="FFFFFF" w:themeColor="background1"/>
            </w:tcBorders>
            <w:shd w:val="clear" w:color="auto" w:fill="F47706"/>
          </w:tcPr>
          <w:p w14:paraId="518B5B1E" w14:textId="77777777" w:rsidR="00F1343E" w:rsidRPr="00DA6EDE" w:rsidRDefault="00F1343E" w:rsidP="00287ED9">
            <w:pPr>
              <w:rPr>
                <w:sz w:val="19"/>
                <w:szCs w:val="19"/>
              </w:rPr>
            </w:pPr>
          </w:p>
        </w:tc>
        <w:tc>
          <w:tcPr>
            <w:tcW w:w="418" w:type="dxa"/>
            <w:tcBorders>
              <w:left w:val="single" w:sz="12" w:space="0" w:color="FFFFFF" w:themeColor="background1"/>
              <w:bottom w:val="single" w:sz="12" w:space="0" w:color="FFFFFF" w:themeColor="background1"/>
              <w:right w:val="single" w:sz="12" w:space="0" w:color="FFFFFF" w:themeColor="background1"/>
            </w:tcBorders>
            <w:shd w:val="clear" w:color="auto" w:fill="F47706"/>
          </w:tcPr>
          <w:p w14:paraId="6A337320" w14:textId="77777777" w:rsidR="00F1343E" w:rsidRPr="00DA6EDE" w:rsidRDefault="00F1343E" w:rsidP="00287ED9">
            <w:pPr>
              <w:rPr>
                <w:sz w:val="19"/>
                <w:szCs w:val="19"/>
              </w:rPr>
            </w:pPr>
          </w:p>
        </w:tc>
        <w:tc>
          <w:tcPr>
            <w:tcW w:w="236" w:type="dxa"/>
            <w:tcBorders>
              <w:left w:val="single" w:sz="12" w:space="0" w:color="FFFFFF" w:themeColor="background1"/>
              <w:bottom w:val="single" w:sz="12" w:space="0" w:color="FFFFFF" w:themeColor="background1"/>
              <w:right w:val="single" w:sz="12" w:space="0" w:color="FFFFFF" w:themeColor="background1"/>
            </w:tcBorders>
          </w:tcPr>
          <w:p w14:paraId="52D47BAC" w14:textId="77777777" w:rsidR="00F1343E" w:rsidRPr="00DA6EDE" w:rsidRDefault="00F1343E" w:rsidP="00287ED9">
            <w:pPr>
              <w:rPr>
                <w:sz w:val="19"/>
                <w:szCs w:val="19"/>
              </w:rPr>
            </w:pPr>
          </w:p>
        </w:tc>
        <w:tc>
          <w:tcPr>
            <w:tcW w:w="469" w:type="dxa"/>
            <w:tcBorders>
              <w:left w:val="single" w:sz="12" w:space="0" w:color="FFFFFF" w:themeColor="background1"/>
              <w:bottom w:val="single" w:sz="12" w:space="0" w:color="FFFFFF" w:themeColor="background1"/>
              <w:right w:val="single" w:sz="12" w:space="0" w:color="FFFFFF" w:themeColor="background1"/>
            </w:tcBorders>
            <w:shd w:val="clear" w:color="auto" w:fill="F47706"/>
          </w:tcPr>
          <w:p w14:paraId="3C9968A6" w14:textId="77777777" w:rsidR="00F1343E" w:rsidRPr="00DA6EDE" w:rsidRDefault="00F1343E" w:rsidP="00287ED9">
            <w:pPr>
              <w:rPr>
                <w:sz w:val="19"/>
                <w:szCs w:val="19"/>
              </w:rPr>
            </w:pPr>
          </w:p>
        </w:tc>
        <w:tc>
          <w:tcPr>
            <w:tcW w:w="420" w:type="dxa"/>
            <w:tcBorders>
              <w:left w:val="single" w:sz="12" w:space="0" w:color="FFFFFF" w:themeColor="background1"/>
              <w:bottom w:val="single" w:sz="12" w:space="0" w:color="FFFFFF" w:themeColor="background1"/>
              <w:right w:val="single" w:sz="12" w:space="0" w:color="FFFFFF" w:themeColor="background1"/>
            </w:tcBorders>
            <w:shd w:val="clear" w:color="auto" w:fill="F47706"/>
          </w:tcPr>
          <w:p w14:paraId="6450891C" w14:textId="77777777" w:rsidR="00F1343E" w:rsidRPr="00DA6EDE" w:rsidRDefault="00F1343E" w:rsidP="00287ED9">
            <w:pPr>
              <w:rPr>
                <w:sz w:val="19"/>
                <w:szCs w:val="19"/>
              </w:rPr>
            </w:pPr>
          </w:p>
        </w:tc>
        <w:tc>
          <w:tcPr>
            <w:tcW w:w="422" w:type="dxa"/>
            <w:gridSpan w:val="2"/>
            <w:vMerge/>
            <w:tcBorders>
              <w:left w:val="single" w:sz="12" w:space="0" w:color="FFFFFF" w:themeColor="background1"/>
              <w:right w:val="single" w:sz="12" w:space="0" w:color="FFFFFF" w:themeColor="background1"/>
            </w:tcBorders>
          </w:tcPr>
          <w:p w14:paraId="6B4F84C1" w14:textId="77777777" w:rsidR="00F1343E" w:rsidRPr="00DA6EDE" w:rsidRDefault="00F1343E" w:rsidP="00287ED9">
            <w:pPr>
              <w:rPr>
                <w:sz w:val="19"/>
                <w:szCs w:val="19"/>
              </w:rPr>
            </w:pPr>
          </w:p>
        </w:tc>
        <w:tc>
          <w:tcPr>
            <w:tcW w:w="466" w:type="dxa"/>
            <w:gridSpan w:val="3"/>
            <w:tcBorders>
              <w:left w:val="single" w:sz="12" w:space="0" w:color="FFFFFF" w:themeColor="background1"/>
              <w:bottom w:val="single" w:sz="12" w:space="0" w:color="FFFFFF" w:themeColor="background1"/>
              <w:right w:val="single" w:sz="12" w:space="0" w:color="FFFFFF" w:themeColor="background1"/>
            </w:tcBorders>
            <w:shd w:val="clear" w:color="auto" w:fill="F47706"/>
          </w:tcPr>
          <w:p w14:paraId="64A4D12E" w14:textId="77777777" w:rsidR="00F1343E" w:rsidRPr="00DA6EDE" w:rsidRDefault="00F1343E" w:rsidP="00287ED9">
            <w:pPr>
              <w:rPr>
                <w:sz w:val="19"/>
                <w:szCs w:val="19"/>
              </w:rPr>
            </w:pPr>
          </w:p>
        </w:tc>
        <w:tc>
          <w:tcPr>
            <w:tcW w:w="418" w:type="dxa"/>
            <w:tcBorders>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21F9BAD6" w14:textId="77777777" w:rsidR="00F1343E" w:rsidRPr="00DA6EDE" w:rsidRDefault="00F1343E" w:rsidP="00287ED9">
            <w:pPr>
              <w:rPr>
                <w:sz w:val="19"/>
                <w:szCs w:val="19"/>
              </w:rPr>
            </w:pPr>
          </w:p>
        </w:tc>
        <w:tc>
          <w:tcPr>
            <w:tcW w:w="236" w:type="dxa"/>
            <w:tcBorders>
              <w:left w:val="single" w:sz="12" w:space="0" w:color="FFFFFF" w:themeColor="background1"/>
              <w:bottom w:val="single" w:sz="12" w:space="0" w:color="FFFFFF" w:themeColor="background1"/>
              <w:right w:val="single" w:sz="12" w:space="0" w:color="FFFFFF" w:themeColor="background1"/>
            </w:tcBorders>
          </w:tcPr>
          <w:p w14:paraId="04817784" w14:textId="77777777" w:rsidR="00F1343E" w:rsidRPr="00DA6EDE" w:rsidRDefault="00F1343E" w:rsidP="00287ED9">
            <w:pPr>
              <w:rPr>
                <w:sz w:val="19"/>
                <w:szCs w:val="19"/>
              </w:rPr>
            </w:pPr>
          </w:p>
        </w:tc>
        <w:tc>
          <w:tcPr>
            <w:tcW w:w="456" w:type="dxa"/>
            <w:tcBorders>
              <w:left w:val="single" w:sz="12" w:space="0" w:color="FFFFFF" w:themeColor="background1"/>
              <w:bottom w:val="single" w:sz="12" w:space="0" w:color="FFFFFF" w:themeColor="background1"/>
              <w:right w:val="single" w:sz="12" w:space="0" w:color="FFFFFF" w:themeColor="background1"/>
            </w:tcBorders>
            <w:shd w:val="clear" w:color="auto" w:fill="E97132" w:themeFill="accent2"/>
          </w:tcPr>
          <w:p w14:paraId="75D2B946" w14:textId="77777777" w:rsidR="00F1343E" w:rsidRPr="00DA6EDE" w:rsidRDefault="00F1343E" w:rsidP="00287ED9">
            <w:pPr>
              <w:rPr>
                <w:sz w:val="19"/>
                <w:szCs w:val="19"/>
              </w:rPr>
            </w:pPr>
          </w:p>
        </w:tc>
        <w:tc>
          <w:tcPr>
            <w:tcW w:w="407" w:type="dxa"/>
            <w:gridSpan w:val="2"/>
            <w:tcBorders>
              <w:left w:val="single" w:sz="12" w:space="0" w:color="FFFFFF" w:themeColor="background1"/>
              <w:bottom w:val="single" w:sz="12" w:space="0" w:color="FFFFFF" w:themeColor="background1"/>
              <w:right w:val="single" w:sz="12" w:space="0" w:color="FFFFFF" w:themeColor="background1"/>
            </w:tcBorders>
            <w:shd w:val="clear" w:color="auto" w:fill="E97132" w:themeFill="accent2"/>
          </w:tcPr>
          <w:p w14:paraId="301AA6B8" w14:textId="77777777" w:rsidR="00F1343E" w:rsidRPr="00DA6EDE" w:rsidRDefault="00F1343E" w:rsidP="00287ED9">
            <w:pPr>
              <w:rPr>
                <w:sz w:val="19"/>
                <w:szCs w:val="19"/>
              </w:rPr>
            </w:pPr>
          </w:p>
        </w:tc>
      </w:tr>
      <w:tr w:rsidR="00F1343E" w:rsidRPr="00DA6EDE" w14:paraId="5B95A4C5" w14:textId="77777777" w:rsidTr="00F1343E">
        <w:trPr>
          <w:gridAfter w:val="1"/>
          <w:wAfter w:w="12" w:type="dxa"/>
          <w:trHeight w:val="221"/>
        </w:trPr>
        <w:tc>
          <w:tcPr>
            <w:tcW w:w="471"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FF0000"/>
          </w:tcPr>
          <w:p w14:paraId="43CEA374" w14:textId="77777777" w:rsidR="00F1343E" w:rsidRPr="00DA6EDE" w:rsidRDefault="00F1343E" w:rsidP="00287ED9">
            <w:pPr>
              <w:rPr>
                <w:sz w:val="19"/>
                <w:szCs w:val="19"/>
              </w:rPr>
            </w:pPr>
          </w:p>
        </w:tc>
        <w:tc>
          <w:tcPr>
            <w:tcW w:w="419"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FF0000"/>
          </w:tcPr>
          <w:p w14:paraId="69617886" w14:textId="77777777" w:rsidR="00F1343E" w:rsidRPr="00DA6EDE" w:rsidRDefault="00F1343E" w:rsidP="00287ED9">
            <w:pPr>
              <w:rPr>
                <w:sz w:val="19"/>
                <w:szCs w:val="19"/>
              </w:rPr>
            </w:pPr>
          </w:p>
        </w:tc>
        <w:tc>
          <w:tcPr>
            <w:tcW w:w="237"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tcPr>
          <w:p w14:paraId="5B598F49" w14:textId="77777777" w:rsidR="00F1343E" w:rsidRPr="00DA6EDE" w:rsidRDefault="00F1343E" w:rsidP="00287ED9">
            <w:pPr>
              <w:rPr>
                <w:sz w:val="19"/>
                <w:szCs w:val="19"/>
              </w:rPr>
            </w:pPr>
          </w:p>
        </w:tc>
        <w:tc>
          <w:tcPr>
            <w:tcW w:w="469"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FF0000"/>
          </w:tcPr>
          <w:p w14:paraId="15DABEDC" w14:textId="77777777" w:rsidR="00F1343E" w:rsidRPr="00DA6EDE" w:rsidRDefault="00F1343E" w:rsidP="00287ED9">
            <w:pPr>
              <w:rPr>
                <w:sz w:val="19"/>
                <w:szCs w:val="19"/>
              </w:rPr>
            </w:pPr>
          </w:p>
        </w:tc>
        <w:tc>
          <w:tcPr>
            <w:tcW w:w="41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FF0000"/>
          </w:tcPr>
          <w:p w14:paraId="03D8C183" w14:textId="77777777" w:rsidR="00F1343E" w:rsidRPr="00DA6EDE" w:rsidRDefault="00F1343E" w:rsidP="00287ED9">
            <w:pPr>
              <w:rPr>
                <w:sz w:val="19"/>
                <w:szCs w:val="19"/>
              </w:rPr>
            </w:pPr>
          </w:p>
        </w:tc>
        <w:tc>
          <w:tcPr>
            <w:tcW w:w="236"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tcPr>
          <w:p w14:paraId="2D846BEC" w14:textId="77777777" w:rsidR="00F1343E" w:rsidRPr="00DA6EDE" w:rsidRDefault="00F1343E" w:rsidP="00287ED9">
            <w:pPr>
              <w:rPr>
                <w:sz w:val="19"/>
                <w:szCs w:val="19"/>
              </w:rPr>
            </w:pPr>
          </w:p>
        </w:tc>
        <w:tc>
          <w:tcPr>
            <w:tcW w:w="46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FF0000"/>
          </w:tcPr>
          <w:p w14:paraId="4C2D1274" w14:textId="77777777" w:rsidR="00F1343E" w:rsidRPr="00DA6EDE" w:rsidRDefault="00F1343E" w:rsidP="00287ED9">
            <w:pPr>
              <w:rPr>
                <w:sz w:val="19"/>
                <w:szCs w:val="19"/>
              </w:rPr>
            </w:pPr>
          </w:p>
        </w:tc>
        <w:tc>
          <w:tcPr>
            <w:tcW w:w="422"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FF0000"/>
          </w:tcPr>
          <w:p w14:paraId="7829BE2F" w14:textId="77777777" w:rsidR="00F1343E" w:rsidRPr="00DA6EDE" w:rsidRDefault="00F1343E" w:rsidP="00287ED9">
            <w:pPr>
              <w:rPr>
                <w:sz w:val="19"/>
                <w:szCs w:val="19"/>
              </w:rPr>
            </w:pPr>
          </w:p>
        </w:tc>
        <w:tc>
          <w:tcPr>
            <w:tcW w:w="409" w:type="dxa"/>
            <w:gridSpan w:val="2"/>
            <w:vMerge/>
            <w:tcBorders>
              <w:left w:val="single" w:sz="12" w:space="0" w:color="FFFFFF" w:themeColor="background1"/>
              <w:right w:val="single" w:sz="12" w:space="0" w:color="FFFFFF" w:themeColor="background1"/>
            </w:tcBorders>
          </w:tcPr>
          <w:p w14:paraId="56754978" w14:textId="77777777" w:rsidR="00F1343E" w:rsidRPr="00DA6EDE" w:rsidRDefault="00F1343E" w:rsidP="00287ED9">
            <w:pPr>
              <w:rPr>
                <w:sz w:val="19"/>
                <w:szCs w:val="19"/>
              </w:rPr>
            </w:pPr>
          </w:p>
        </w:tc>
        <w:tc>
          <w:tcPr>
            <w:tcW w:w="461" w:type="dxa"/>
            <w:gridSpan w:val="2"/>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FF0000"/>
          </w:tcPr>
          <w:p w14:paraId="6C905C3B" w14:textId="77777777" w:rsidR="00F1343E" w:rsidRPr="00DA6EDE" w:rsidRDefault="00F1343E" w:rsidP="00287ED9">
            <w:pPr>
              <w:rPr>
                <w:sz w:val="19"/>
                <w:szCs w:val="19"/>
              </w:rPr>
            </w:pPr>
          </w:p>
        </w:tc>
        <w:tc>
          <w:tcPr>
            <w:tcW w:w="41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FF0000"/>
          </w:tcPr>
          <w:p w14:paraId="792F22E4" w14:textId="77777777" w:rsidR="00F1343E" w:rsidRPr="00DA6EDE" w:rsidRDefault="00F1343E" w:rsidP="00287ED9">
            <w:pPr>
              <w:rPr>
                <w:sz w:val="19"/>
                <w:szCs w:val="19"/>
              </w:rPr>
            </w:pPr>
          </w:p>
        </w:tc>
        <w:tc>
          <w:tcPr>
            <w:tcW w:w="236"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tcPr>
          <w:p w14:paraId="205A6E8E" w14:textId="77777777" w:rsidR="00F1343E" w:rsidRPr="00DA6EDE" w:rsidRDefault="00F1343E" w:rsidP="00287ED9">
            <w:pPr>
              <w:rPr>
                <w:sz w:val="19"/>
                <w:szCs w:val="19"/>
              </w:rPr>
            </w:pPr>
          </w:p>
        </w:tc>
        <w:tc>
          <w:tcPr>
            <w:tcW w:w="469"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FF0000"/>
          </w:tcPr>
          <w:p w14:paraId="484FFC73" w14:textId="77777777" w:rsidR="00F1343E" w:rsidRPr="00DA6EDE" w:rsidRDefault="00F1343E" w:rsidP="00287ED9">
            <w:pPr>
              <w:rPr>
                <w:sz w:val="19"/>
                <w:szCs w:val="19"/>
              </w:rPr>
            </w:pPr>
          </w:p>
        </w:tc>
        <w:tc>
          <w:tcPr>
            <w:tcW w:w="41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FF0000"/>
          </w:tcPr>
          <w:p w14:paraId="3F94B0D4" w14:textId="77777777" w:rsidR="00F1343E" w:rsidRPr="00DA6EDE" w:rsidRDefault="00F1343E" w:rsidP="00287ED9">
            <w:pPr>
              <w:rPr>
                <w:sz w:val="19"/>
                <w:szCs w:val="19"/>
              </w:rPr>
            </w:pPr>
          </w:p>
        </w:tc>
        <w:tc>
          <w:tcPr>
            <w:tcW w:w="236"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tcPr>
          <w:p w14:paraId="465081D1" w14:textId="77777777" w:rsidR="00F1343E" w:rsidRPr="00DA6EDE" w:rsidRDefault="00F1343E" w:rsidP="00287ED9">
            <w:pPr>
              <w:rPr>
                <w:sz w:val="19"/>
                <w:szCs w:val="19"/>
              </w:rPr>
            </w:pPr>
          </w:p>
        </w:tc>
        <w:tc>
          <w:tcPr>
            <w:tcW w:w="469"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FF0000"/>
          </w:tcPr>
          <w:p w14:paraId="19910FBC" w14:textId="77777777" w:rsidR="00F1343E" w:rsidRPr="00DA6EDE" w:rsidRDefault="00F1343E" w:rsidP="00287ED9">
            <w:pPr>
              <w:rPr>
                <w:sz w:val="19"/>
                <w:szCs w:val="19"/>
              </w:rPr>
            </w:pPr>
          </w:p>
        </w:tc>
        <w:tc>
          <w:tcPr>
            <w:tcW w:w="42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FF0000"/>
          </w:tcPr>
          <w:p w14:paraId="6D156CD8" w14:textId="77777777" w:rsidR="00F1343E" w:rsidRPr="00DA6EDE" w:rsidRDefault="00F1343E" w:rsidP="00287ED9">
            <w:pPr>
              <w:rPr>
                <w:sz w:val="19"/>
                <w:szCs w:val="19"/>
              </w:rPr>
            </w:pPr>
          </w:p>
        </w:tc>
        <w:tc>
          <w:tcPr>
            <w:tcW w:w="422" w:type="dxa"/>
            <w:gridSpan w:val="2"/>
            <w:vMerge/>
            <w:tcBorders>
              <w:left w:val="single" w:sz="12" w:space="0" w:color="FFFFFF" w:themeColor="background1"/>
              <w:right w:val="single" w:sz="12" w:space="0" w:color="FFFFFF" w:themeColor="background1"/>
            </w:tcBorders>
          </w:tcPr>
          <w:p w14:paraId="4120AA70" w14:textId="77777777" w:rsidR="00F1343E" w:rsidRPr="00DA6EDE" w:rsidRDefault="00F1343E" w:rsidP="00287ED9">
            <w:pPr>
              <w:rPr>
                <w:sz w:val="19"/>
                <w:szCs w:val="19"/>
              </w:rPr>
            </w:pPr>
          </w:p>
        </w:tc>
        <w:tc>
          <w:tcPr>
            <w:tcW w:w="466" w:type="dxa"/>
            <w:gridSpan w:val="3"/>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FF0000"/>
          </w:tcPr>
          <w:p w14:paraId="1D374FC6" w14:textId="77777777" w:rsidR="00F1343E" w:rsidRPr="00DA6EDE" w:rsidRDefault="00F1343E" w:rsidP="00287ED9">
            <w:pPr>
              <w:rPr>
                <w:sz w:val="19"/>
                <w:szCs w:val="19"/>
              </w:rPr>
            </w:pPr>
          </w:p>
        </w:tc>
        <w:tc>
          <w:tcPr>
            <w:tcW w:w="41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FF0000"/>
          </w:tcPr>
          <w:p w14:paraId="6DFC2489" w14:textId="77777777" w:rsidR="00F1343E" w:rsidRPr="00DA6EDE" w:rsidRDefault="00F1343E" w:rsidP="00287ED9">
            <w:pPr>
              <w:rPr>
                <w:sz w:val="19"/>
                <w:szCs w:val="19"/>
              </w:rPr>
            </w:pPr>
          </w:p>
        </w:tc>
        <w:tc>
          <w:tcPr>
            <w:tcW w:w="236"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tcPr>
          <w:p w14:paraId="7D129227" w14:textId="77777777" w:rsidR="00F1343E" w:rsidRPr="00DA6EDE" w:rsidRDefault="00F1343E" w:rsidP="00287ED9">
            <w:pPr>
              <w:rPr>
                <w:sz w:val="19"/>
                <w:szCs w:val="19"/>
              </w:rPr>
            </w:pPr>
          </w:p>
        </w:tc>
        <w:tc>
          <w:tcPr>
            <w:tcW w:w="456"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FF0000"/>
          </w:tcPr>
          <w:p w14:paraId="4C7DE212" w14:textId="77777777" w:rsidR="00F1343E" w:rsidRPr="00DA6EDE" w:rsidRDefault="00F1343E" w:rsidP="00287ED9">
            <w:pPr>
              <w:rPr>
                <w:sz w:val="19"/>
                <w:szCs w:val="19"/>
              </w:rPr>
            </w:pPr>
          </w:p>
        </w:tc>
        <w:tc>
          <w:tcPr>
            <w:tcW w:w="407" w:type="dxa"/>
            <w:gridSpan w:val="2"/>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FF0000"/>
          </w:tcPr>
          <w:p w14:paraId="1456A8C7" w14:textId="77777777" w:rsidR="00F1343E" w:rsidRPr="00DA6EDE" w:rsidRDefault="00F1343E" w:rsidP="00287ED9">
            <w:pPr>
              <w:rPr>
                <w:sz w:val="19"/>
                <w:szCs w:val="19"/>
              </w:rPr>
            </w:pPr>
          </w:p>
        </w:tc>
      </w:tr>
      <w:tr w:rsidR="00F1343E" w:rsidRPr="00DA6EDE" w14:paraId="1AD03DA5" w14:textId="77777777" w:rsidTr="00F1343E">
        <w:trPr>
          <w:gridAfter w:val="1"/>
          <w:wAfter w:w="12" w:type="dxa"/>
          <w:trHeight w:val="231"/>
        </w:trPr>
        <w:tc>
          <w:tcPr>
            <w:tcW w:w="471" w:type="dxa"/>
            <w:tcBorders>
              <w:top w:val="single" w:sz="12" w:space="0" w:color="FFFFFF" w:themeColor="background1"/>
              <w:left w:val="single" w:sz="12" w:space="0" w:color="FFFFFF" w:themeColor="background1"/>
              <w:bottom w:val="single" w:sz="18" w:space="0" w:color="FFFFFF" w:themeColor="background1"/>
              <w:right w:val="single" w:sz="12" w:space="0" w:color="FFFFFF" w:themeColor="background1"/>
            </w:tcBorders>
            <w:shd w:val="clear" w:color="auto" w:fill="BC0C21"/>
          </w:tcPr>
          <w:p w14:paraId="16DF088A" w14:textId="77777777" w:rsidR="00F1343E" w:rsidRPr="00DA6EDE" w:rsidRDefault="00F1343E" w:rsidP="00287ED9">
            <w:pPr>
              <w:rPr>
                <w:sz w:val="19"/>
                <w:szCs w:val="19"/>
              </w:rPr>
            </w:pPr>
          </w:p>
        </w:tc>
        <w:tc>
          <w:tcPr>
            <w:tcW w:w="419" w:type="dxa"/>
            <w:tcBorders>
              <w:top w:val="single" w:sz="12" w:space="0" w:color="FFFFFF" w:themeColor="background1"/>
              <w:left w:val="single" w:sz="12" w:space="0" w:color="FFFFFF" w:themeColor="background1"/>
              <w:bottom w:val="single" w:sz="18" w:space="0" w:color="FFFFFF" w:themeColor="background1"/>
              <w:right w:val="single" w:sz="12" w:space="0" w:color="FFFFFF" w:themeColor="background1"/>
            </w:tcBorders>
            <w:shd w:val="clear" w:color="auto" w:fill="BC0C21"/>
          </w:tcPr>
          <w:p w14:paraId="055749FD" w14:textId="77777777" w:rsidR="00F1343E" w:rsidRPr="00DA6EDE" w:rsidRDefault="00F1343E" w:rsidP="00287ED9">
            <w:pPr>
              <w:rPr>
                <w:sz w:val="19"/>
                <w:szCs w:val="19"/>
              </w:rPr>
            </w:pPr>
          </w:p>
        </w:tc>
        <w:tc>
          <w:tcPr>
            <w:tcW w:w="237" w:type="dxa"/>
            <w:tcBorders>
              <w:top w:val="single" w:sz="12" w:space="0" w:color="FFFFFF" w:themeColor="background1"/>
              <w:left w:val="single" w:sz="12" w:space="0" w:color="FFFFFF" w:themeColor="background1"/>
              <w:bottom w:val="nil"/>
              <w:right w:val="single" w:sz="12" w:space="0" w:color="FFFFFF" w:themeColor="background1"/>
            </w:tcBorders>
          </w:tcPr>
          <w:p w14:paraId="00BE16B4" w14:textId="77777777" w:rsidR="00F1343E" w:rsidRPr="00DA6EDE" w:rsidRDefault="00F1343E" w:rsidP="00287ED9">
            <w:pPr>
              <w:rPr>
                <w:sz w:val="19"/>
                <w:szCs w:val="19"/>
              </w:rPr>
            </w:pPr>
          </w:p>
        </w:tc>
        <w:tc>
          <w:tcPr>
            <w:tcW w:w="469" w:type="dxa"/>
            <w:tcBorders>
              <w:top w:val="single" w:sz="12" w:space="0" w:color="FFFFFF" w:themeColor="background1"/>
              <w:left w:val="single" w:sz="12" w:space="0" w:color="FFFFFF" w:themeColor="background1"/>
              <w:bottom w:val="single" w:sz="18" w:space="0" w:color="FFFFFF" w:themeColor="background1"/>
              <w:right w:val="single" w:sz="12" w:space="0" w:color="FFFFFF" w:themeColor="background1"/>
            </w:tcBorders>
            <w:shd w:val="clear" w:color="auto" w:fill="BC0C21"/>
          </w:tcPr>
          <w:p w14:paraId="177995D0" w14:textId="77777777" w:rsidR="00F1343E" w:rsidRPr="00DA6EDE" w:rsidRDefault="00F1343E" w:rsidP="00287ED9">
            <w:pPr>
              <w:rPr>
                <w:sz w:val="19"/>
                <w:szCs w:val="19"/>
              </w:rPr>
            </w:pPr>
          </w:p>
        </w:tc>
        <w:tc>
          <w:tcPr>
            <w:tcW w:w="418" w:type="dxa"/>
            <w:tcBorders>
              <w:top w:val="single" w:sz="12" w:space="0" w:color="FFFFFF" w:themeColor="background1"/>
              <w:left w:val="single" w:sz="12" w:space="0" w:color="FFFFFF" w:themeColor="background1"/>
              <w:bottom w:val="single" w:sz="18" w:space="0" w:color="FFFFFF" w:themeColor="background1"/>
              <w:right w:val="single" w:sz="12" w:space="0" w:color="FFFFFF" w:themeColor="background1"/>
            </w:tcBorders>
            <w:shd w:val="clear" w:color="auto" w:fill="BC0C21"/>
          </w:tcPr>
          <w:p w14:paraId="2E751CAA" w14:textId="77777777" w:rsidR="00F1343E" w:rsidRPr="00DA6EDE" w:rsidRDefault="00F1343E" w:rsidP="00287ED9">
            <w:pPr>
              <w:rPr>
                <w:sz w:val="19"/>
                <w:szCs w:val="19"/>
              </w:rPr>
            </w:pPr>
          </w:p>
        </w:tc>
        <w:tc>
          <w:tcPr>
            <w:tcW w:w="236" w:type="dxa"/>
            <w:tcBorders>
              <w:top w:val="single" w:sz="12" w:space="0" w:color="FFFFFF" w:themeColor="background1"/>
              <w:left w:val="single" w:sz="12" w:space="0" w:color="FFFFFF" w:themeColor="background1"/>
              <w:bottom w:val="nil"/>
              <w:right w:val="single" w:sz="12" w:space="0" w:color="FFFFFF" w:themeColor="background1"/>
            </w:tcBorders>
          </w:tcPr>
          <w:p w14:paraId="5DD96B67" w14:textId="77777777" w:rsidR="00F1343E" w:rsidRPr="00DA6EDE" w:rsidRDefault="00F1343E" w:rsidP="00287ED9">
            <w:pPr>
              <w:rPr>
                <w:sz w:val="19"/>
                <w:szCs w:val="19"/>
              </w:rPr>
            </w:pPr>
          </w:p>
        </w:tc>
        <w:tc>
          <w:tcPr>
            <w:tcW w:w="468" w:type="dxa"/>
            <w:tcBorders>
              <w:top w:val="single" w:sz="12" w:space="0" w:color="FFFFFF" w:themeColor="background1"/>
              <w:left w:val="single" w:sz="12" w:space="0" w:color="FFFFFF" w:themeColor="background1"/>
              <w:bottom w:val="single" w:sz="18" w:space="0" w:color="FFFFFF" w:themeColor="background1"/>
              <w:right w:val="single" w:sz="12" w:space="0" w:color="FFFFFF" w:themeColor="background1"/>
            </w:tcBorders>
            <w:shd w:val="clear" w:color="auto" w:fill="BC0C21"/>
          </w:tcPr>
          <w:p w14:paraId="78FA351B" w14:textId="77777777" w:rsidR="00F1343E" w:rsidRPr="00DA6EDE" w:rsidRDefault="00F1343E" w:rsidP="00287ED9">
            <w:pPr>
              <w:rPr>
                <w:sz w:val="19"/>
                <w:szCs w:val="19"/>
              </w:rPr>
            </w:pPr>
          </w:p>
        </w:tc>
        <w:tc>
          <w:tcPr>
            <w:tcW w:w="422" w:type="dxa"/>
            <w:tcBorders>
              <w:top w:val="single" w:sz="12" w:space="0" w:color="FFFFFF" w:themeColor="background1"/>
              <w:left w:val="single" w:sz="12" w:space="0" w:color="FFFFFF" w:themeColor="background1"/>
              <w:bottom w:val="single" w:sz="18" w:space="0" w:color="FFFFFF" w:themeColor="background1"/>
              <w:right w:val="single" w:sz="12" w:space="0" w:color="FFFFFF" w:themeColor="background1"/>
            </w:tcBorders>
            <w:shd w:val="clear" w:color="auto" w:fill="BC0C21"/>
          </w:tcPr>
          <w:p w14:paraId="31D43782" w14:textId="77777777" w:rsidR="00F1343E" w:rsidRPr="00DA6EDE" w:rsidRDefault="00F1343E" w:rsidP="00287ED9">
            <w:pPr>
              <w:rPr>
                <w:sz w:val="19"/>
                <w:szCs w:val="19"/>
              </w:rPr>
            </w:pPr>
          </w:p>
        </w:tc>
        <w:tc>
          <w:tcPr>
            <w:tcW w:w="409" w:type="dxa"/>
            <w:gridSpan w:val="2"/>
            <w:vMerge/>
            <w:tcBorders>
              <w:left w:val="single" w:sz="12" w:space="0" w:color="FFFFFF" w:themeColor="background1"/>
              <w:right w:val="single" w:sz="12" w:space="0" w:color="FFFFFF" w:themeColor="background1"/>
            </w:tcBorders>
          </w:tcPr>
          <w:p w14:paraId="15AC849D" w14:textId="77777777" w:rsidR="00F1343E" w:rsidRPr="00DA6EDE" w:rsidRDefault="00F1343E" w:rsidP="00287ED9">
            <w:pPr>
              <w:rPr>
                <w:sz w:val="19"/>
                <w:szCs w:val="19"/>
              </w:rPr>
            </w:pPr>
          </w:p>
        </w:tc>
        <w:tc>
          <w:tcPr>
            <w:tcW w:w="461" w:type="dxa"/>
            <w:gridSpan w:val="2"/>
            <w:tcBorders>
              <w:top w:val="single" w:sz="12" w:space="0" w:color="FFFFFF" w:themeColor="background1"/>
              <w:left w:val="single" w:sz="12" w:space="0" w:color="FFFFFF" w:themeColor="background1"/>
              <w:bottom w:val="single" w:sz="18" w:space="0" w:color="FFFFFF" w:themeColor="background1"/>
              <w:right w:val="single" w:sz="12" w:space="0" w:color="FFFFFF" w:themeColor="background1"/>
            </w:tcBorders>
            <w:shd w:val="clear" w:color="auto" w:fill="BC0C21"/>
          </w:tcPr>
          <w:p w14:paraId="16682A78" w14:textId="77777777" w:rsidR="00F1343E" w:rsidRPr="00DA6EDE" w:rsidRDefault="00F1343E" w:rsidP="00287ED9">
            <w:pPr>
              <w:rPr>
                <w:sz w:val="19"/>
                <w:szCs w:val="19"/>
              </w:rPr>
            </w:pPr>
          </w:p>
        </w:tc>
        <w:tc>
          <w:tcPr>
            <w:tcW w:w="418" w:type="dxa"/>
            <w:tcBorders>
              <w:top w:val="single" w:sz="12" w:space="0" w:color="FFFFFF" w:themeColor="background1"/>
              <w:left w:val="single" w:sz="12" w:space="0" w:color="FFFFFF" w:themeColor="background1"/>
              <w:bottom w:val="single" w:sz="18" w:space="0" w:color="FFFFFF" w:themeColor="background1"/>
              <w:right w:val="single" w:sz="12" w:space="0" w:color="FFFFFF" w:themeColor="background1"/>
            </w:tcBorders>
            <w:shd w:val="clear" w:color="auto" w:fill="BC0C21"/>
          </w:tcPr>
          <w:p w14:paraId="3531F03F" w14:textId="77777777" w:rsidR="00F1343E" w:rsidRPr="00DA6EDE" w:rsidRDefault="00F1343E" w:rsidP="00287ED9">
            <w:pPr>
              <w:rPr>
                <w:sz w:val="19"/>
                <w:szCs w:val="19"/>
              </w:rPr>
            </w:pPr>
          </w:p>
        </w:tc>
        <w:tc>
          <w:tcPr>
            <w:tcW w:w="236" w:type="dxa"/>
            <w:tcBorders>
              <w:top w:val="single" w:sz="12" w:space="0" w:color="FFFFFF" w:themeColor="background1"/>
              <w:left w:val="single" w:sz="12" w:space="0" w:color="FFFFFF" w:themeColor="background1"/>
              <w:bottom w:val="nil"/>
              <w:right w:val="single" w:sz="12" w:space="0" w:color="FFFFFF" w:themeColor="background1"/>
            </w:tcBorders>
          </w:tcPr>
          <w:p w14:paraId="57DA72A2" w14:textId="77777777" w:rsidR="00F1343E" w:rsidRPr="00DA6EDE" w:rsidRDefault="00F1343E" w:rsidP="00287ED9">
            <w:pPr>
              <w:rPr>
                <w:sz w:val="19"/>
                <w:szCs w:val="19"/>
              </w:rPr>
            </w:pPr>
          </w:p>
        </w:tc>
        <w:tc>
          <w:tcPr>
            <w:tcW w:w="469" w:type="dxa"/>
            <w:tcBorders>
              <w:top w:val="single" w:sz="12" w:space="0" w:color="FFFFFF" w:themeColor="background1"/>
              <w:left w:val="single" w:sz="12" w:space="0" w:color="FFFFFF" w:themeColor="background1"/>
              <w:bottom w:val="single" w:sz="18" w:space="0" w:color="FFFFFF" w:themeColor="background1"/>
              <w:right w:val="single" w:sz="12" w:space="0" w:color="FFFFFF" w:themeColor="background1"/>
            </w:tcBorders>
            <w:shd w:val="clear" w:color="auto" w:fill="BC0C21"/>
          </w:tcPr>
          <w:p w14:paraId="726C9135" w14:textId="77777777" w:rsidR="00F1343E" w:rsidRPr="00DA6EDE" w:rsidRDefault="00F1343E" w:rsidP="00287ED9">
            <w:pPr>
              <w:rPr>
                <w:sz w:val="19"/>
                <w:szCs w:val="19"/>
              </w:rPr>
            </w:pPr>
          </w:p>
        </w:tc>
        <w:tc>
          <w:tcPr>
            <w:tcW w:w="418" w:type="dxa"/>
            <w:tcBorders>
              <w:top w:val="single" w:sz="12" w:space="0" w:color="FFFFFF" w:themeColor="background1"/>
              <w:left w:val="single" w:sz="12" w:space="0" w:color="FFFFFF" w:themeColor="background1"/>
              <w:bottom w:val="single" w:sz="18" w:space="0" w:color="FFFFFF" w:themeColor="background1"/>
              <w:right w:val="single" w:sz="12" w:space="0" w:color="FFFFFF" w:themeColor="background1"/>
            </w:tcBorders>
            <w:shd w:val="clear" w:color="auto" w:fill="BC0C21"/>
          </w:tcPr>
          <w:p w14:paraId="4A0B8EB9" w14:textId="77777777" w:rsidR="00F1343E" w:rsidRPr="00DA6EDE" w:rsidRDefault="00F1343E" w:rsidP="00287ED9">
            <w:pPr>
              <w:rPr>
                <w:sz w:val="19"/>
                <w:szCs w:val="19"/>
              </w:rPr>
            </w:pPr>
          </w:p>
        </w:tc>
        <w:tc>
          <w:tcPr>
            <w:tcW w:w="236" w:type="dxa"/>
            <w:tcBorders>
              <w:top w:val="single" w:sz="12" w:space="0" w:color="FFFFFF" w:themeColor="background1"/>
              <w:left w:val="single" w:sz="12" w:space="0" w:color="FFFFFF" w:themeColor="background1"/>
              <w:bottom w:val="nil"/>
              <w:right w:val="single" w:sz="12" w:space="0" w:color="FFFFFF" w:themeColor="background1"/>
            </w:tcBorders>
          </w:tcPr>
          <w:p w14:paraId="386F1B69" w14:textId="77777777" w:rsidR="00F1343E" w:rsidRPr="00DA6EDE" w:rsidRDefault="00F1343E" w:rsidP="00287ED9">
            <w:pPr>
              <w:rPr>
                <w:sz w:val="19"/>
                <w:szCs w:val="19"/>
              </w:rPr>
            </w:pPr>
          </w:p>
        </w:tc>
        <w:tc>
          <w:tcPr>
            <w:tcW w:w="469" w:type="dxa"/>
            <w:tcBorders>
              <w:top w:val="single" w:sz="12" w:space="0" w:color="FFFFFF" w:themeColor="background1"/>
              <w:left w:val="single" w:sz="12" w:space="0" w:color="FFFFFF" w:themeColor="background1"/>
              <w:bottom w:val="single" w:sz="18" w:space="0" w:color="FFFFFF" w:themeColor="background1"/>
              <w:right w:val="single" w:sz="12" w:space="0" w:color="FFFFFF" w:themeColor="background1"/>
            </w:tcBorders>
            <w:shd w:val="clear" w:color="auto" w:fill="BC0C21"/>
          </w:tcPr>
          <w:p w14:paraId="197B5A92" w14:textId="77777777" w:rsidR="00F1343E" w:rsidRPr="00DA6EDE" w:rsidRDefault="00F1343E" w:rsidP="00287ED9">
            <w:pPr>
              <w:rPr>
                <w:sz w:val="19"/>
                <w:szCs w:val="19"/>
              </w:rPr>
            </w:pPr>
          </w:p>
        </w:tc>
        <w:tc>
          <w:tcPr>
            <w:tcW w:w="420" w:type="dxa"/>
            <w:tcBorders>
              <w:top w:val="single" w:sz="12" w:space="0" w:color="FFFFFF" w:themeColor="background1"/>
              <w:left w:val="single" w:sz="12" w:space="0" w:color="FFFFFF" w:themeColor="background1"/>
              <w:bottom w:val="single" w:sz="18" w:space="0" w:color="FFFFFF" w:themeColor="background1"/>
              <w:right w:val="single" w:sz="12" w:space="0" w:color="FFFFFF" w:themeColor="background1"/>
            </w:tcBorders>
            <w:shd w:val="clear" w:color="auto" w:fill="BC0C21"/>
          </w:tcPr>
          <w:p w14:paraId="2C4E5B32" w14:textId="77777777" w:rsidR="00F1343E" w:rsidRPr="00DA6EDE" w:rsidRDefault="00F1343E" w:rsidP="00287ED9">
            <w:pPr>
              <w:rPr>
                <w:sz w:val="19"/>
                <w:szCs w:val="19"/>
              </w:rPr>
            </w:pPr>
          </w:p>
        </w:tc>
        <w:tc>
          <w:tcPr>
            <w:tcW w:w="422" w:type="dxa"/>
            <w:gridSpan w:val="2"/>
            <w:vMerge/>
            <w:tcBorders>
              <w:left w:val="single" w:sz="12" w:space="0" w:color="FFFFFF" w:themeColor="background1"/>
              <w:right w:val="single" w:sz="12" w:space="0" w:color="FFFFFF" w:themeColor="background1"/>
            </w:tcBorders>
          </w:tcPr>
          <w:p w14:paraId="7DBF8856" w14:textId="77777777" w:rsidR="00F1343E" w:rsidRPr="00DA6EDE" w:rsidRDefault="00F1343E" w:rsidP="00287ED9">
            <w:pPr>
              <w:rPr>
                <w:sz w:val="19"/>
                <w:szCs w:val="19"/>
              </w:rPr>
            </w:pPr>
          </w:p>
        </w:tc>
        <w:tc>
          <w:tcPr>
            <w:tcW w:w="466" w:type="dxa"/>
            <w:gridSpan w:val="3"/>
            <w:tcBorders>
              <w:top w:val="single" w:sz="12" w:space="0" w:color="FFFFFF" w:themeColor="background1"/>
              <w:left w:val="single" w:sz="12" w:space="0" w:color="FFFFFF" w:themeColor="background1"/>
              <w:bottom w:val="single" w:sz="18" w:space="0" w:color="FFFFFF" w:themeColor="background1"/>
              <w:right w:val="single" w:sz="12" w:space="0" w:color="FFFFFF" w:themeColor="background1"/>
            </w:tcBorders>
            <w:shd w:val="clear" w:color="auto" w:fill="BC0C21"/>
          </w:tcPr>
          <w:p w14:paraId="37DE3425" w14:textId="77777777" w:rsidR="00F1343E" w:rsidRPr="00DA6EDE" w:rsidRDefault="00F1343E" w:rsidP="00287ED9">
            <w:pPr>
              <w:rPr>
                <w:sz w:val="19"/>
                <w:szCs w:val="19"/>
              </w:rPr>
            </w:pPr>
          </w:p>
        </w:tc>
        <w:tc>
          <w:tcPr>
            <w:tcW w:w="418" w:type="dxa"/>
            <w:tcBorders>
              <w:top w:val="single" w:sz="12" w:space="0" w:color="FFFFFF" w:themeColor="background1"/>
              <w:left w:val="single" w:sz="12" w:space="0" w:color="FFFFFF" w:themeColor="background1"/>
              <w:bottom w:val="single" w:sz="18" w:space="0" w:color="FFFFFF" w:themeColor="background1"/>
              <w:right w:val="single" w:sz="12" w:space="0" w:color="FFFFFF" w:themeColor="background1"/>
            </w:tcBorders>
            <w:shd w:val="clear" w:color="auto" w:fill="BC0C21"/>
          </w:tcPr>
          <w:p w14:paraId="62832E4E" w14:textId="77777777" w:rsidR="00F1343E" w:rsidRPr="00DA6EDE" w:rsidRDefault="00F1343E" w:rsidP="00287ED9">
            <w:pPr>
              <w:rPr>
                <w:sz w:val="19"/>
                <w:szCs w:val="19"/>
              </w:rPr>
            </w:pPr>
          </w:p>
        </w:tc>
        <w:tc>
          <w:tcPr>
            <w:tcW w:w="236" w:type="dxa"/>
            <w:tcBorders>
              <w:top w:val="single" w:sz="12" w:space="0" w:color="FFFFFF" w:themeColor="background1"/>
              <w:left w:val="single" w:sz="12" w:space="0" w:color="FFFFFF" w:themeColor="background1"/>
              <w:bottom w:val="nil"/>
              <w:right w:val="single" w:sz="12" w:space="0" w:color="FFFFFF" w:themeColor="background1"/>
            </w:tcBorders>
          </w:tcPr>
          <w:p w14:paraId="5D944F62" w14:textId="77777777" w:rsidR="00F1343E" w:rsidRPr="00DA6EDE" w:rsidRDefault="00F1343E" w:rsidP="00287ED9">
            <w:pPr>
              <w:rPr>
                <w:sz w:val="19"/>
                <w:szCs w:val="19"/>
              </w:rPr>
            </w:pPr>
          </w:p>
        </w:tc>
        <w:tc>
          <w:tcPr>
            <w:tcW w:w="456" w:type="dxa"/>
            <w:tcBorders>
              <w:top w:val="single" w:sz="12" w:space="0" w:color="FFFFFF" w:themeColor="background1"/>
              <w:left w:val="single" w:sz="12" w:space="0" w:color="FFFFFF" w:themeColor="background1"/>
              <w:bottom w:val="nil"/>
              <w:right w:val="single" w:sz="12" w:space="0" w:color="FFFFFF" w:themeColor="background1"/>
            </w:tcBorders>
            <w:shd w:val="clear" w:color="auto" w:fill="BC0C21"/>
          </w:tcPr>
          <w:p w14:paraId="1DB655C5" w14:textId="77777777" w:rsidR="00F1343E" w:rsidRPr="00DA6EDE" w:rsidRDefault="00F1343E" w:rsidP="00287ED9">
            <w:pPr>
              <w:rPr>
                <w:sz w:val="19"/>
                <w:szCs w:val="19"/>
              </w:rPr>
            </w:pPr>
          </w:p>
        </w:tc>
        <w:tc>
          <w:tcPr>
            <w:tcW w:w="407" w:type="dxa"/>
            <w:gridSpan w:val="2"/>
            <w:tcBorders>
              <w:top w:val="single" w:sz="12" w:space="0" w:color="FFFFFF" w:themeColor="background1"/>
              <w:left w:val="single" w:sz="12" w:space="0" w:color="FFFFFF" w:themeColor="background1"/>
              <w:bottom w:val="nil"/>
              <w:right w:val="single" w:sz="12" w:space="0" w:color="FFFFFF" w:themeColor="background1"/>
            </w:tcBorders>
            <w:shd w:val="clear" w:color="auto" w:fill="BC0C21"/>
          </w:tcPr>
          <w:p w14:paraId="77052102" w14:textId="77777777" w:rsidR="00F1343E" w:rsidRPr="00DA6EDE" w:rsidRDefault="00F1343E" w:rsidP="00287ED9">
            <w:pPr>
              <w:rPr>
                <w:sz w:val="19"/>
                <w:szCs w:val="19"/>
              </w:rPr>
            </w:pPr>
          </w:p>
        </w:tc>
      </w:tr>
      <w:tr w:rsidR="00F1343E" w:rsidRPr="00F1343E" w14:paraId="0E23CD17" w14:textId="77777777" w:rsidTr="00F1343E">
        <w:trPr>
          <w:trHeight w:val="231"/>
        </w:trPr>
        <w:tc>
          <w:tcPr>
            <w:tcW w:w="890" w:type="dxa"/>
            <w:gridSpan w:val="2"/>
            <w:vMerge w:val="restart"/>
            <w:tcBorders>
              <w:top w:val="nil"/>
              <w:left w:val="single" w:sz="12" w:space="0" w:color="FFFFFF" w:themeColor="background1"/>
              <w:bottom w:val="nil"/>
              <w:right w:val="single" w:sz="12" w:space="0" w:color="FFFFFF" w:themeColor="background1"/>
            </w:tcBorders>
            <w:shd w:val="clear" w:color="auto" w:fill="000000" w:themeFill="text1"/>
            <w:vAlign w:val="center"/>
          </w:tcPr>
          <w:p w14:paraId="41D9966B" w14:textId="77777777" w:rsidR="00F1343E" w:rsidRPr="00F1343E" w:rsidRDefault="00F1343E" w:rsidP="00287ED9">
            <w:pPr>
              <w:jc w:val="center"/>
              <w:rPr>
                <w:rFonts w:ascii="Arial" w:hAnsi="Arial" w:cs="Arial"/>
                <w:b/>
                <w:bCs/>
                <w:sz w:val="32"/>
                <w:szCs w:val="32"/>
              </w:rPr>
            </w:pPr>
            <w:r w:rsidRPr="00F1343E">
              <w:rPr>
                <w:rFonts w:ascii="Arial" w:hAnsi="Arial" w:cs="Arial"/>
                <w:b/>
                <w:bCs/>
                <w:sz w:val="32"/>
                <w:szCs w:val="32"/>
              </w:rPr>
              <w:t>50%</w:t>
            </w:r>
          </w:p>
        </w:tc>
        <w:tc>
          <w:tcPr>
            <w:tcW w:w="237" w:type="dxa"/>
            <w:tcBorders>
              <w:top w:val="nil"/>
              <w:left w:val="single" w:sz="12" w:space="0" w:color="FFFFFF" w:themeColor="background1"/>
              <w:bottom w:val="nil"/>
              <w:right w:val="single" w:sz="12" w:space="0" w:color="FFFFFF" w:themeColor="background1"/>
            </w:tcBorders>
          </w:tcPr>
          <w:p w14:paraId="536C588B" w14:textId="77777777" w:rsidR="00F1343E" w:rsidRPr="00F1343E" w:rsidRDefault="00F1343E" w:rsidP="00287ED9">
            <w:pPr>
              <w:rPr>
                <w:rFonts w:ascii="Arial" w:hAnsi="Arial" w:cs="Arial"/>
                <w:b/>
                <w:bCs/>
                <w:sz w:val="32"/>
                <w:szCs w:val="32"/>
              </w:rPr>
            </w:pPr>
          </w:p>
        </w:tc>
        <w:tc>
          <w:tcPr>
            <w:tcW w:w="887" w:type="dxa"/>
            <w:gridSpan w:val="2"/>
            <w:vMerge w:val="restart"/>
            <w:tcBorders>
              <w:top w:val="nil"/>
              <w:left w:val="single" w:sz="12" w:space="0" w:color="FFFFFF" w:themeColor="background1"/>
              <w:bottom w:val="nil"/>
              <w:right w:val="single" w:sz="12" w:space="0" w:color="FFFFFF" w:themeColor="background1"/>
            </w:tcBorders>
            <w:shd w:val="clear" w:color="auto" w:fill="000000" w:themeFill="text1"/>
            <w:vAlign w:val="center"/>
          </w:tcPr>
          <w:p w14:paraId="7E8DA5E2" w14:textId="77777777" w:rsidR="00F1343E" w:rsidRPr="00F1343E" w:rsidRDefault="00F1343E" w:rsidP="00287ED9">
            <w:pPr>
              <w:jc w:val="center"/>
              <w:rPr>
                <w:rFonts w:ascii="Arial" w:hAnsi="Arial" w:cs="Arial"/>
                <w:b/>
                <w:bCs/>
                <w:color w:val="FFFFFF" w:themeColor="background1"/>
                <w:sz w:val="32"/>
                <w:szCs w:val="32"/>
              </w:rPr>
            </w:pPr>
            <w:r w:rsidRPr="00F1343E">
              <w:rPr>
                <w:rFonts w:ascii="Arial" w:hAnsi="Arial" w:cs="Arial"/>
                <w:b/>
                <w:bCs/>
                <w:color w:val="FFFFFF" w:themeColor="background1"/>
                <w:sz w:val="32"/>
                <w:szCs w:val="32"/>
              </w:rPr>
              <w:t>81%</w:t>
            </w:r>
          </w:p>
        </w:tc>
        <w:tc>
          <w:tcPr>
            <w:tcW w:w="236" w:type="dxa"/>
            <w:tcBorders>
              <w:top w:val="nil"/>
              <w:left w:val="single" w:sz="12" w:space="0" w:color="FFFFFF" w:themeColor="background1"/>
              <w:bottom w:val="nil"/>
              <w:right w:val="single" w:sz="12" w:space="0" w:color="FFFFFF" w:themeColor="background1"/>
            </w:tcBorders>
          </w:tcPr>
          <w:p w14:paraId="1B21C3B1" w14:textId="77777777" w:rsidR="00F1343E" w:rsidRPr="00F1343E" w:rsidRDefault="00F1343E" w:rsidP="00287ED9">
            <w:pPr>
              <w:rPr>
                <w:rFonts w:ascii="Arial" w:hAnsi="Arial" w:cs="Arial"/>
                <w:b/>
                <w:bCs/>
                <w:sz w:val="32"/>
                <w:szCs w:val="32"/>
              </w:rPr>
            </w:pPr>
          </w:p>
        </w:tc>
        <w:tc>
          <w:tcPr>
            <w:tcW w:w="890" w:type="dxa"/>
            <w:gridSpan w:val="2"/>
            <w:vMerge w:val="restart"/>
            <w:tcBorders>
              <w:top w:val="nil"/>
              <w:left w:val="single" w:sz="12" w:space="0" w:color="FFFFFF" w:themeColor="background1"/>
              <w:bottom w:val="nil"/>
              <w:right w:val="single" w:sz="12" w:space="0" w:color="FFFFFF" w:themeColor="background1"/>
            </w:tcBorders>
            <w:shd w:val="clear" w:color="auto" w:fill="000000" w:themeFill="text1"/>
            <w:vAlign w:val="center"/>
          </w:tcPr>
          <w:p w14:paraId="795D290D" w14:textId="77777777" w:rsidR="00F1343E" w:rsidRPr="00F1343E" w:rsidRDefault="00F1343E" w:rsidP="00287ED9">
            <w:pPr>
              <w:jc w:val="center"/>
              <w:rPr>
                <w:rFonts w:ascii="Arial" w:hAnsi="Arial" w:cs="Arial"/>
                <w:b/>
                <w:bCs/>
                <w:sz w:val="32"/>
                <w:szCs w:val="32"/>
              </w:rPr>
            </w:pPr>
            <w:r w:rsidRPr="00F1343E">
              <w:rPr>
                <w:rFonts w:ascii="Arial" w:hAnsi="Arial" w:cs="Arial"/>
                <w:b/>
                <w:bCs/>
                <w:color w:val="FFFFFF" w:themeColor="background1"/>
                <w:sz w:val="32"/>
                <w:szCs w:val="32"/>
              </w:rPr>
              <w:t>96%</w:t>
            </w:r>
          </w:p>
        </w:tc>
        <w:tc>
          <w:tcPr>
            <w:tcW w:w="409" w:type="dxa"/>
            <w:gridSpan w:val="2"/>
            <w:vMerge/>
            <w:tcBorders>
              <w:left w:val="single" w:sz="12" w:space="0" w:color="FFFFFF" w:themeColor="background1"/>
              <w:right w:val="single" w:sz="12" w:space="0" w:color="FFFFFF" w:themeColor="background1"/>
            </w:tcBorders>
          </w:tcPr>
          <w:p w14:paraId="4DE0A8D8" w14:textId="77777777" w:rsidR="00F1343E" w:rsidRPr="00F1343E" w:rsidRDefault="00F1343E" w:rsidP="00287ED9">
            <w:pPr>
              <w:rPr>
                <w:rFonts w:ascii="Arial" w:hAnsi="Arial" w:cs="Arial"/>
                <w:b/>
                <w:bCs/>
                <w:sz w:val="32"/>
                <w:szCs w:val="32"/>
              </w:rPr>
            </w:pPr>
          </w:p>
        </w:tc>
        <w:tc>
          <w:tcPr>
            <w:tcW w:w="879" w:type="dxa"/>
            <w:gridSpan w:val="3"/>
            <w:vMerge w:val="restart"/>
            <w:tcBorders>
              <w:top w:val="nil"/>
              <w:left w:val="single" w:sz="12" w:space="0" w:color="FFFFFF" w:themeColor="background1"/>
              <w:bottom w:val="nil"/>
              <w:right w:val="single" w:sz="12" w:space="0" w:color="FFFFFF" w:themeColor="background1"/>
            </w:tcBorders>
            <w:shd w:val="clear" w:color="auto" w:fill="000000" w:themeFill="text1"/>
            <w:vAlign w:val="center"/>
          </w:tcPr>
          <w:p w14:paraId="3EBA48ED" w14:textId="77777777" w:rsidR="00F1343E" w:rsidRPr="00F1343E" w:rsidRDefault="00F1343E" w:rsidP="00287ED9">
            <w:pPr>
              <w:jc w:val="center"/>
              <w:rPr>
                <w:rFonts w:ascii="Arial" w:hAnsi="Arial" w:cs="Arial"/>
                <w:b/>
                <w:bCs/>
                <w:sz w:val="32"/>
                <w:szCs w:val="32"/>
              </w:rPr>
            </w:pPr>
            <w:r w:rsidRPr="00F1343E">
              <w:rPr>
                <w:rFonts w:ascii="Arial" w:hAnsi="Arial" w:cs="Arial"/>
                <w:b/>
                <w:bCs/>
                <w:color w:val="FFFFFF" w:themeColor="background1"/>
                <w:sz w:val="32"/>
                <w:szCs w:val="32"/>
              </w:rPr>
              <w:t>39%</w:t>
            </w:r>
          </w:p>
        </w:tc>
        <w:tc>
          <w:tcPr>
            <w:tcW w:w="236" w:type="dxa"/>
            <w:tcBorders>
              <w:top w:val="nil"/>
              <w:left w:val="single" w:sz="12" w:space="0" w:color="FFFFFF" w:themeColor="background1"/>
              <w:bottom w:val="nil"/>
              <w:right w:val="single" w:sz="12" w:space="0" w:color="FFFFFF" w:themeColor="background1"/>
            </w:tcBorders>
          </w:tcPr>
          <w:p w14:paraId="0B8C7981" w14:textId="77777777" w:rsidR="00F1343E" w:rsidRPr="00F1343E" w:rsidRDefault="00F1343E" w:rsidP="00287ED9">
            <w:pPr>
              <w:rPr>
                <w:rFonts w:ascii="Arial" w:hAnsi="Arial" w:cs="Arial"/>
                <w:b/>
                <w:bCs/>
                <w:sz w:val="32"/>
                <w:szCs w:val="32"/>
              </w:rPr>
            </w:pPr>
          </w:p>
        </w:tc>
        <w:tc>
          <w:tcPr>
            <w:tcW w:w="887" w:type="dxa"/>
            <w:gridSpan w:val="2"/>
            <w:vMerge w:val="restart"/>
            <w:tcBorders>
              <w:top w:val="single" w:sz="18" w:space="0" w:color="FFFFFF" w:themeColor="background1"/>
              <w:left w:val="single" w:sz="12" w:space="0" w:color="FFFFFF" w:themeColor="background1"/>
              <w:bottom w:val="nil"/>
              <w:right w:val="single" w:sz="12" w:space="0" w:color="FFFFFF" w:themeColor="background1"/>
            </w:tcBorders>
            <w:shd w:val="clear" w:color="auto" w:fill="000000" w:themeFill="text1"/>
            <w:vAlign w:val="center"/>
          </w:tcPr>
          <w:p w14:paraId="271DEF54" w14:textId="77777777" w:rsidR="00F1343E" w:rsidRPr="00F1343E" w:rsidRDefault="00F1343E" w:rsidP="00287ED9">
            <w:pPr>
              <w:jc w:val="center"/>
              <w:rPr>
                <w:rFonts w:ascii="Arial" w:hAnsi="Arial" w:cs="Arial"/>
                <w:b/>
                <w:bCs/>
                <w:sz w:val="32"/>
                <w:szCs w:val="32"/>
              </w:rPr>
            </w:pPr>
            <w:r w:rsidRPr="00F1343E">
              <w:rPr>
                <w:rFonts w:ascii="Arial" w:hAnsi="Arial" w:cs="Arial"/>
                <w:b/>
                <w:bCs/>
                <w:color w:val="FFFFFF" w:themeColor="background1"/>
                <w:sz w:val="32"/>
                <w:szCs w:val="32"/>
              </w:rPr>
              <w:t>86%</w:t>
            </w:r>
          </w:p>
        </w:tc>
        <w:tc>
          <w:tcPr>
            <w:tcW w:w="236" w:type="dxa"/>
            <w:tcBorders>
              <w:top w:val="single" w:sz="18" w:space="0" w:color="FFFFFF" w:themeColor="background1"/>
              <w:left w:val="single" w:sz="12" w:space="0" w:color="FFFFFF" w:themeColor="background1"/>
              <w:bottom w:val="nil"/>
              <w:right w:val="single" w:sz="12" w:space="0" w:color="FFFFFF" w:themeColor="background1"/>
            </w:tcBorders>
          </w:tcPr>
          <w:p w14:paraId="42733C76" w14:textId="77777777" w:rsidR="00F1343E" w:rsidRPr="00F1343E" w:rsidRDefault="00F1343E" w:rsidP="00287ED9">
            <w:pPr>
              <w:rPr>
                <w:rFonts w:ascii="Arial" w:hAnsi="Arial" w:cs="Arial"/>
                <w:b/>
                <w:bCs/>
                <w:sz w:val="32"/>
                <w:szCs w:val="32"/>
              </w:rPr>
            </w:pPr>
          </w:p>
        </w:tc>
        <w:tc>
          <w:tcPr>
            <w:tcW w:w="889" w:type="dxa"/>
            <w:gridSpan w:val="2"/>
            <w:vMerge w:val="restart"/>
            <w:tcBorders>
              <w:top w:val="single" w:sz="18" w:space="0" w:color="FFFFFF" w:themeColor="background1"/>
              <w:left w:val="single" w:sz="12" w:space="0" w:color="FFFFFF" w:themeColor="background1"/>
              <w:bottom w:val="nil"/>
              <w:right w:val="single" w:sz="12" w:space="0" w:color="FFFFFF" w:themeColor="background1"/>
            </w:tcBorders>
            <w:shd w:val="clear" w:color="auto" w:fill="000000" w:themeFill="text1"/>
            <w:vAlign w:val="center"/>
          </w:tcPr>
          <w:p w14:paraId="59E357A1" w14:textId="77777777" w:rsidR="00F1343E" w:rsidRPr="00F1343E" w:rsidRDefault="00F1343E" w:rsidP="00287ED9">
            <w:pPr>
              <w:jc w:val="center"/>
              <w:rPr>
                <w:rFonts w:ascii="Arial" w:hAnsi="Arial" w:cs="Arial"/>
                <w:b/>
                <w:bCs/>
                <w:sz w:val="32"/>
                <w:szCs w:val="32"/>
              </w:rPr>
            </w:pPr>
            <w:r w:rsidRPr="00F1343E">
              <w:rPr>
                <w:rFonts w:ascii="Arial" w:hAnsi="Arial" w:cs="Arial"/>
                <w:b/>
                <w:bCs/>
                <w:color w:val="FFFFFF" w:themeColor="background1"/>
                <w:sz w:val="32"/>
                <w:szCs w:val="32"/>
              </w:rPr>
              <w:t>86%</w:t>
            </w:r>
          </w:p>
        </w:tc>
        <w:tc>
          <w:tcPr>
            <w:tcW w:w="422" w:type="dxa"/>
            <w:gridSpan w:val="2"/>
            <w:vMerge/>
            <w:tcBorders>
              <w:left w:val="single" w:sz="12" w:space="0" w:color="FFFFFF" w:themeColor="background1"/>
              <w:right w:val="single" w:sz="12" w:space="0" w:color="FFFFFF" w:themeColor="background1"/>
            </w:tcBorders>
          </w:tcPr>
          <w:p w14:paraId="47A0D1B9" w14:textId="77777777" w:rsidR="00F1343E" w:rsidRPr="00F1343E" w:rsidRDefault="00F1343E" w:rsidP="00287ED9">
            <w:pPr>
              <w:rPr>
                <w:rFonts w:ascii="Arial" w:hAnsi="Arial" w:cs="Arial"/>
                <w:b/>
                <w:bCs/>
                <w:sz w:val="32"/>
                <w:szCs w:val="32"/>
              </w:rPr>
            </w:pPr>
          </w:p>
        </w:tc>
        <w:tc>
          <w:tcPr>
            <w:tcW w:w="884" w:type="dxa"/>
            <w:gridSpan w:val="4"/>
            <w:vMerge w:val="restart"/>
            <w:tcBorders>
              <w:top w:val="single" w:sz="12" w:space="0" w:color="FFFFFF" w:themeColor="background1"/>
              <w:left w:val="single" w:sz="12" w:space="0" w:color="FFFFFF" w:themeColor="background1"/>
              <w:bottom w:val="nil"/>
              <w:right w:val="single" w:sz="12" w:space="0" w:color="FFFFFF" w:themeColor="background1"/>
            </w:tcBorders>
            <w:shd w:val="clear" w:color="auto" w:fill="000000" w:themeFill="text1"/>
            <w:vAlign w:val="center"/>
          </w:tcPr>
          <w:p w14:paraId="7F9A830A" w14:textId="77777777" w:rsidR="00F1343E" w:rsidRPr="00F1343E" w:rsidRDefault="00F1343E" w:rsidP="00287ED9">
            <w:pPr>
              <w:jc w:val="center"/>
              <w:rPr>
                <w:rFonts w:ascii="Arial" w:hAnsi="Arial" w:cs="Arial"/>
                <w:b/>
                <w:bCs/>
                <w:sz w:val="32"/>
                <w:szCs w:val="32"/>
              </w:rPr>
            </w:pPr>
            <w:r w:rsidRPr="00F1343E">
              <w:rPr>
                <w:rFonts w:ascii="Arial" w:hAnsi="Arial" w:cs="Arial"/>
                <w:b/>
                <w:bCs/>
                <w:color w:val="FFFFFF" w:themeColor="background1"/>
                <w:sz w:val="32"/>
                <w:szCs w:val="32"/>
              </w:rPr>
              <w:t>25%</w:t>
            </w:r>
          </w:p>
        </w:tc>
        <w:tc>
          <w:tcPr>
            <w:tcW w:w="236" w:type="dxa"/>
            <w:tcBorders>
              <w:top w:val="single" w:sz="18" w:space="0" w:color="FFFFFF" w:themeColor="background1"/>
              <w:left w:val="single" w:sz="12" w:space="0" w:color="FFFFFF" w:themeColor="background1"/>
              <w:bottom w:val="nil"/>
              <w:right w:val="single" w:sz="12" w:space="0" w:color="FFFFFF" w:themeColor="background1"/>
            </w:tcBorders>
          </w:tcPr>
          <w:p w14:paraId="65A22452" w14:textId="77777777" w:rsidR="00F1343E" w:rsidRPr="00F1343E" w:rsidRDefault="00F1343E" w:rsidP="00287ED9">
            <w:pPr>
              <w:rPr>
                <w:rFonts w:ascii="Arial" w:hAnsi="Arial" w:cs="Arial"/>
                <w:b/>
                <w:bCs/>
                <w:sz w:val="32"/>
                <w:szCs w:val="32"/>
              </w:rPr>
            </w:pPr>
          </w:p>
        </w:tc>
        <w:tc>
          <w:tcPr>
            <w:tcW w:w="875" w:type="dxa"/>
            <w:gridSpan w:val="4"/>
            <w:vMerge w:val="restart"/>
            <w:tcBorders>
              <w:top w:val="single" w:sz="18" w:space="0" w:color="FFFFFF" w:themeColor="background1"/>
              <w:left w:val="single" w:sz="12" w:space="0" w:color="FFFFFF" w:themeColor="background1"/>
              <w:bottom w:val="nil"/>
              <w:right w:val="single" w:sz="12" w:space="0" w:color="FFFFFF" w:themeColor="background1"/>
            </w:tcBorders>
            <w:shd w:val="clear" w:color="auto" w:fill="000000" w:themeFill="text1"/>
            <w:vAlign w:val="center"/>
          </w:tcPr>
          <w:p w14:paraId="18584A37" w14:textId="420680CB" w:rsidR="00F1343E" w:rsidRPr="00F1343E" w:rsidRDefault="0097648D" w:rsidP="00287ED9">
            <w:pPr>
              <w:jc w:val="center"/>
              <w:rPr>
                <w:rFonts w:ascii="Arial" w:hAnsi="Arial" w:cs="Arial"/>
                <w:b/>
                <w:bCs/>
                <w:sz w:val="32"/>
                <w:szCs w:val="32"/>
              </w:rPr>
            </w:pPr>
            <w:r>
              <w:rPr>
                <w:rFonts w:ascii="Arial" w:hAnsi="Arial" w:cs="Arial"/>
                <w:b/>
                <w:bCs/>
                <w:sz w:val="32"/>
                <w:szCs w:val="32"/>
              </w:rPr>
              <w:t>72%</w:t>
            </w:r>
          </w:p>
        </w:tc>
      </w:tr>
      <w:tr w:rsidR="00F1343E" w:rsidRPr="00DA6EDE" w14:paraId="3801CBB7" w14:textId="77777777" w:rsidTr="00F1343E">
        <w:trPr>
          <w:trHeight w:val="217"/>
        </w:trPr>
        <w:tc>
          <w:tcPr>
            <w:tcW w:w="890" w:type="dxa"/>
            <w:gridSpan w:val="2"/>
            <w:vMerge/>
            <w:tcBorders>
              <w:top w:val="nil"/>
              <w:left w:val="single" w:sz="12" w:space="0" w:color="FFFFFF" w:themeColor="background1"/>
              <w:bottom w:val="single" w:sz="12" w:space="0" w:color="FFFFFF" w:themeColor="background1"/>
              <w:right w:val="single" w:sz="12" w:space="0" w:color="FFFFFF" w:themeColor="background1"/>
            </w:tcBorders>
            <w:shd w:val="clear" w:color="auto" w:fill="000000" w:themeFill="text1"/>
          </w:tcPr>
          <w:p w14:paraId="0E7FAC2C" w14:textId="77777777" w:rsidR="00F1343E" w:rsidRPr="00DA6EDE" w:rsidRDefault="00F1343E" w:rsidP="00287ED9">
            <w:pPr>
              <w:rPr>
                <w:sz w:val="19"/>
                <w:szCs w:val="19"/>
              </w:rPr>
            </w:pPr>
          </w:p>
        </w:tc>
        <w:tc>
          <w:tcPr>
            <w:tcW w:w="237" w:type="dxa"/>
            <w:tcBorders>
              <w:top w:val="nil"/>
              <w:left w:val="single" w:sz="12" w:space="0" w:color="FFFFFF" w:themeColor="background1"/>
              <w:bottom w:val="nil"/>
              <w:right w:val="single" w:sz="12" w:space="0" w:color="FFFFFF" w:themeColor="background1"/>
            </w:tcBorders>
          </w:tcPr>
          <w:p w14:paraId="52FCCC08" w14:textId="77777777" w:rsidR="00F1343E" w:rsidRPr="00DA6EDE" w:rsidRDefault="00F1343E" w:rsidP="00287ED9">
            <w:pPr>
              <w:rPr>
                <w:sz w:val="19"/>
                <w:szCs w:val="19"/>
              </w:rPr>
            </w:pPr>
          </w:p>
        </w:tc>
        <w:tc>
          <w:tcPr>
            <w:tcW w:w="887" w:type="dxa"/>
            <w:gridSpan w:val="2"/>
            <w:vMerge/>
            <w:tcBorders>
              <w:top w:val="nil"/>
              <w:left w:val="single" w:sz="12" w:space="0" w:color="FFFFFF" w:themeColor="background1"/>
              <w:bottom w:val="single" w:sz="12" w:space="0" w:color="FFFFFF" w:themeColor="background1"/>
              <w:right w:val="single" w:sz="12" w:space="0" w:color="FFFFFF" w:themeColor="background1"/>
            </w:tcBorders>
            <w:shd w:val="clear" w:color="auto" w:fill="000000" w:themeFill="text1"/>
          </w:tcPr>
          <w:p w14:paraId="472C23A6" w14:textId="77777777" w:rsidR="00F1343E" w:rsidRPr="00DA6EDE" w:rsidRDefault="00F1343E" w:rsidP="00287ED9">
            <w:pPr>
              <w:rPr>
                <w:sz w:val="19"/>
                <w:szCs w:val="19"/>
              </w:rPr>
            </w:pPr>
          </w:p>
        </w:tc>
        <w:tc>
          <w:tcPr>
            <w:tcW w:w="236" w:type="dxa"/>
            <w:tcBorders>
              <w:top w:val="nil"/>
              <w:left w:val="single" w:sz="12" w:space="0" w:color="FFFFFF" w:themeColor="background1"/>
              <w:bottom w:val="nil"/>
              <w:right w:val="single" w:sz="12" w:space="0" w:color="FFFFFF" w:themeColor="background1"/>
            </w:tcBorders>
          </w:tcPr>
          <w:p w14:paraId="036081DB" w14:textId="77777777" w:rsidR="00F1343E" w:rsidRPr="00DA6EDE" w:rsidRDefault="00F1343E" w:rsidP="00287ED9">
            <w:pPr>
              <w:rPr>
                <w:sz w:val="19"/>
                <w:szCs w:val="19"/>
              </w:rPr>
            </w:pPr>
          </w:p>
        </w:tc>
        <w:tc>
          <w:tcPr>
            <w:tcW w:w="890" w:type="dxa"/>
            <w:gridSpan w:val="2"/>
            <w:vMerge/>
            <w:tcBorders>
              <w:top w:val="nil"/>
              <w:left w:val="single" w:sz="12" w:space="0" w:color="FFFFFF" w:themeColor="background1"/>
              <w:bottom w:val="single" w:sz="12" w:space="0" w:color="FFFFFF" w:themeColor="background1"/>
              <w:right w:val="single" w:sz="12" w:space="0" w:color="FFFFFF" w:themeColor="background1"/>
            </w:tcBorders>
            <w:shd w:val="clear" w:color="auto" w:fill="000000" w:themeFill="text1"/>
          </w:tcPr>
          <w:p w14:paraId="28626D46" w14:textId="77777777" w:rsidR="00F1343E" w:rsidRPr="00DA6EDE" w:rsidRDefault="00F1343E" w:rsidP="00287ED9">
            <w:pPr>
              <w:rPr>
                <w:sz w:val="19"/>
                <w:szCs w:val="19"/>
              </w:rPr>
            </w:pPr>
          </w:p>
        </w:tc>
        <w:tc>
          <w:tcPr>
            <w:tcW w:w="409" w:type="dxa"/>
            <w:gridSpan w:val="2"/>
            <w:vMerge/>
            <w:tcBorders>
              <w:left w:val="single" w:sz="12" w:space="0" w:color="FFFFFF" w:themeColor="background1"/>
              <w:bottom w:val="nil"/>
              <w:right w:val="single" w:sz="12" w:space="0" w:color="FFFFFF" w:themeColor="background1"/>
            </w:tcBorders>
          </w:tcPr>
          <w:p w14:paraId="1C6D368B" w14:textId="77777777" w:rsidR="00F1343E" w:rsidRPr="00DA6EDE" w:rsidRDefault="00F1343E" w:rsidP="00287ED9">
            <w:pPr>
              <w:rPr>
                <w:sz w:val="19"/>
                <w:szCs w:val="19"/>
              </w:rPr>
            </w:pPr>
          </w:p>
        </w:tc>
        <w:tc>
          <w:tcPr>
            <w:tcW w:w="879" w:type="dxa"/>
            <w:gridSpan w:val="3"/>
            <w:vMerge/>
            <w:tcBorders>
              <w:top w:val="nil"/>
              <w:left w:val="single" w:sz="12" w:space="0" w:color="FFFFFF" w:themeColor="background1"/>
              <w:bottom w:val="single" w:sz="12" w:space="0" w:color="FFFFFF" w:themeColor="background1"/>
              <w:right w:val="single" w:sz="12" w:space="0" w:color="FFFFFF" w:themeColor="background1"/>
            </w:tcBorders>
            <w:shd w:val="clear" w:color="auto" w:fill="000000" w:themeFill="text1"/>
          </w:tcPr>
          <w:p w14:paraId="24D22C31" w14:textId="77777777" w:rsidR="00F1343E" w:rsidRPr="00DA6EDE" w:rsidRDefault="00F1343E" w:rsidP="00287ED9">
            <w:pPr>
              <w:rPr>
                <w:sz w:val="19"/>
                <w:szCs w:val="19"/>
              </w:rPr>
            </w:pPr>
          </w:p>
        </w:tc>
        <w:tc>
          <w:tcPr>
            <w:tcW w:w="236" w:type="dxa"/>
            <w:tcBorders>
              <w:top w:val="nil"/>
              <w:left w:val="single" w:sz="12" w:space="0" w:color="FFFFFF" w:themeColor="background1"/>
              <w:bottom w:val="nil"/>
              <w:right w:val="single" w:sz="12" w:space="0" w:color="FFFFFF" w:themeColor="background1"/>
            </w:tcBorders>
          </w:tcPr>
          <w:p w14:paraId="2DF62865" w14:textId="77777777" w:rsidR="00F1343E" w:rsidRPr="00DA6EDE" w:rsidRDefault="00F1343E" w:rsidP="00287ED9">
            <w:pPr>
              <w:rPr>
                <w:sz w:val="19"/>
                <w:szCs w:val="19"/>
              </w:rPr>
            </w:pPr>
          </w:p>
        </w:tc>
        <w:tc>
          <w:tcPr>
            <w:tcW w:w="887" w:type="dxa"/>
            <w:gridSpan w:val="2"/>
            <w:vMerge/>
            <w:tcBorders>
              <w:top w:val="nil"/>
              <w:left w:val="single" w:sz="12" w:space="0" w:color="FFFFFF" w:themeColor="background1"/>
              <w:bottom w:val="single" w:sz="12" w:space="0" w:color="FFFFFF" w:themeColor="background1"/>
              <w:right w:val="single" w:sz="12" w:space="0" w:color="FFFFFF" w:themeColor="background1"/>
            </w:tcBorders>
            <w:shd w:val="clear" w:color="auto" w:fill="000000" w:themeFill="text1"/>
          </w:tcPr>
          <w:p w14:paraId="5778874D" w14:textId="77777777" w:rsidR="00F1343E" w:rsidRPr="00DA6EDE" w:rsidRDefault="00F1343E" w:rsidP="00287ED9">
            <w:pPr>
              <w:rPr>
                <w:sz w:val="19"/>
                <w:szCs w:val="19"/>
              </w:rPr>
            </w:pPr>
          </w:p>
        </w:tc>
        <w:tc>
          <w:tcPr>
            <w:tcW w:w="236" w:type="dxa"/>
            <w:tcBorders>
              <w:top w:val="nil"/>
              <w:left w:val="single" w:sz="12" w:space="0" w:color="FFFFFF" w:themeColor="background1"/>
              <w:bottom w:val="nil"/>
              <w:right w:val="single" w:sz="12" w:space="0" w:color="FFFFFF" w:themeColor="background1"/>
            </w:tcBorders>
          </w:tcPr>
          <w:p w14:paraId="45EB824B" w14:textId="77777777" w:rsidR="00F1343E" w:rsidRPr="00DA6EDE" w:rsidRDefault="00F1343E" w:rsidP="00287ED9">
            <w:pPr>
              <w:rPr>
                <w:sz w:val="19"/>
                <w:szCs w:val="19"/>
              </w:rPr>
            </w:pPr>
          </w:p>
        </w:tc>
        <w:tc>
          <w:tcPr>
            <w:tcW w:w="889" w:type="dxa"/>
            <w:gridSpan w:val="2"/>
            <w:vMerge/>
            <w:tcBorders>
              <w:top w:val="nil"/>
              <w:left w:val="single" w:sz="12" w:space="0" w:color="FFFFFF" w:themeColor="background1"/>
              <w:bottom w:val="single" w:sz="12" w:space="0" w:color="FFFFFF" w:themeColor="background1"/>
              <w:right w:val="single" w:sz="12" w:space="0" w:color="FFFFFF" w:themeColor="background1"/>
            </w:tcBorders>
            <w:shd w:val="clear" w:color="auto" w:fill="000000" w:themeFill="text1"/>
          </w:tcPr>
          <w:p w14:paraId="76F2519B" w14:textId="77777777" w:rsidR="00F1343E" w:rsidRPr="00DA6EDE" w:rsidRDefault="00F1343E" w:rsidP="00287ED9">
            <w:pPr>
              <w:rPr>
                <w:sz w:val="19"/>
                <w:szCs w:val="19"/>
              </w:rPr>
            </w:pPr>
          </w:p>
        </w:tc>
        <w:tc>
          <w:tcPr>
            <w:tcW w:w="422" w:type="dxa"/>
            <w:gridSpan w:val="2"/>
            <w:vMerge/>
            <w:tcBorders>
              <w:left w:val="single" w:sz="12" w:space="0" w:color="FFFFFF" w:themeColor="background1"/>
              <w:bottom w:val="nil"/>
              <w:right w:val="single" w:sz="12" w:space="0" w:color="FFFFFF" w:themeColor="background1"/>
            </w:tcBorders>
          </w:tcPr>
          <w:p w14:paraId="114A5A76" w14:textId="77777777" w:rsidR="00F1343E" w:rsidRPr="00DA6EDE" w:rsidRDefault="00F1343E" w:rsidP="00287ED9">
            <w:pPr>
              <w:rPr>
                <w:sz w:val="19"/>
                <w:szCs w:val="19"/>
              </w:rPr>
            </w:pPr>
          </w:p>
        </w:tc>
        <w:tc>
          <w:tcPr>
            <w:tcW w:w="884" w:type="dxa"/>
            <w:gridSpan w:val="4"/>
            <w:vMerge/>
            <w:tcBorders>
              <w:top w:val="nil"/>
              <w:left w:val="single" w:sz="12" w:space="0" w:color="FFFFFF" w:themeColor="background1"/>
              <w:bottom w:val="single" w:sz="12" w:space="0" w:color="FFFFFF" w:themeColor="background1"/>
              <w:right w:val="single" w:sz="12" w:space="0" w:color="FFFFFF" w:themeColor="background1"/>
            </w:tcBorders>
            <w:shd w:val="clear" w:color="auto" w:fill="000000" w:themeFill="text1"/>
          </w:tcPr>
          <w:p w14:paraId="6C7D1251" w14:textId="77777777" w:rsidR="00F1343E" w:rsidRPr="00DA6EDE" w:rsidRDefault="00F1343E" w:rsidP="00287ED9">
            <w:pPr>
              <w:rPr>
                <w:sz w:val="19"/>
                <w:szCs w:val="19"/>
              </w:rPr>
            </w:pPr>
          </w:p>
        </w:tc>
        <w:tc>
          <w:tcPr>
            <w:tcW w:w="236" w:type="dxa"/>
            <w:tcBorders>
              <w:top w:val="nil"/>
              <w:left w:val="single" w:sz="12" w:space="0" w:color="FFFFFF" w:themeColor="background1"/>
              <w:bottom w:val="nil"/>
              <w:right w:val="single" w:sz="12" w:space="0" w:color="FFFFFF" w:themeColor="background1"/>
            </w:tcBorders>
          </w:tcPr>
          <w:p w14:paraId="1534A923" w14:textId="77777777" w:rsidR="00F1343E" w:rsidRPr="00DA6EDE" w:rsidRDefault="00F1343E" w:rsidP="00287ED9">
            <w:pPr>
              <w:rPr>
                <w:sz w:val="19"/>
                <w:szCs w:val="19"/>
              </w:rPr>
            </w:pPr>
          </w:p>
        </w:tc>
        <w:tc>
          <w:tcPr>
            <w:tcW w:w="875" w:type="dxa"/>
            <w:gridSpan w:val="4"/>
            <w:vMerge/>
            <w:tcBorders>
              <w:top w:val="nil"/>
              <w:left w:val="single" w:sz="12" w:space="0" w:color="FFFFFF" w:themeColor="background1"/>
              <w:bottom w:val="single" w:sz="12" w:space="0" w:color="FFFFFF" w:themeColor="background1"/>
              <w:right w:val="single" w:sz="12" w:space="0" w:color="FFFFFF" w:themeColor="background1"/>
            </w:tcBorders>
            <w:shd w:val="clear" w:color="auto" w:fill="000000" w:themeFill="text1"/>
          </w:tcPr>
          <w:p w14:paraId="204952FF" w14:textId="77777777" w:rsidR="00F1343E" w:rsidRPr="00DA6EDE" w:rsidRDefault="00F1343E" w:rsidP="00287ED9">
            <w:pPr>
              <w:rPr>
                <w:sz w:val="19"/>
                <w:szCs w:val="19"/>
              </w:rPr>
            </w:pPr>
          </w:p>
        </w:tc>
      </w:tr>
    </w:tbl>
    <w:p w14:paraId="6875F529" w14:textId="77777777" w:rsidR="009557BF" w:rsidRDefault="009557BF" w:rsidP="00287ED9">
      <w:pPr>
        <w:spacing w:line="240" w:lineRule="auto"/>
        <w:jc w:val="right"/>
        <w:rPr>
          <w:rFonts w:ascii="Verdana" w:hAnsi="Verdana" w:cs="Arial"/>
          <w:sz w:val="16"/>
          <w:szCs w:val="16"/>
        </w:rPr>
      </w:pPr>
    </w:p>
    <w:p w14:paraId="2BA2F5E0" w14:textId="0A103C8D" w:rsidR="00F60359" w:rsidRPr="00F1343E" w:rsidRDefault="00F60359" w:rsidP="00287ED9">
      <w:pPr>
        <w:spacing w:line="240" w:lineRule="auto"/>
        <w:jc w:val="right"/>
        <w:rPr>
          <w:rFonts w:ascii="Verdana" w:hAnsi="Verdana" w:cs="Arial"/>
          <w:sz w:val="16"/>
          <w:szCs w:val="16"/>
        </w:rPr>
      </w:pPr>
      <w:r w:rsidRPr="00F1343E">
        <w:rPr>
          <w:rFonts w:ascii="Verdana" w:hAnsi="Verdana" w:cs="Arial"/>
          <w:sz w:val="16"/>
          <w:szCs w:val="16"/>
        </w:rPr>
        <w:t>Fig</w:t>
      </w:r>
      <w:r w:rsidR="00933236">
        <w:rPr>
          <w:rFonts w:ascii="Verdana" w:hAnsi="Verdana" w:cs="Arial"/>
          <w:sz w:val="16"/>
          <w:szCs w:val="16"/>
        </w:rPr>
        <w:t>ure</w:t>
      </w:r>
      <w:r w:rsidRPr="00F1343E">
        <w:rPr>
          <w:rFonts w:ascii="Verdana" w:hAnsi="Verdana" w:cs="Arial"/>
          <w:sz w:val="16"/>
          <w:szCs w:val="16"/>
        </w:rPr>
        <w:t xml:space="preserve"> 2. Progress with Audit Plans 2022 to date  </w:t>
      </w:r>
    </w:p>
    <w:p w14:paraId="021C61AB" w14:textId="747809A5" w:rsidR="00774D5E" w:rsidRPr="00774D5E" w:rsidRDefault="00227D9B" w:rsidP="00287ED9">
      <w:pPr>
        <w:spacing w:before="100" w:beforeAutospacing="1" w:after="100" w:afterAutospacing="1" w:line="240" w:lineRule="auto"/>
        <w:rPr>
          <w:rFonts w:ascii="Verdana" w:eastAsia="Times New Roman" w:hAnsi="Verdana" w:cs="Segoe UI"/>
          <w:sz w:val="24"/>
          <w:szCs w:val="24"/>
          <w:lang w:eastAsia="en-GB"/>
        </w:rPr>
      </w:pPr>
      <w:r>
        <w:rPr>
          <w:rFonts w:ascii="Verdana" w:eastAsia="Times New Roman" w:hAnsi="Verdana" w:cs="Segoe UI"/>
          <w:sz w:val="24"/>
          <w:szCs w:val="24"/>
          <w:lang w:eastAsia="en-GB"/>
        </w:rPr>
        <w:t>As previously reported, t</w:t>
      </w:r>
      <w:r w:rsidR="00774D5E" w:rsidRPr="00774D5E">
        <w:rPr>
          <w:rFonts w:ascii="Verdana" w:eastAsia="Times New Roman" w:hAnsi="Verdana" w:cs="Segoe UI"/>
          <w:sz w:val="24"/>
          <w:szCs w:val="24"/>
          <w:lang w:eastAsia="en-GB"/>
        </w:rPr>
        <w:t xml:space="preserve">he 2022/23 audit period closed with 96% of topics accounted for. Historically, completion rates </w:t>
      </w:r>
      <w:r w:rsidR="003E2BE0">
        <w:rPr>
          <w:rFonts w:ascii="Verdana" w:eastAsia="Times New Roman" w:hAnsi="Verdana" w:cs="Segoe UI"/>
          <w:sz w:val="24"/>
          <w:szCs w:val="24"/>
          <w:lang w:eastAsia="en-GB"/>
        </w:rPr>
        <w:t xml:space="preserve">for plans </w:t>
      </w:r>
      <w:r w:rsidR="00774D5E" w:rsidRPr="00774D5E">
        <w:rPr>
          <w:rFonts w:ascii="Verdana" w:eastAsia="Times New Roman" w:hAnsi="Verdana" w:cs="Segoe UI"/>
          <w:sz w:val="24"/>
          <w:szCs w:val="24"/>
          <w:lang w:eastAsia="en-GB"/>
        </w:rPr>
        <w:t>had peaked at approximately 45–50%, and progress beyond the audit period was not routinely tracked or actively followed up.</w:t>
      </w:r>
    </w:p>
    <w:p w14:paraId="15DB8F7A" w14:textId="7F97E251" w:rsidR="00774D5E" w:rsidRDefault="00774D5E" w:rsidP="00287ED9">
      <w:pPr>
        <w:spacing w:before="100" w:beforeAutospacing="1" w:after="100" w:afterAutospacing="1" w:line="240" w:lineRule="auto"/>
        <w:rPr>
          <w:rFonts w:ascii="Verdana" w:eastAsia="Times New Roman" w:hAnsi="Verdana" w:cs="Segoe UI"/>
          <w:sz w:val="24"/>
          <w:szCs w:val="24"/>
          <w:lang w:eastAsia="en-GB"/>
        </w:rPr>
      </w:pPr>
      <w:r w:rsidRPr="00774D5E">
        <w:rPr>
          <w:rFonts w:ascii="Verdana" w:eastAsia="Times New Roman" w:hAnsi="Verdana" w:cs="Segoe UI"/>
          <w:sz w:val="24"/>
          <w:szCs w:val="24"/>
          <w:lang w:eastAsia="en-GB"/>
        </w:rPr>
        <w:t xml:space="preserve">Completion rates for the 2024–26 audit period have improved to 72% as at </w:t>
      </w:r>
      <w:r w:rsidR="00227D9B">
        <w:rPr>
          <w:rFonts w:ascii="Verdana" w:eastAsia="Times New Roman" w:hAnsi="Verdana" w:cs="Segoe UI"/>
          <w:sz w:val="24"/>
          <w:szCs w:val="24"/>
          <w:lang w:eastAsia="en-GB"/>
        </w:rPr>
        <w:t>1st</w:t>
      </w:r>
      <w:r w:rsidRPr="00774D5E">
        <w:rPr>
          <w:rFonts w:ascii="Verdana" w:eastAsia="Times New Roman" w:hAnsi="Verdana" w:cs="Segoe UI"/>
          <w:sz w:val="24"/>
          <w:szCs w:val="24"/>
          <w:lang w:eastAsia="en-GB"/>
        </w:rPr>
        <w:t xml:space="preserve"> April 2026, despite significant time and resource being diverted to the implementation and population of the new Clinical Audit App.</w:t>
      </w:r>
    </w:p>
    <w:p w14:paraId="231BF133" w14:textId="77777777" w:rsidR="00774D5E" w:rsidRPr="00774D5E" w:rsidRDefault="00774D5E" w:rsidP="00287ED9">
      <w:pPr>
        <w:spacing w:before="100" w:beforeAutospacing="1" w:after="100" w:afterAutospacing="1" w:line="240" w:lineRule="auto"/>
        <w:rPr>
          <w:rFonts w:ascii="Verdana" w:eastAsia="Times New Roman" w:hAnsi="Verdana" w:cs="Segoe UI"/>
          <w:sz w:val="24"/>
          <w:szCs w:val="24"/>
          <w:lang w:eastAsia="en-GB"/>
        </w:rPr>
      </w:pPr>
      <w:r w:rsidRPr="00774D5E">
        <w:rPr>
          <w:rFonts w:ascii="Verdana" w:eastAsia="Times New Roman" w:hAnsi="Verdana" w:cs="Segoe UI"/>
          <w:sz w:val="24"/>
          <w:szCs w:val="24"/>
          <w:lang w:eastAsia="en-GB"/>
        </w:rPr>
        <w:t>In 2025, COEG introduced a requirement for Service Groups to present on key agenda items on a rotational basis. This was supported by the development of a new dashboard linking directly to individual audit records, designed to prompt timely action by Audit Leads and Project Contacts where required. This level of visibility and linkage was not achievable using the previous AMaT system.</w:t>
      </w:r>
    </w:p>
    <w:p w14:paraId="0200ECA6" w14:textId="59F7270D" w:rsidR="00774D5E" w:rsidRPr="003E2BE0" w:rsidRDefault="00774D5E" w:rsidP="00287ED9">
      <w:pPr>
        <w:spacing w:before="100" w:beforeAutospacing="1" w:after="100" w:afterAutospacing="1" w:line="240" w:lineRule="auto"/>
        <w:rPr>
          <w:rFonts w:ascii="Verdana" w:eastAsia="Times New Roman" w:hAnsi="Verdana" w:cs="Segoe UI"/>
          <w:sz w:val="24"/>
          <w:szCs w:val="24"/>
          <w:lang w:eastAsia="en-GB"/>
        </w:rPr>
      </w:pPr>
      <w:r>
        <w:rPr>
          <w:rFonts w:ascii="Verdana" w:eastAsia="Times New Roman" w:hAnsi="Verdana" w:cs="Segoe UI"/>
          <w:sz w:val="24"/>
          <w:szCs w:val="24"/>
          <w:lang w:eastAsia="en-GB"/>
        </w:rPr>
        <w:t xml:space="preserve">Sickness absence, staff </w:t>
      </w:r>
      <w:r w:rsidRPr="00774D5E">
        <w:rPr>
          <w:rFonts w:ascii="Verdana" w:eastAsia="Times New Roman" w:hAnsi="Verdana" w:cs="Segoe UI"/>
          <w:sz w:val="24"/>
          <w:szCs w:val="24"/>
          <w:lang w:eastAsia="en-GB"/>
        </w:rPr>
        <w:t xml:space="preserve">turnover and increasing, competing priorities within the CAED work programme have impacted the capacity to </w:t>
      </w:r>
      <w:r w:rsidRPr="00774D5E">
        <w:rPr>
          <w:rFonts w:ascii="Verdana" w:eastAsia="Times New Roman" w:hAnsi="Verdana" w:cs="Segoe UI"/>
          <w:sz w:val="24"/>
          <w:szCs w:val="24"/>
          <w:lang w:eastAsia="en-GB"/>
        </w:rPr>
        <w:lastRenderedPageBreak/>
        <w:t>undertake frequent manual follow</w:t>
      </w:r>
      <w:r w:rsidRPr="00774D5E">
        <w:rPr>
          <w:rFonts w:ascii="Verdana" w:eastAsia="Times New Roman" w:hAnsi="Verdana" w:cs="Segoe UI"/>
          <w:sz w:val="24"/>
          <w:szCs w:val="24"/>
          <w:lang w:eastAsia="en-GB"/>
        </w:rPr>
        <w:noBreakHyphen/>
        <w:t>up through emails and meetings with Audit Leads to resolve outstanding actions. The introduction of a summarised overview at</w:t>
      </w:r>
      <w:r w:rsidRPr="00774D5E">
        <w:rPr>
          <w:rFonts w:ascii="Segoe UI" w:eastAsia="Times New Roman" w:hAnsi="Segoe UI" w:cs="Segoe UI"/>
          <w:sz w:val="21"/>
          <w:szCs w:val="21"/>
          <w:lang w:eastAsia="en-GB"/>
        </w:rPr>
        <w:t xml:space="preserve"> </w:t>
      </w:r>
      <w:r w:rsidRPr="003E2BE0">
        <w:rPr>
          <w:rFonts w:ascii="Verdana" w:eastAsia="Times New Roman" w:hAnsi="Verdana" w:cs="Segoe UI"/>
          <w:sz w:val="24"/>
          <w:szCs w:val="24"/>
          <w:lang w:eastAsia="en-GB"/>
        </w:rPr>
        <w:t>monthly COEG meetings, alongside the new app developed for the 2026–28 planning round, will support improved visibility and easier identification of outstanding tasks.</w:t>
      </w:r>
    </w:p>
    <w:p w14:paraId="1E504E8F" w14:textId="57A77C4C" w:rsidR="00B50F71" w:rsidRPr="00FC2C90" w:rsidRDefault="00B50F71" w:rsidP="00287ED9">
      <w:pPr>
        <w:spacing w:line="240" w:lineRule="auto"/>
        <w:rPr>
          <w:rFonts w:ascii="Verdana" w:hAnsi="Verdana" w:cs="Arial"/>
          <w:b/>
          <w:bCs/>
          <w:sz w:val="24"/>
          <w:szCs w:val="24"/>
        </w:rPr>
      </w:pPr>
      <w:r w:rsidRPr="00FC2C90">
        <w:rPr>
          <w:rFonts w:ascii="Verdana" w:hAnsi="Verdana" w:cs="Arial"/>
          <w:b/>
          <w:bCs/>
          <w:sz w:val="24"/>
          <w:szCs w:val="24"/>
        </w:rPr>
        <w:t>2.4 Governance</w:t>
      </w:r>
    </w:p>
    <w:p w14:paraId="1FEE3CCC" w14:textId="77777777" w:rsidR="00D671DE" w:rsidRPr="00D671DE" w:rsidRDefault="00D671DE" w:rsidP="00287ED9">
      <w:pPr>
        <w:spacing w:before="100" w:beforeAutospacing="1" w:after="100" w:afterAutospacing="1" w:line="240" w:lineRule="auto"/>
        <w:rPr>
          <w:rFonts w:ascii="Verdana" w:eastAsia="Times New Roman" w:hAnsi="Verdana" w:cs="Segoe UI"/>
          <w:sz w:val="24"/>
          <w:szCs w:val="24"/>
          <w:lang w:eastAsia="en-GB"/>
        </w:rPr>
      </w:pPr>
      <w:r w:rsidRPr="00D671DE">
        <w:rPr>
          <w:rFonts w:ascii="Verdana" w:eastAsia="Times New Roman" w:hAnsi="Verdana" w:cs="Segoe UI"/>
          <w:sz w:val="24"/>
          <w:szCs w:val="24"/>
          <w:lang w:eastAsia="en-GB"/>
        </w:rPr>
        <w:t>Timely registration and reporting of clinical audit activity and outcomes is a Health Board requirement. Historically, some audit topics were not formally registered, limiting organisational learning and assurance.</w:t>
      </w:r>
    </w:p>
    <w:p w14:paraId="119F1363" w14:textId="77777777" w:rsidR="00D671DE" w:rsidRPr="00D671DE" w:rsidRDefault="00D671DE" w:rsidP="00287ED9">
      <w:pPr>
        <w:spacing w:before="100" w:beforeAutospacing="1" w:after="100" w:afterAutospacing="1" w:line="240" w:lineRule="auto"/>
        <w:rPr>
          <w:rFonts w:ascii="Verdana" w:eastAsia="Times New Roman" w:hAnsi="Verdana" w:cs="Segoe UI"/>
          <w:sz w:val="24"/>
          <w:szCs w:val="24"/>
          <w:lang w:eastAsia="en-GB"/>
        </w:rPr>
      </w:pPr>
      <w:r w:rsidRPr="00D671DE">
        <w:rPr>
          <w:rFonts w:ascii="Verdana" w:eastAsia="Times New Roman" w:hAnsi="Verdana" w:cs="Segoe UI"/>
          <w:sz w:val="24"/>
          <w:szCs w:val="24"/>
          <w:lang w:eastAsia="en-GB"/>
        </w:rPr>
        <w:t>The introduction of the Clinical Audit App is intended to reduce unregistered audit activity by supporting proposal and approval processes and providing easy access to Health Board Priority Audit topics and required re</w:t>
      </w:r>
      <w:r w:rsidRPr="00D671DE">
        <w:rPr>
          <w:rFonts w:ascii="Verdana" w:eastAsia="Times New Roman" w:hAnsi="Verdana" w:cs="Segoe UI"/>
          <w:sz w:val="24"/>
          <w:szCs w:val="24"/>
          <w:lang w:eastAsia="en-GB"/>
        </w:rPr>
        <w:noBreakHyphen/>
        <w:t>audits. In support of the Executive Medical Director’s Audit Hierarchy, retrospective registration of audit activity is not permitted.</w:t>
      </w:r>
    </w:p>
    <w:p w14:paraId="1EB77610" w14:textId="77777777" w:rsidR="00D671DE" w:rsidRPr="00D671DE" w:rsidRDefault="00D671DE" w:rsidP="00287ED9">
      <w:pPr>
        <w:spacing w:before="100" w:beforeAutospacing="1" w:after="100" w:afterAutospacing="1" w:line="240" w:lineRule="auto"/>
        <w:rPr>
          <w:rFonts w:ascii="Verdana" w:eastAsia="Times New Roman" w:hAnsi="Verdana" w:cs="Segoe UI"/>
          <w:sz w:val="24"/>
          <w:szCs w:val="24"/>
          <w:lang w:eastAsia="en-GB"/>
        </w:rPr>
      </w:pPr>
      <w:r w:rsidRPr="00D671DE">
        <w:rPr>
          <w:rFonts w:ascii="Verdana" w:eastAsia="Times New Roman" w:hAnsi="Verdana" w:cs="Segoe UI"/>
          <w:sz w:val="24"/>
          <w:szCs w:val="24"/>
          <w:lang w:eastAsia="en-GB"/>
        </w:rPr>
        <w:t>The SharePoint</w:t>
      </w:r>
      <w:r w:rsidRPr="00D671DE">
        <w:rPr>
          <w:rFonts w:ascii="Verdana" w:eastAsia="Times New Roman" w:hAnsi="Verdana" w:cs="Segoe UI"/>
          <w:sz w:val="24"/>
          <w:szCs w:val="24"/>
          <w:lang w:eastAsia="en-GB"/>
        </w:rPr>
        <w:noBreakHyphen/>
        <w:t>based Clinical Audit App was implemented in February 2026 following extensive testing. It supports audit prioritisation, planning and monitoring, outcome recording, Risk Assurance Matrix scoring, and documentation of resulting actions. Emergent audits, Medical Student projects, and additional regional or national topics not included in the Level 1 Welsh Government programme are recorded using the same process.</w:t>
      </w:r>
    </w:p>
    <w:p w14:paraId="7F390705" w14:textId="3364E267" w:rsidR="00D671DE" w:rsidRPr="00D671DE" w:rsidRDefault="00D671DE" w:rsidP="00287ED9">
      <w:pPr>
        <w:spacing w:before="100" w:beforeAutospacing="1" w:after="100" w:afterAutospacing="1" w:line="240" w:lineRule="auto"/>
        <w:rPr>
          <w:rFonts w:ascii="Verdana" w:eastAsia="Times New Roman" w:hAnsi="Verdana" w:cs="Segoe UI"/>
          <w:sz w:val="24"/>
          <w:szCs w:val="24"/>
          <w:lang w:eastAsia="en-GB"/>
        </w:rPr>
      </w:pPr>
      <w:r w:rsidRPr="00D671DE">
        <w:rPr>
          <w:rFonts w:ascii="Verdana" w:eastAsia="Times New Roman" w:hAnsi="Verdana" w:cs="Segoe UI"/>
          <w:sz w:val="24"/>
          <w:szCs w:val="24"/>
          <w:lang w:eastAsia="en-GB"/>
        </w:rPr>
        <w:t>For 2026–27, the Planning Round ran from January to mid</w:t>
      </w:r>
      <w:r w:rsidRPr="00D671DE">
        <w:rPr>
          <w:rFonts w:ascii="Verdana" w:eastAsia="Times New Roman" w:hAnsi="Verdana" w:cs="Segoe UI"/>
          <w:sz w:val="24"/>
          <w:szCs w:val="24"/>
          <w:lang w:eastAsia="en-GB"/>
        </w:rPr>
        <w:noBreakHyphen/>
        <w:t>March, with plans approved at COEG on 13 March 2026. These included rolled</w:t>
      </w:r>
      <w:r w:rsidRPr="00D671DE">
        <w:rPr>
          <w:rFonts w:ascii="Verdana" w:eastAsia="Times New Roman" w:hAnsi="Verdana" w:cs="Segoe UI"/>
          <w:sz w:val="24"/>
          <w:szCs w:val="24"/>
          <w:lang w:eastAsia="en-GB"/>
        </w:rPr>
        <w:noBreakHyphen/>
        <w:t>over incomplete audits, triggered and department</w:t>
      </w:r>
      <w:r w:rsidRPr="00D671DE">
        <w:rPr>
          <w:rFonts w:ascii="Verdana" w:eastAsia="Times New Roman" w:hAnsi="Verdana" w:cs="Segoe UI"/>
          <w:sz w:val="24"/>
          <w:szCs w:val="24"/>
          <w:lang w:eastAsia="en-GB"/>
        </w:rPr>
        <w:noBreakHyphen/>
        <w:t>listed re</w:t>
      </w:r>
      <w:r w:rsidRPr="00D671DE">
        <w:rPr>
          <w:rFonts w:ascii="Verdana" w:eastAsia="Times New Roman" w:hAnsi="Verdana" w:cs="Segoe UI"/>
          <w:sz w:val="24"/>
          <w:szCs w:val="24"/>
          <w:lang w:eastAsia="en-GB"/>
        </w:rPr>
        <w:noBreakHyphen/>
        <w:t>audits, and known new requirements. Re</w:t>
      </w:r>
      <w:r w:rsidRPr="00D671DE">
        <w:rPr>
          <w:rFonts w:ascii="Verdana" w:eastAsia="Times New Roman" w:hAnsi="Verdana" w:cs="Segoe UI"/>
          <w:sz w:val="24"/>
          <w:szCs w:val="24"/>
          <w:lang w:eastAsia="en-GB"/>
        </w:rPr>
        <w:noBreakHyphen/>
        <w:t>audits identified outside the Planning Round are recorded on the wider Audit Programme</w:t>
      </w:r>
      <w:r w:rsidR="00196071">
        <w:rPr>
          <w:rFonts w:ascii="Verdana" w:eastAsia="Times New Roman" w:hAnsi="Verdana" w:cs="Segoe UI"/>
          <w:sz w:val="24"/>
          <w:szCs w:val="24"/>
          <w:lang w:eastAsia="en-GB"/>
        </w:rPr>
        <w:t>.</w:t>
      </w:r>
    </w:p>
    <w:p w14:paraId="43A734D5" w14:textId="77777777" w:rsidR="00196071" w:rsidRPr="00A77C42" w:rsidRDefault="00196071" w:rsidP="00287ED9">
      <w:pPr>
        <w:pStyle w:val="Heading3"/>
        <w:spacing w:line="240" w:lineRule="auto"/>
        <w:rPr>
          <w:rFonts w:ascii="Verdana" w:hAnsi="Verdana" w:cs="Segoe UI"/>
          <w:b/>
          <w:bCs/>
          <w:color w:val="auto"/>
          <w:sz w:val="24"/>
          <w:szCs w:val="24"/>
        </w:rPr>
      </w:pPr>
      <w:r w:rsidRPr="00A77C42">
        <w:rPr>
          <w:rFonts w:ascii="Verdana" w:hAnsi="Verdana" w:cs="Segoe UI"/>
          <w:b/>
          <w:bCs/>
          <w:color w:val="auto"/>
          <w:sz w:val="24"/>
          <w:szCs w:val="24"/>
        </w:rPr>
        <w:t>2.5 Re</w:t>
      </w:r>
      <w:r w:rsidRPr="00A77C42">
        <w:rPr>
          <w:rFonts w:ascii="Verdana" w:hAnsi="Verdana" w:cs="Segoe UI"/>
          <w:b/>
          <w:bCs/>
          <w:color w:val="auto"/>
          <w:sz w:val="24"/>
          <w:szCs w:val="24"/>
        </w:rPr>
        <w:noBreakHyphen/>
        <w:t>audit</w:t>
      </w:r>
    </w:p>
    <w:p w14:paraId="00A29B49" w14:textId="0960020F" w:rsidR="00196071" w:rsidRPr="00A77C42" w:rsidRDefault="00196071" w:rsidP="00287ED9">
      <w:pPr>
        <w:pStyle w:val="NormalWeb"/>
        <w:rPr>
          <w:rFonts w:ascii="Verdana" w:hAnsi="Verdana" w:cs="Segoe UI"/>
        </w:rPr>
      </w:pPr>
      <w:r w:rsidRPr="00A77C42">
        <w:rPr>
          <w:rFonts w:ascii="Verdana" w:hAnsi="Verdana" w:cs="Segoe UI"/>
        </w:rPr>
        <w:t>71 projects on the Audit Programme were identified as re</w:t>
      </w:r>
      <w:r w:rsidRPr="00A77C42">
        <w:rPr>
          <w:rFonts w:ascii="Verdana" w:hAnsi="Verdana" w:cs="Segoe UI"/>
        </w:rPr>
        <w:noBreakHyphen/>
        <w:t>audits. Of these, 26 were subsequently removed due to alternative improvement approaches (</w:t>
      </w:r>
      <w:r w:rsidR="00F24549" w:rsidRPr="00A77C42">
        <w:rPr>
          <w:rFonts w:ascii="Verdana" w:hAnsi="Verdana" w:cs="Segoe UI"/>
        </w:rPr>
        <w:t>e.g.,</w:t>
      </w:r>
      <w:r w:rsidRPr="00A77C42">
        <w:rPr>
          <w:rFonts w:ascii="Verdana" w:hAnsi="Verdana" w:cs="Segoe UI"/>
        </w:rPr>
        <w:t xml:space="preserve"> Quality Improvement work), rejected proposals, or service changes. Of the remaining 45 re</w:t>
      </w:r>
      <w:r w:rsidRPr="00A77C42">
        <w:rPr>
          <w:rFonts w:ascii="Verdana" w:hAnsi="Verdana" w:cs="Segoe UI"/>
        </w:rPr>
        <w:noBreakHyphen/>
        <w:t>audits, 37 have been completed to date.</w:t>
      </w:r>
    </w:p>
    <w:p w14:paraId="722B84F6" w14:textId="62D91B17" w:rsidR="00B50F71" w:rsidRPr="00FC2C90" w:rsidRDefault="00B50F71" w:rsidP="00E755E5">
      <w:pPr>
        <w:spacing w:line="276" w:lineRule="auto"/>
        <w:rPr>
          <w:rFonts w:ascii="Verdana" w:hAnsi="Verdana" w:cs="Arial"/>
          <w:b/>
          <w:bCs/>
          <w:sz w:val="24"/>
          <w:szCs w:val="24"/>
        </w:rPr>
      </w:pPr>
      <w:r w:rsidRPr="00FC2C90">
        <w:rPr>
          <w:rFonts w:ascii="Verdana" w:hAnsi="Verdana" w:cs="Arial"/>
          <w:b/>
          <w:bCs/>
          <w:sz w:val="24"/>
          <w:szCs w:val="24"/>
        </w:rPr>
        <w:t>2.6 NICE</w:t>
      </w:r>
      <w:r w:rsidR="0037720E" w:rsidRPr="00FC2C90">
        <w:rPr>
          <w:rFonts w:ascii="Verdana" w:hAnsi="Verdana" w:cs="Arial"/>
          <w:b/>
          <w:bCs/>
          <w:sz w:val="24"/>
          <w:szCs w:val="24"/>
        </w:rPr>
        <w:t>/</w:t>
      </w:r>
      <w:r w:rsidRPr="00FC2C90">
        <w:rPr>
          <w:rFonts w:ascii="Verdana" w:hAnsi="Verdana" w:cs="Arial"/>
          <w:b/>
          <w:bCs/>
          <w:sz w:val="24"/>
          <w:szCs w:val="24"/>
        </w:rPr>
        <w:t>Health</w:t>
      </w:r>
      <w:r w:rsidR="00973528" w:rsidRPr="00FC2C90">
        <w:rPr>
          <w:rFonts w:ascii="Verdana" w:hAnsi="Verdana" w:cs="Arial"/>
          <w:b/>
          <w:bCs/>
          <w:sz w:val="24"/>
          <w:szCs w:val="24"/>
        </w:rPr>
        <w:t xml:space="preserve"> </w:t>
      </w:r>
      <w:r w:rsidRPr="00FC2C90">
        <w:rPr>
          <w:rFonts w:ascii="Verdana" w:hAnsi="Verdana" w:cs="Arial"/>
          <w:b/>
          <w:bCs/>
          <w:sz w:val="24"/>
          <w:szCs w:val="24"/>
        </w:rPr>
        <w:t>Technology Wales (HTW) Guidance and Recommendations</w:t>
      </w:r>
    </w:p>
    <w:p w14:paraId="2FA88F0F" w14:textId="77777777" w:rsidR="00F6447B" w:rsidRPr="00F6447B" w:rsidRDefault="00F6447B" w:rsidP="007F67A0">
      <w:pPr>
        <w:spacing w:before="100" w:beforeAutospacing="1" w:after="100" w:afterAutospacing="1" w:line="240" w:lineRule="auto"/>
        <w:rPr>
          <w:rFonts w:ascii="Verdana" w:eastAsia="Times New Roman" w:hAnsi="Verdana" w:cs="Segoe UI"/>
          <w:sz w:val="24"/>
          <w:szCs w:val="24"/>
          <w:lang w:eastAsia="en-GB"/>
        </w:rPr>
      </w:pPr>
      <w:r w:rsidRPr="00F6447B">
        <w:rPr>
          <w:rFonts w:ascii="Verdana" w:eastAsia="Times New Roman" w:hAnsi="Verdana" w:cs="Segoe UI"/>
          <w:sz w:val="24"/>
          <w:szCs w:val="24"/>
          <w:lang w:eastAsia="en-GB"/>
        </w:rPr>
        <w:t xml:space="preserve">The Clinical Outcomes and Effectiveness Group (COEG) continues to monitor Health Board compliance with newly published and revised National Institute for Health and Care Excellence (NICE) and Health Technology Wales (HTW) guidance. Senior staff within the Executive Medical Directors Department and Service Groups identify the most </w:t>
      </w:r>
      <w:r w:rsidRPr="00F6447B">
        <w:rPr>
          <w:rFonts w:ascii="Verdana" w:eastAsia="Times New Roman" w:hAnsi="Verdana" w:cs="Segoe UI"/>
          <w:sz w:val="24"/>
          <w:szCs w:val="24"/>
          <w:lang w:eastAsia="en-GB"/>
        </w:rPr>
        <w:lastRenderedPageBreak/>
        <w:t>appropriate individuals to provide assurance responses on behalf of the organisation.</w:t>
      </w:r>
    </w:p>
    <w:p w14:paraId="70850CD0" w14:textId="49B6F0A7" w:rsidR="00F6447B" w:rsidRPr="00F6447B" w:rsidRDefault="00F6447B" w:rsidP="007F67A0">
      <w:pPr>
        <w:spacing w:before="100" w:beforeAutospacing="1" w:after="100" w:afterAutospacing="1" w:line="240" w:lineRule="auto"/>
        <w:rPr>
          <w:rFonts w:ascii="Verdana" w:eastAsia="Times New Roman" w:hAnsi="Verdana" w:cs="Segoe UI"/>
          <w:sz w:val="24"/>
          <w:szCs w:val="24"/>
          <w:lang w:eastAsia="en-GB"/>
        </w:rPr>
      </w:pPr>
      <w:r w:rsidRPr="00F6447B">
        <w:rPr>
          <w:rFonts w:ascii="Verdana" w:eastAsia="Times New Roman" w:hAnsi="Verdana" w:cs="Segoe UI"/>
          <w:sz w:val="24"/>
          <w:szCs w:val="24"/>
          <w:lang w:eastAsia="en-GB"/>
        </w:rPr>
        <w:t>This process has historically been supported through SharePoint. However, work is underway to upgrade the system using PowerApps. During this transition</w:t>
      </w:r>
      <w:r w:rsidR="00AB7663">
        <w:rPr>
          <w:rFonts w:ascii="Verdana" w:eastAsia="Times New Roman" w:hAnsi="Verdana" w:cs="Segoe UI"/>
          <w:sz w:val="24"/>
          <w:szCs w:val="24"/>
          <w:lang w:eastAsia="en-GB"/>
        </w:rPr>
        <w:t xml:space="preserve">, </w:t>
      </w:r>
      <w:r w:rsidRPr="00F6447B">
        <w:rPr>
          <w:rFonts w:ascii="Verdana" w:eastAsia="Times New Roman" w:hAnsi="Verdana" w:cs="Segoe UI"/>
          <w:sz w:val="24"/>
          <w:szCs w:val="24"/>
          <w:lang w:eastAsia="en-GB"/>
        </w:rPr>
        <w:t>and in the context of capacity constraints within the Audit Team, the number of assurance responses issued has been limited</w:t>
      </w:r>
      <w:r w:rsidR="00760063">
        <w:rPr>
          <w:rFonts w:ascii="Verdana" w:eastAsia="Times New Roman" w:hAnsi="Verdana" w:cs="Segoe UI"/>
          <w:sz w:val="24"/>
          <w:szCs w:val="24"/>
          <w:lang w:eastAsia="en-GB"/>
        </w:rPr>
        <w:t xml:space="preserve"> and the </w:t>
      </w:r>
      <w:r w:rsidRPr="00F6447B">
        <w:rPr>
          <w:rFonts w:ascii="Verdana" w:eastAsia="Times New Roman" w:hAnsi="Verdana" w:cs="Segoe UI"/>
          <w:sz w:val="24"/>
          <w:szCs w:val="24"/>
          <w:lang w:eastAsia="en-GB"/>
        </w:rPr>
        <w:t>HTW Adoption Audit responses have been prioritised</w:t>
      </w:r>
      <w:r w:rsidR="00F06620">
        <w:rPr>
          <w:rFonts w:ascii="Verdana" w:eastAsia="Times New Roman" w:hAnsi="Verdana" w:cs="Segoe UI"/>
          <w:sz w:val="24"/>
          <w:szCs w:val="24"/>
          <w:lang w:eastAsia="en-GB"/>
        </w:rPr>
        <w:t xml:space="preserve">, affecting 11 guidance documents </w:t>
      </w:r>
      <w:r w:rsidR="00067766">
        <w:rPr>
          <w:rFonts w:ascii="Verdana" w:eastAsia="Times New Roman" w:hAnsi="Verdana" w:cs="Segoe UI"/>
          <w:sz w:val="24"/>
          <w:szCs w:val="24"/>
          <w:lang w:eastAsia="en-GB"/>
        </w:rPr>
        <w:t xml:space="preserve">yet to be issued </w:t>
      </w:r>
      <w:r w:rsidR="00F06620">
        <w:rPr>
          <w:rFonts w:ascii="Verdana" w:eastAsia="Times New Roman" w:hAnsi="Verdana" w:cs="Segoe UI"/>
          <w:sz w:val="24"/>
          <w:szCs w:val="24"/>
          <w:lang w:eastAsia="en-GB"/>
        </w:rPr>
        <w:t>for review and response.</w:t>
      </w:r>
    </w:p>
    <w:p w14:paraId="3B497AA7" w14:textId="0A3B124F" w:rsidR="00F6447B" w:rsidRPr="00F6447B" w:rsidRDefault="00F6447B" w:rsidP="007F67A0">
      <w:pPr>
        <w:spacing w:before="100" w:beforeAutospacing="1" w:after="100" w:afterAutospacing="1" w:line="240" w:lineRule="auto"/>
        <w:rPr>
          <w:rFonts w:ascii="Verdana" w:eastAsia="Times New Roman" w:hAnsi="Verdana" w:cs="Segoe UI"/>
          <w:sz w:val="24"/>
          <w:szCs w:val="24"/>
          <w:lang w:eastAsia="en-GB"/>
        </w:rPr>
      </w:pPr>
      <w:r w:rsidRPr="00F6447B">
        <w:rPr>
          <w:rFonts w:ascii="Verdana" w:eastAsia="Times New Roman" w:hAnsi="Verdana" w:cs="Segoe UI"/>
          <w:sz w:val="24"/>
          <w:szCs w:val="24"/>
          <w:lang w:eastAsia="en-GB"/>
        </w:rPr>
        <w:t>During 2025/26</w:t>
      </w:r>
      <w:r w:rsidR="00067766">
        <w:rPr>
          <w:rFonts w:ascii="Verdana" w:eastAsia="Times New Roman" w:hAnsi="Verdana" w:cs="Segoe UI"/>
          <w:sz w:val="24"/>
          <w:szCs w:val="24"/>
          <w:lang w:eastAsia="en-GB"/>
        </w:rPr>
        <w:t>,</w:t>
      </w:r>
      <w:r w:rsidRPr="00F6447B">
        <w:rPr>
          <w:rFonts w:ascii="Verdana" w:eastAsia="Times New Roman" w:hAnsi="Verdana" w:cs="Segoe UI"/>
          <w:sz w:val="24"/>
          <w:szCs w:val="24"/>
          <w:lang w:eastAsia="en-GB"/>
        </w:rPr>
        <w:t xml:space="preserve"> 43 guidance responses were issued</w:t>
      </w:r>
      <w:r w:rsidR="00760063">
        <w:rPr>
          <w:rFonts w:ascii="Verdana" w:eastAsia="Times New Roman" w:hAnsi="Verdana" w:cs="Segoe UI"/>
          <w:sz w:val="24"/>
          <w:szCs w:val="24"/>
          <w:lang w:eastAsia="en-GB"/>
        </w:rPr>
        <w:t xml:space="preserve">, </w:t>
      </w:r>
      <w:r>
        <w:rPr>
          <w:rFonts w:ascii="Verdana" w:eastAsia="Times New Roman" w:hAnsi="Verdana" w:cs="Segoe UI"/>
          <w:sz w:val="24"/>
          <w:szCs w:val="24"/>
          <w:lang w:eastAsia="en-GB"/>
        </w:rPr>
        <w:t>9</w:t>
      </w:r>
      <w:r w:rsidRPr="00F6447B">
        <w:rPr>
          <w:rFonts w:ascii="Verdana" w:eastAsia="Times New Roman" w:hAnsi="Verdana" w:cs="Segoe UI"/>
          <w:sz w:val="24"/>
          <w:szCs w:val="24"/>
          <w:lang w:eastAsia="en-GB"/>
        </w:rPr>
        <w:t xml:space="preserve"> </w:t>
      </w:r>
      <w:r w:rsidR="00760063">
        <w:rPr>
          <w:rFonts w:ascii="Verdana" w:eastAsia="Times New Roman" w:hAnsi="Verdana" w:cs="Segoe UI"/>
          <w:sz w:val="24"/>
          <w:szCs w:val="24"/>
          <w:lang w:eastAsia="en-GB"/>
        </w:rPr>
        <w:t xml:space="preserve">of which </w:t>
      </w:r>
      <w:r w:rsidRPr="00F6447B">
        <w:rPr>
          <w:rFonts w:ascii="Verdana" w:eastAsia="Times New Roman" w:hAnsi="Verdana" w:cs="Segoe UI"/>
          <w:sz w:val="24"/>
          <w:szCs w:val="24"/>
          <w:lang w:eastAsia="en-GB"/>
        </w:rPr>
        <w:t>related to the previous round of the HTW Adoption Audit</w:t>
      </w:r>
      <w:r w:rsidR="00760063">
        <w:rPr>
          <w:rFonts w:ascii="Verdana" w:eastAsia="Times New Roman" w:hAnsi="Verdana" w:cs="Segoe UI"/>
          <w:sz w:val="24"/>
          <w:szCs w:val="24"/>
          <w:lang w:eastAsia="en-GB"/>
        </w:rPr>
        <w:t xml:space="preserve">.  </w:t>
      </w:r>
      <w:r>
        <w:rPr>
          <w:rFonts w:ascii="Verdana" w:eastAsia="Times New Roman" w:hAnsi="Verdana" w:cs="Segoe UI"/>
          <w:sz w:val="24"/>
          <w:szCs w:val="24"/>
          <w:lang w:eastAsia="en-GB"/>
        </w:rPr>
        <w:t>8</w:t>
      </w:r>
      <w:r w:rsidR="00760063">
        <w:rPr>
          <w:rFonts w:ascii="Verdana" w:eastAsia="Times New Roman" w:hAnsi="Verdana" w:cs="Segoe UI"/>
          <w:sz w:val="24"/>
          <w:szCs w:val="24"/>
          <w:lang w:eastAsia="en-GB"/>
        </w:rPr>
        <w:t>/9</w:t>
      </w:r>
      <w:r w:rsidRPr="00F6447B">
        <w:rPr>
          <w:rFonts w:ascii="Verdana" w:eastAsia="Times New Roman" w:hAnsi="Verdana" w:cs="Segoe UI"/>
          <w:sz w:val="24"/>
          <w:szCs w:val="24"/>
          <w:lang w:eastAsia="en-GB"/>
        </w:rPr>
        <w:t xml:space="preserve"> were completed</w:t>
      </w:r>
      <w:r w:rsidR="00760063">
        <w:rPr>
          <w:rFonts w:ascii="Verdana" w:eastAsia="Times New Roman" w:hAnsi="Verdana" w:cs="Segoe UI"/>
          <w:sz w:val="24"/>
          <w:szCs w:val="24"/>
          <w:lang w:eastAsia="en-GB"/>
        </w:rPr>
        <w:t xml:space="preserve"> and submitted.  </w:t>
      </w:r>
      <w:r w:rsidRPr="00F6447B">
        <w:rPr>
          <w:rFonts w:ascii="Verdana" w:eastAsia="Times New Roman" w:hAnsi="Verdana" w:cs="Segoe UI"/>
          <w:sz w:val="24"/>
          <w:szCs w:val="24"/>
          <w:lang w:eastAsia="en-GB"/>
        </w:rPr>
        <w:t xml:space="preserve">It was not possible to complete the remaining </w:t>
      </w:r>
      <w:r w:rsidR="00760063">
        <w:rPr>
          <w:rFonts w:ascii="Verdana" w:eastAsia="Times New Roman" w:hAnsi="Verdana" w:cs="Segoe UI"/>
          <w:sz w:val="24"/>
          <w:szCs w:val="24"/>
          <w:lang w:eastAsia="en-GB"/>
        </w:rPr>
        <w:t xml:space="preserve">response </w:t>
      </w:r>
      <w:r w:rsidRPr="00F6447B">
        <w:rPr>
          <w:rFonts w:ascii="Verdana" w:eastAsia="Times New Roman" w:hAnsi="Verdana" w:cs="Segoe UI"/>
          <w:sz w:val="24"/>
          <w:szCs w:val="24"/>
          <w:lang w:eastAsia="en-GB"/>
        </w:rPr>
        <w:t>due to the extended absence of the identified subject matter expert.</w:t>
      </w:r>
    </w:p>
    <w:p w14:paraId="0CF33283" w14:textId="0788CE75" w:rsidR="00F6447B" w:rsidRPr="00F6447B" w:rsidRDefault="00F6447B" w:rsidP="007F67A0">
      <w:pPr>
        <w:spacing w:before="100" w:beforeAutospacing="1" w:after="100" w:afterAutospacing="1" w:line="240" w:lineRule="auto"/>
        <w:rPr>
          <w:rFonts w:ascii="Verdana" w:eastAsia="Times New Roman" w:hAnsi="Verdana" w:cs="Segoe UI"/>
          <w:sz w:val="24"/>
          <w:szCs w:val="24"/>
          <w:lang w:eastAsia="en-GB"/>
        </w:rPr>
      </w:pPr>
      <w:r>
        <w:rPr>
          <w:rFonts w:ascii="Verdana" w:eastAsia="Times New Roman" w:hAnsi="Verdana" w:cs="Segoe UI"/>
          <w:sz w:val="24"/>
          <w:szCs w:val="24"/>
          <w:lang w:eastAsia="en-GB"/>
        </w:rPr>
        <w:t>14</w:t>
      </w:r>
      <w:r w:rsidRPr="00F6447B">
        <w:rPr>
          <w:rFonts w:ascii="Verdana" w:eastAsia="Times New Roman" w:hAnsi="Verdana" w:cs="Segoe UI"/>
          <w:sz w:val="24"/>
          <w:szCs w:val="24"/>
          <w:lang w:eastAsia="en-GB"/>
        </w:rPr>
        <w:t xml:space="preserve"> responses have been </w:t>
      </w:r>
      <w:r w:rsidR="00067766">
        <w:rPr>
          <w:rFonts w:ascii="Verdana" w:eastAsia="Times New Roman" w:hAnsi="Verdana" w:cs="Segoe UI"/>
          <w:sz w:val="24"/>
          <w:szCs w:val="24"/>
          <w:lang w:eastAsia="en-GB"/>
        </w:rPr>
        <w:t>requested</w:t>
      </w:r>
      <w:r w:rsidRPr="00F6447B">
        <w:rPr>
          <w:rFonts w:ascii="Verdana" w:eastAsia="Times New Roman" w:hAnsi="Verdana" w:cs="Segoe UI"/>
          <w:sz w:val="24"/>
          <w:szCs w:val="24"/>
          <w:lang w:eastAsia="en-GB"/>
        </w:rPr>
        <w:t xml:space="preserve"> for the current round of the HTW Adoption Audit, of which </w:t>
      </w:r>
      <w:r>
        <w:rPr>
          <w:rFonts w:ascii="Verdana" w:eastAsia="Times New Roman" w:hAnsi="Verdana" w:cs="Segoe UI"/>
          <w:sz w:val="24"/>
          <w:szCs w:val="24"/>
          <w:lang w:eastAsia="en-GB"/>
        </w:rPr>
        <w:t>2</w:t>
      </w:r>
      <w:r w:rsidRPr="00F6447B">
        <w:rPr>
          <w:rFonts w:ascii="Verdana" w:eastAsia="Times New Roman" w:hAnsi="Verdana" w:cs="Segoe UI"/>
          <w:sz w:val="24"/>
          <w:szCs w:val="24"/>
          <w:lang w:eastAsia="en-GB"/>
        </w:rPr>
        <w:t xml:space="preserve"> have been completed to date. The final submission deadline for this round is 20</w:t>
      </w:r>
      <w:r w:rsidRPr="00F6447B">
        <w:rPr>
          <w:rFonts w:ascii="Verdana" w:eastAsia="Times New Roman" w:hAnsi="Verdana" w:cs="Segoe UI"/>
          <w:sz w:val="24"/>
          <w:szCs w:val="24"/>
          <w:vertAlign w:val="superscript"/>
          <w:lang w:eastAsia="en-GB"/>
        </w:rPr>
        <w:t>th</w:t>
      </w:r>
      <w:r>
        <w:rPr>
          <w:rFonts w:ascii="Verdana" w:eastAsia="Times New Roman" w:hAnsi="Verdana" w:cs="Segoe UI"/>
          <w:sz w:val="24"/>
          <w:szCs w:val="24"/>
          <w:lang w:eastAsia="en-GB"/>
        </w:rPr>
        <w:t xml:space="preserve"> </w:t>
      </w:r>
      <w:r w:rsidRPr="00F6447B">
        <w:rPr>
          <w:rFonts w:ascii="Verdana" w:eastAsia="Times New Roman" w:hAnsi="Verdana" w:cs="Segoe UI"/>
          <w:sz w:val="24"/>
          <w:szCs w:val="24"/>
          <w:lang w:eastAsia="en-GB"/>
        </w:rPr>
        <w:t>June 2026.</w:t>
      </w:r>
    </w:p>
    <w:p w14:paraId="68E576E5" w14:textId="189DDFEB" w:rsidR="00F6447B" w:rsidRPr="00F6447B" w:rsidRDefault="00F06620" w:rsidP="007F67A0">
      <w:pPr>
        <w:spacing w:before="100" w:beforeAutospacing="1" w:after="100" w:afterAutospacing="1" w:line="240" w:lineRule="auto"/>
        <w:rPr>
          <w:rFonts w:ascii="Verdana" w:eastAsia="Times New Roman" w:hAnsi="Verdana" w:cs="Segoe UI"/>
          <w:sz w:val="24"/>
          <w:szCs w:val="24"/>
          <w:lang w:eastAsia="en-GB"/>
        </w:rPr>
      </w:pPr>
      <w:r>
        <w:rPr>
          <w:rFonts w:ascii="Verdana" w:eastAsia="Times New Roman" w:hAnsi="Verdana" w:cs="Segoe UI"/>
          <w:sz w:val="24"/>
          <w:szCs w:val="24"/>
          <w:lang w:eastAsia="en-GB"/>
        </w:rPr>
        <w:t xml:space="preserve">Of the remaining </w:t>
      </w:r>
      <w:r w:rsidR="00F6447B" w:rsidRPr="00F6447B">
        <w:rPr>
          <w:rFonts w:ascii="Verdana" w:eastAsia="Times New Roman" w:hAnsi="Verdana" w:cs="Segoe UI"/>
          <w:sz w:val="24"/>
          <w:szCs w:val="24"/>
          <w:lang w:eastAsia="en-GB"/>
        </w:rPr>
        <w:t>20 guidance responses</w:t>
      </w:r>
      <w:r>
        <w:rPr>
          <w:rFonts w:ascii="Verdana" w:eastAsia="Times New Roman" w:hAnsi="Verdana" w:cs="Segoe UI"/>
          <w:sz w:val="24"/>
          <w:szCs w:val="24"/>
          <w:lang w:eastAsia="en-GB"/>
        </w:rPr>
        <w:t>, 1</w:t>
      </w:r>
      <w:r w:rsidR="00F6447B" w:rsidRPr="00F6447B">
        <w:rPr>
          <w:rFonts w:ascii="Verdana" w:eastAsia="Times New Roman" w:hAnsi="Verdana" w:cs="Segoe UI"/>
          <w:sz w:val="24"/>
          <w:szCs w:val="24"/>
          <w:lang w:eastAsia="en-GB"/>
        </w:rPr>
        <w:t>1 have been completed</w:t>
      </w:r>
      <w:r>
        <w:rPr>
          <w:rFonts w:ascii="Verdana" w:eastAsia="Times New Roman" w:hAnsi="Verdana" w:cs="Segoe UI"/>
          <w:sz w:val="24"/>
          <w:szCs w:val="24"/>
          <w:lang w:eastAsia="en-GB"/>
        </w:rPr>
        <w:t>.</w:t>
      </w:r>
      <w:r w:rsidR="00F6447B" w:rsidRPr="00F6447B">
        <w:rPr>
          <w:rFonts w:ascii="Verdana" w:eastAsia="Times New Roman" w:hAnsi="Verdana" w:cs="Segoe UI"/>
          <w:sz w:val="24"/>
          <w:szCs w:val="24"/>
          <w:lang w:eastAsia="en-GB"/>
        </w:rPr>
        <w:t xml:space="preserve"> </w:t>
      </w:r>
    </w:p>
    <w:p w14:paraId="4E808B46" w14:textId="77777777" w:rsidR="00067766" w:rsidRDefault="00F6447B" w:rsidP="00067766">
      <w:pPr>
        <w:spacing w:before="100" w:beforeAutospacing="1" w:after="100" w:afterAutospacing="1" w:line="240" w:lineRule="auto"/>
        <w:rPr>
          <w:rFonts w:ascii="Verdana" w:eastAsia="Times New Roman" w:hAnsi="Verdana" w:cs="Segoe UI"/>
          <w:sz w:val="24"/>
          <w:szCs w:val="24"/>
          <w:lang w:eastAsia="en-GB"/>
        </w:rPr>
      </w:pPr>
      <w:r w:rsidRPr="00F6447B">
        <w:rPr>
          <w:rFonts w:ascii="Verdana" w:eastAsia="Times New Roman" w:hAnsi="Verdana" w:cs="Segoe UI"/>
          <w:sz w:val="24"/>
          <w:szCs w:val="24"/>
          <w:lang w:eastAsia="en-GB"/>
        </w:rPr>
        <w:t>At the COEG meeting in April 2026, the Chair agreed that any historic assurance responses should be formally stood down where a more recent update has since been requested, to avoid duplication and ensure focus on current guidance.</w:t>
      </w:r>
      <w:r w:rsidR="00067766" w:rsidRPr="00067766">
        <w:rPr>
          <w:rFonts w:ascii="Verdana" w:eastAsia="Times New Roman" w:hAnsi="Verdana" w:cs="Segoe UI"/>
          <w:sz w:val="24"/>
          <w:szCs w:val="24"/>
          <w:lang w:eastAsia="en-GB"/>
        </w:rPr>
        <w:t xml:space="preserve"> </w:t>
      </w:r>
    </w:p>
    <w:p w14:paraId="5D4C309E" w14:textId="7EFD17A2" w:rsidR="00067766" w:rsidRPr="00F6447B" w:rsidRDefault="00067766" w:rsidP="00067766">
      <w:pPr>
        <w:spacing w:before="100" w:beforeAutospacing="1" w:after="100" w:afterAutospacing="1" w:line="240" w:lineRule="auto"/>
        <w:rPr>
          <w:rFonts w:ascii="Verdana" w:eastAsia="Times New Roman" w:hAnsi="Verdana" w:cs="Segoe UI"/>
          <w:sz w:val="24"/>
          <w:szCs w:val="24"/>
          <w:lang w:eastAsia="en-GB"/>
        </w:rPr>
      </w:pPr>
      <w:r w:rsidRPr="00F6447B">
        <w:rPr>
          <w:rFonts w:ascii="Verdana" w:eastAsia="Times New Roman" w:hAnsi="Verdana" w:cs="Segoe UI"/>
          <w:sz w:val="24"/>
          <w:szCs w:val="24"/>
          <w:lang w:eastAsia="en-GB"/>
        </w:rPr>
        <w:t>It is anticipated that implementation of the new Assurance Responses App will significantly improve completion rates by enabling easier digital submission, enhanced functionality, automated prompts, and a more visually engaging and user</w:t>
      </w:r>
      <w:r w:rsidRPr="00F6447B">
        <w:rPr>
          <w:rFonts w:ascii="Verdana" w:eastAsia="Times New Roman" w:hAnsi="Verdana" w:cs="Segoe UI"/>
          <w:sz w:val="24"/>
          <w:szCs w:val="24"/>
          <w:lang w:eastAsia="en-GB"/>
        </w:rPr>
        <w:noBreakHyphen/>
        <w:t xml:space="preserve">friendly interface, supporting more timely </w:t>
      </w:r>
      <w:r>
        <w:rPr>
          <w:rFonts w:ascii="Verdana" w:eastAsia="Times New Roman" w:hAnsi="Verdana" w:cs="Segoe UI"/>
          <w:sz w:val="24"/>
          <w:szCs w:val="24"/>
          <w:lang w:eastAsia="en-GB"/>
        </w:rPr>
        <w:t>submission</w:t>
      </w:r>
      <w:r w:rsidRPr="00F6447B">
        <w:rPr>
          <w:rFonts w:ascii="Verdana" w:eastAsia="Times New Roman" w:hAnsi="Verdana" w:cs="Segoe UI"/>
          <w:sz w:val="24"/>
          <w:szCs w:val="24"/>
          <w:lang w:eastAsia="en-GB"/>
        </w:rPr>
        <w:t>.</w:t>
      </w:r>
    </w:p>
    <w:p w14:paraId="77BA6E74" w14:textId="63D15542" w:rsidR="00B50F71" w:rsidRPr="00FC2C90" w:rsidRDefault="00B50F71" w:rsidP="00E755E5">
      <w:pPr>
        <w:spacing w:line="276" w:lineRule="auto"/>
        <w:rPr>
          <w:rFonts w:ascii="Verdana" w:hAnsi="Verdana" w:cs="Arial"/>
          <w:b/>
          <w:bCs/>
          <w:sz w:val="24"/>
          <w:szCs w:val="24"/>
        </w:rPr>
      </w:pPr>
      <w:r w:rsidRPr="00FC2C90">
        <w:rPr>
          <w:rFonts w:ascii="Verdana" w:hAnsi="Verdana" w:cs="Arial"/>
          <w:b/>
          <w:bCs/>
          <w:sz w:val="24"/>
          <w:szCs w:val="24"/>
        </w:rPr>
        <w:t>2.7 National Audit/Registry (Level 1) Published Reports</w:t>
      </w:r>
    </w:p>
    <w:p w14:paraId="5A317DF0" w14:textId="5D442970" w:rsidR="00B50F71" w:rsidRDefault="00B50F71" w:rsidP="00287ED9">
      <w:pPr>
        <w:spacing w:line="240" w:lineRule="auto"/>
        <w:rPr>
          <w:rFonts w:ascii="Verdana" w:hAnsi="Verdana" w:cs="Arial"/>
          <w:sz w:val="24"/>
          <w:szCs w:val="24"/>
        </w:rPr>
      </w:pPr>
      <w:r w:rsidRPr="00FC2C90">
        <w:rPr>
          <w:rFonts w:ascii="Verdana" w:hAnsi="Verdana" w:cs="Arial"/>
          <w:sz w:val="24"/>
          <w:szCs w:val="24"/>
        </w:rPr>
        <w:t xml:space="preserve">For the </w:t>
      </w:r>
      <w:r w:rsidR="005C57D9">
        <w:rPr>
          <w:rFonts w:ascii="Verdana" w:hAnsi="Verdana" w:cs="Arial"/>
          <w:sz w:val="24"/>
          <w:szCs w:val="24"/>
        </w:rPr>
        <w:t xml:space="preserve">previous </w:t>
      </w:r>
      <w:r w:rsidR="00AC4BF2">
        <w:rPr>
          <w:rFonts w:ascii="Verdana" w:hAnsi="Verdana" w:cs="Arial"/>
          <w:sz w:val="24"/>
          <w:szCs w:val="24"/>
        </w:rPr>
        <w:t xml:space="preserve">report </w:t>
      </w:r>
      <w:r w:rsidRPr="00FC2C90">
        <w:rPr>
          <w:rFonts w:ascii="Verdana" w:hAnsi="Verdana" w:cs="Arial"/>
          <w:sz w:val="24"/>
          <w:szCs w:val="24"/>
        </w:rPr>
        <w:t xml:space="preserve">period, </w:t>
      </w:r>
      <w:r w:rsidR="00A70DE7">
        <w:rPr>
          <w:rFonts w:ascii="Verdana" w:hAnsi="Verdana" w:cs="Arial"/>
          <w:sz w:val="24"/>
          <w:szCs w:val="24"/>
        </w:rPr>
        <w:t>9</w:t>
      </w:r>
      <w:r w:rsidR="005C57D9">
        <w:rPr>
          <w:rFonts w:ascii="Verdana" w:hAnsi="Verdana" w:cs="Arial"/>
          <w:sz w:val="24"/>
          <w:szCs w:val="24"/>
        </w:rPr>
        <w:t xml:space="preserve"> </w:t>
      </w:r>
      <w:r w:rsidRPr="00FC2C90">
        <w:rPr>
          <w:rFonts w:ascii="Verdana" w:hAnsi="Verdana" w:cs="Arial"/>
          <w:sz w:val="24"/>
          <w:szCs w:val="24"/>
        </w:rPr>
        <w:t>assurance proformas issued following publication of national audit/registry reports</w:t>
      </w:r>
      <w:r w:rsidR="005C57D9">
        <w:rPr>
          <w:rFonts w:ascii="Verdana" w:hAnsi="Verdana" w:cs="Arial"/>
          <w:sz w:val="24"/>
          <w:szCs w:val="24"/>
        </w:rPr>
        <w:t xml:space="preserve"> were outstanding.  To date </w:t>
      </w:r>
      <w:r w:rsidR="00A70DE7">
        <w:rPr>
          <w:rFonts w:ascii="Verdana" w:hAnsi="Verdana" w:cs="Arial"/>
          <w:sz w:val="24"/>
          <w:szCs w:val="24"/>
        </w:rPr>
        <w:t>95</w:t>
      </w:r>
      <w:r w:rsidR="005C57D9">
        <w:rPr>
          <w:rFonts w:ascii="Verdana" w:hAnsi="Verdana" w:cs="Arial"/>
          <w:sz w:val="24"/>
          <w:szCs w:val="24"/>
        </w:rPr>
        <w:t>% of those publication responses have been completed.</w:t>
      </w:r>
      <w:r w:rsidR="00A70DE7">
        <w:rPr>
          <w:rFonts w:ascii="Verdana" w:hAnsi="Verdana" w:cs="Arial"/>
          <w:sz w:val="24"/>
          <w:szCs w:val="24"/>
        </w:rPr>
        <w:t xml:space="preserve">  Responses to the NCEPOD Study into End</w:t>
      </w:r>
      <w:r w:rsidR="00104F66">
        <w:rPr>
          <w:rFonts w:ascii="Verdana" w:hAnsi="Verdana" w:cs="Arial"/>
          <w:sz w:val="24"/>
          <w:szCs w:val="24"/>
        </w:rPr>
        <w:t>-</w:t>
      </w:r>
      <w:r w:rsidR="00A70DE7">
        <w:rPr>
          <w:rFonts w:ascii="Verdana" w:hAnsi="Verdana" w:cs="Arial"/>
          <w:sz w:val="24"/>
          <w:szCs w:val="24"/>
        </w:rPr>
        <w:t>of</w:t>
      </w:r>
      <w:r w:rsidR="00104F66">
        <w:rPr>
          <w:rFonts w:ascii="Verdana" w:hAnsi="Verdana" w:cs="Arial"/>
          <w:sz w:val="24"/>
          <w:szCs w:val="24"/>
        </w:rPr>
        <w:t>-</w:t>
      </w:r>
      <w:r w:rsidR="00A70DE7">
        <w:rPr>
          <w:rFonts w:ascii="Verdana" w:hAnsi="Verdana" w:cs="Arial"/>
          <w:sz w:val="24"/>
          <w:szCs w:val="24"/>
        </w:rPr>
        <w:t>Life Care 2024 and the Oesophago-gastric Cancer Report remain incomplete.</w:t>
      </w:r>
      <w:r w:rsidR="007F67A0">
        <w:rPr>
          <w:rFonts w:ascii="Verdana" w:hAnsi="Verdana" w:cs="Arial"/>
          <w:sz w:val="24"/>
          <w:szCs w:val="24"/>
        </w:rPr>
        <w:t xml:space="preserve">  </w:t>
      </w:r>
    </w:p>
    <w:p w14:paraId="7732EE80" w14:textId="3269AED5" w:rsidR="005C57D9" w:rsidRDefault="005C57D9" w:rsidP="00287ED9">
      <w:pPr>
        <w:spacing w:line="240" w:lineRule="auto"/>
        <w:rPr>
          <w:rFonts w:ascii="Verdana" w:hAnsi="Verdana" w:cs="Arial"/>
          <w:sz w:val="24"/>
          <w:szCs w:val="24"/>
        </w:rPr>
      </w:pPr>
      <w:r w:rsidRPr="00104F66">
        <w:rPr>
          <w:rFonts w:ascii="Verdana" w:hAnsi="Verdana" w:cs="Arial"/>
          <w:sz w:val="24"/>
          <w:szCs w:val="24"/>
        </w:rPr>
        <w:t xml:space="preserve">For the 2025/26 period </w:t>
      </w:r>
      <w:r w:rsidR="00104F66" w:rsidRPr="00104F66">
        <w:rPr>
          <w:rFonts w:ascii="Verdana" w:hAnsi="Verdana" w:cs="Arial"/>
          <w:sz w:val="24"/>
          <w:szCs w:val="24"/>
        </w:rPr>
        <w:t>currently 30/45 (67%) have been completed to date.</w:t>
      </w:r>
    </w:p>
    <w:p w14:paraId="338A5C1A" w14:textId="77777777" w:rsidR="007F67A0" w:rsidRPr="007F67A0" w:rsidRDefault="00B50F71" w:rsidP="007F67A0">
      <w:pPr>
        <w:spacing w:line="300" w:lineRule="atLeast"/>
        <w:rPr>
          <w:rFonts w:ascii="Verdana" w:eastAsia="Times New Roman" w:hAnsi="Verdana" w:cs="Segoe UI"/>
          <w:sz w:val="24"/>
          <w:szCs w:val="24"/>
          <w:lang w:eastAsia="en-GB"/>
        </w:rPr>
      </w:pPr>
      <w:r w:rsidRPr="00FC2C90">
        <w:rPr>
          <w:rFonts w:ascii="Verdana" w:hAnsi="Verdana" w:cs="Arial"/>
          <w:sz w:val="24"/>
          <w:szCs w:val="24"/>
        </w:rPr>
        <w:t xml:space="preserve">The COEG monitors timeliness of responses, escalating issues to the Quality Safety Group as required for support in attaining the required information. </w:t>
      </w:r>
      <w:r w:rsidR="005C57D9">
        <w:rPr>
          <w:rFonts w:ascii="Verdana" w:hAnsi="Verdana" w:cs="Arial"/>
          <w:sz w:val="24"/>
          <w:szCs w:val="24"/>
        </w:rPr>
        <w:t xml:space="preserve"> Service Group presentation templates also require updates on compliance. </w:t>
      </w:r>
      <w:r w:rsidR="007F67A0" w:rsidRPr="007F67A0">
        <w:rPr>
          <w:rFonts w:ascii="Verdana" w:eastAsia="Times New Roman" w:hAnsi="Verdana" w:cs="Segoe UI"/>
          <w:sz w:val="24"/>
          <w:szCs w:val="24"/>
          <w:lang w:eastAsia="en-GB"/>
        </w:rPr>
        <w:t>Once implemented, the new Assurance Responses App will further support monitoring, escalation, and improved timeliness through automated tracking and reporting functionality.</w:t>
      </w:r>
    </w:p>
    <w:p w14:paraId="6CB59D53" w14:textId="5DFC18C7" w:rsidR="00B50F71" w:rsidRPr="009F2B7E" w:rsidRDefault="00B50F71" w:rsidP="007F67A0">
      <w:pPr>
        <w:spacing w:line="240" w:lineRule="auto"/>
        <w:rPr>
          <w:rFonts w:ascii="Verdana" w:hAnsi="Verdana" w:cs="Arial"/>
          <w:b/>
          <w:bCs/>
          <w:sz w:val="24"/>
          <w:szCs w:val="24"/>
        </w:rPr>
      </w:pPr>
      <w:r w:rsidRPr="009F2B7E">
        <w:rPr>
          <w:rFonts w:ascii="Verdana" w:hAnsi="Verdana" w:cs="Arial"/>
          <w:b/>
          <w:bCs/>
          <w:sz w:val="24"/>
          <w:szCs w:val="24"/>
        </w:rPr>
        <w:lastRenderedPageBreak/>
        <w:t xml:space="preserve">2.8 </w:t>
      </w:r>
      <w:r w:rsidR="0078376E" w:rsidRPr="009F2B7E">
        <w:rPr>
          <w:rFonts w:ascii="Verdana" w:hAnsi="Verdana" w:cs="Arial"/>
          <w:b/>
          <w:bCs/>
          <w:sz w:val="24"/>
          <w:szCs w:val="24"/>
        </w:rPr>
        <w:t>Rejected</w:t>
      </w:r>
      <w:r w:rsidRPr="009F2B7E">
        <w:rPr>
          <w:rFonts w:ascii="Verdana" w:hAnsi="Verdana" w:cs="Arial"/>
          <w:b/>
          <w:bCs/>
          <w:sz w:val="24"/>
          <w:szCs w:val="24"/>
        </w:rPr>
        <w:t xml:space="preserve"> Projects</w:t>
      </w:r>
      <w:r w:rsidR="00BF144D" w:rsidRPr="009F2B7E">
        <w:rPr>
          <w:rFonts w:ascii="Verdana" w:hAnsi="Verdana" w:cs="Arial"/>
          <w:b/>
          <w:bCs/>
          <w:sz w:val="24"/>
          <w:szCs w:val="24"/>
        </w:rPr>
        <w:t xml:space="preserve"> 2024/26</w:t>
      </w:r>
    </w:p>
    <w:p w14:paraId="20C40EE3" w14:textId="77777777" w:rsidR="0078376E" w:rsidRPr="009F2B7E" w:rsidRDefault="0078376E" w:rsidP="00287ED9">
      <w:pPr>
        <w:spacing w:line="240" w:lineRule="auto"/>
        <w:rPr>
          <w:rFonts w:ascii="Verdana" w:hAnsi="Verdana" w:cs="Arial"/>
          <w:sz w:val="24"/>
          <w:szCs w:val="24"/>
        </w:rPr>
      </w:pPr>
      <w:r w:rsidRPr="009F2B7E">
        <w:rPr>
          <w:rFonts w:ascii="Verdana" w:hAnsi="Verdana" w:cs="Arial"/>
          <w:sz w:val="24"/>
          <w:szCs w:val="24"/>
        </w:rPr>
        <w:t>33/291 topics were not authorised by the Audit Leads who rejected the proposals on submission.</w:t>
      </w:r>
    </w:p>
    <w:p w14:paraId="623364D7" w14:textId="77777777" w:rsidR="009F2B7E" w:rsidRPr="009F2B7E" w:rsidRDefault="009F2B7E" w:rsidP="00E755E5">
      <w:pPr>
        <w:spacing w:line="276" w:lineRule="auto"/>
        <w:rPr>
          <w:rFonts w:ascii="Verdana" w:hAnsi="Verdana" w:cs="Arial"/>
          <w:b/>
          <w:bCs/>
          <w:sz w:val="24"/>
          <w:szCs w:val="24"/>
        </w:rPr>
      </w:pPr>
      <w:r w:rsidRPr="009F2B7E">
        <w:rPr>
          <w:rFonts w:ascii="Verdana" w:hAnsi="Verdana" w:cs="Arial"/>
          <w:b/>
          <w:bCs/>
          <w:sz w:val="24"/>
          <w:szCs w:val="24"/>
        </w:rPr>
        <w:t>2.9 Removed Projects 2024/26</w:t>
      </w:r>
    </w:p>
    <w:p w14:paraId="61AC8873" w14:textId="5084C40E" w:rsidR="00B50F71" w:rsidRDefault="009F2B7E" w:rsidP="00287ED9">
      <w:pPr>
        <w:spacing w:line="240" w:lineRule="auto"/>
        <w:rPr>
          <w:rFonts w:ascii="Verdana" w:hAnsi="Verdana" w:cs="Arial"/>
          <w:sz w:val="24"/>
          <w:szCs w:val="24"/>
        </w:rPr>
      </w:pPr>
      <w:r w:rsidRPr="009F2B7E">
        <w:rPr>
          <w:rFonts w:ascii="Verdana" w:hAnsi="Verdana" w:cs="Arial"/>
          <w:sz w:val="24"/>
          <w:szCs w:val="24"/>
        </w:rPr>
        <w:t>67/291 topics were removed (of which 26 were re-audits).  Topics were removed for a number of reasons, including relevance, need and service changes.  No topics triggered by risk scores are removed without valid reason, e.g., improvement work being progressed as part of Quality improvement, changes to pathway etc.</w:t>
      </w:r>
    </w:p>
    <w:p w14:paraId="10623983" w14:textId="4474DA52" w:rsidR="009F2B7E" w:rsidRPr="009F2B7E" w:rsidRDefault="009F2B7E" w:rsidP="00E755E5">
      <w:pPr>
        <w:spacing w:line="276" w:lineRule="auto"/>
        <w:rPr>
          <w:rFonts w:ascii="Verdana" w:hAnsi="Verdana" w:cs="Arial"/>
          <w:b/>
          <w:bCs/>
          <w:sz w:val="24"/>
          <w:szCs w:val="24"/>
        </w:rPr>
      </w:pPr>
      <w:r w:rsidRPr="009F2B7E">
        <w:rPr>
          <w:rFonts w:ascii="Verdana" w:hAnsi="Verdana" w:cs="Arial"/>
          <w:b/>
          <w:bCs/>
          <w:sz w:val="24"/>
          <w:szCs w:val="24"/>
        </w:rPr>
        <w:t>2.10 Deferred Projects 2024/26</w:t>
      </w:r>
    </w:p>
    <w:p w14:paraId="51E84A63" w14:textId="1E577462" w:rsidR="009F2B7E" w:rsidRPr="00FC2C90" w:rsidRDefault="009F2B7E" w:rsidP="00287ED9">
      <w:pPr>
        <w:spacing w:line="240" w:lineRule="auto"/>
        <w:rPr>
          <w:rFonts w:ascii="Verdana" w:hAnsi="Verdana" w:cs="Arial"/>
          <w:sz w:val="24"/>
          <w:szCs w:val="24"/>
        </w:rPr>
      </w:pPr>
      <w:r>
        <w:rPr>
          <w:rFonts w:ascii="Verdana" w:hAnsi="Verdana" w:cs="Arial"/>
          <w:sz w:val="24"/>
          <w:szCs w:val="24"/>
        </w:rPr>
        <w:t>33 topics have been deferred to the 2026/28 Audit Plan.</w:t>
      </w:r>
    </w:p>
    <w:p w14:paraId="5C4602A8" w14:textId="417C3F00" w:rsidR="00B50F71" w:rsidRPr="00FC2C90" w:rsidRDefault="00B50F71" w:rsidP="00E755E5">
      <w:pPr>
        <w:spacing w:line="276" w:lineRule="auto"/>
        <w:rPr>
          <w:rFonts w:ascii="Verdana" w:hAnsi="Verdana" w:cs="Arial"/>
          <w:b/>
          <w:bCs/>
          <w:sz w:val="24"/>
          <w:szCs w:val="24"/>
        </w:rPr>
      </w:pPr>
      <w:r w:rsidRPr="00FC2C90">
        <w:rPr>
          <w:rFonts w:ascii="Verdana" w:hAnsi="Verdana" w:cs="Arial"/>
          <w:b/>
          <w:bCs/>
          <w:sz w:val="24"/>
          <w:szCs w:val="24"/>
        </w:rPr>
        <w:t>2.</w:t>
      </w:r>
      <w:r w:rsidR="009F2B7E">
        <w:rPr>
          <w:rFonts w:ascii="Verdana" w:hAnsi="Verdana" w:cs="Arial"/>
          <w:b/>
          <w:bCs/>
          <w:sz w:val="24"/>
          <w:szCs w:val="24"/>
        </w:rPr>
        <w:t>11</w:t>
      </w:r>
      <w:r w:rsidRPr="00FC2C90">
        <w:rPr>
          <w:rFonts w:ascii="Verdana" w:hAnsi="Verdana" w:cs="Arial"/>
          <w:b/>
          <w:bCs/>
          <w:sz w:val="24"/>
          <w:szCs w:val="24"/>
        </w:rPr>
        <w:t xml:space="preserve"> Service Group Breakdown</w:t>
      </w:r>
    </w:p>
    <w:p w14:paraId="663E32B4" w14:textId="798BAA16" w:rsidR="00F7219C" w:rsidRDefault="007077A3" w:rsidP="00287ED9">
      <w:pPr>
        <w:spacing w:line="240" w:lineRule="auto"/>
        <w:rPr>
          <w:rFonts w:ascii="Verdana" w:hAnsi="Verdana" w:cs="Arial"/>
          <w:bCs/>
          <w:sz w:val="24"/>
          <w:szCs w:val="24"/>
        </w:rPr>
      </w:pPr>
      <w:r>
        <w:rPr>
          <w:rFonts w:ascii="Verdana" w:hAnsi="Verdana" w:cs="Arial"/>
          <w:bCs/>
          <w:sz w:val="24"/>
          <w:szCs w:val="24"/>
        </w:rPr>
        <w:t>Department level i</w:t>
      </w:r>
      <w:r w:rsidR="000C50F2" w:rsidRPr="00FC2C90">
        <w:rPr>
          <w:rFonts w:ascii="Verdana" w:hAnsi="Verdana" w:cs="Arial"/>
          <w:bCs/>
          <w:sz w:val="24"/>
          <w:szCs w:val="24"/>
        </w:rPr>
        <w:t xml:space="preserve">nformation presented is generated from project summaries submitted </w:t>
      </w:r>
      <w:r w:rsidR="0039431A">
        <w:rPr>
          <w:rFonts w:ascii="Verdana" w:hAnsi="Verdana" w:cs="Arial"/>
          <w:bCs/>
          <w:sz w:val="24"/>
          <w:szCs w:val="24"/>
        </w:rPr>
        <w:t>to date</w:t>
      </w:r>
      <w:r>
        <w:rPr>
          <w:rFonts w:ascii="Verdana" w:hAnsi="Verdana" w:cs="Arial"/>
          <w:bCs/>
          <w:sz w:val="24"/>
          <w:szCs w:val="24"/>
        </w:rPr>
        <w:t xml:space="preserve">.  </w:t>
      </w:r>
      <w:r w:rsidR="000C50F2" w:rsidRPr="00FC2C90">
        <w:rPr>
          <w:rFonts w:ascii="Verdana" w:hAnsi="Verdana" w:cs="Arial"/>
          <w:bCs/>
          <w:sz w:val="24"/>
          <w:szCs w:val="24"/>
        </w:rPr>
        <w:t>Outcomes</w:t>
      </w:r>
      <w:r w:rsidR="005B6D82">
        <w:rPr>
          <w:rFonts w:ascii="Verdana" w:hAnsi="Verdana" w:cs="Arial"/>
          <w:bCs/>
          <w:sz w:val="24"/>
          <w:szCs w:val="24"/>
        </w:rPr>
        <w:t xml:space="preserve"> sections</w:t>
      </w:r>
      <w:r w:rsidR="000C50F2" w:rsidRPr="00FC2C90">
        <w:rPr>
          <w:rFonts w:ascii="Verdana" w:hAnsi="Verdana" w:cs="Arial"/>
          <w:bCs/>
          <w:sz w:val="24"/>
          <w:szCs w:val="24"/>
        </w:rPr>
        <w:t xml:space="preserve"> include</w:t>
      </w:r>
      <w:r w:rsidR="005B6D82">
        <w:rPr>
          <w:rFonts w:ascii="Verdana" w:hAnsi="Verdana" w:cs="Arial"/>
          <w:bCs/>
          <w:sz w:val="24"/>
          <w:szCs w:val="24"/>
        </w:rPr>
        <w:t xml:space="preserve"> the need for Project Contacts to assign</w:t>
      </w:r>
      <w:r w:rsidR="000C50F2" w:rsidRPr="00FC2C90">
        <w:rPr>
          <w:rFonts w:ascii="Verdana" w:hAnsi="Verdana" w:cs="Arial"/>
          <w:bCs/>
          <w:sz w:val="24"/>
          <w:szCs w:val="24"/>
        </w:rPr>
        <w:t xml:space="preserve"> risk/assurance matrix scores.  Summaries and scores </w:t>
      </w:r>
      <w:r w:rsidR="005B6D82">
        <w:rPr>
          <w:rFonts w:ascii="Verdana" w:hAnsi="Verdana" w:cs="Arial"/>
          <w:bCs/>
          <w:sz w:val="24"/>
          <w:szCs w:val="24"/>
        </w:rPr>
        <w:t>are</w:t>
      </w:r>
      <w:r w:rsidR="000C50F2" w:rsidRPr="00FC2C90">
        <w:rPr>
          <w:rFonts w:ascii="Verdana" w:hAnsi="Verdana" w:cs="Arial"/>
          <w:bCs/>
          <w:sz w:val="24"/>
          <w:szCs w:val="24"/>
        </w:rPr>
        <w:t xml:space="preserve"> subsequently reviewed and signed off by designated Audit Leads prior to release of certificates</w:t>
      </w:r>
      <w:r w:rsidR="005B6D82">
        <w:rPr>
          <w:rFonts w:ascii="Verdana" w:hAnsi="Verdana" w:cs="Arial"/>
          <w:bCs/>
          <w:sz w:val="24"/>
          <w:szCs w:val="24"/>
        </w:rPr>
        <w:t xml:space="preserve"> of completion</w:t>
      </w:r>
      <w:r w:rsidR="000C50F2" w:rsidRPr="00FC2C90">
        <w:rPr>
          <w:rFonts w:ascii="Verdana" w:hAnsi="Verdana" w:cs="Arial"/>
          <w:bCs/>
          <w:sz w:val="24"/>
          <w:szCs w:val="24"/>
        </w:rPr>
        <w:t xml:space="preserve">.  </w:t>
      </w:r>
    </w:p>
    <w:p w14:paraId="7A085AC6" w14:textId="60F21FCE" w:rsidR="000C50F2" w:rsidRPr="00FC2C90" w:rsidRDefault="00F7219C" w:rsidP="00287ED9">
      <w:pPr>
        <w:spacing w:line="240" w:lineRule="auto"/>
        <w:rPr>
          <w:rFonts w:ascii="Verdana" w:hAnsi="Verdana" w:cs="Arial"/>
          <w:bCs/>
          <w:sz w:val="24"/>
          <w:szCs w:val="24"/>
        </w:rPr>
      </w:pPr>
      <w:r>
        <w:rPr>
          <w:rFonts w:ascii="Verdana" w:hAnsi="Verdana" w:cs="Arial"/>
          <w:bCs/>
          <w:sz w:val="24"/>
          <w:szCs w:val="24"/>
        </w:rPr>
        <w:t>In aligning with the Health Board Risk/Assurance Matrix f</w:t>
      </w:r>
      <w:r w:rsidR="000C50F2" w:rsidRPr="00FC2C90">
        <w:rPr>
          <w:rFonts w:ascii="Verdana" w:hAnsi="Verdana" w:cs="Arial"/>
          <w:bCs/>
          <w:sz w:val="24"/>
          <w:szCs w:val="24"/>
        </w:rPr>
        <w:t xml:space="preserve">or the report period, scores of </w:t>
      </w:r>
      <w:r>
        <w:rPr>
          <w:rFonts w:ascii="Verdana" w:hAnsi="Verdana" w:cs="Arial"/>
          <w:bCs/>
          <w:sz w:val="24"/>
          <w:szCs w:val="24"/>
        </w:rPr>
        <w:t>≥12</w:t>
      </w:r>
      <w:r w:rsidR="000C50F2" w:rsidRPr="00FC2C90">
        <w:rPr>
          <w:rFonts w:ascii="Verdana" w:hAnsi="Verdana" w:cs="Arial"/>
          <w:bCs/>
          <w:sz w:val="24"/>
          <w:szCs w:val="24"/>
        </w:rPr>
        <w:t xml:space="preserve"> automatically trigger the need for a re-audit</w:t>
      </w:r>
      <w:r w:rsidR="005B6D82">
        <w:rPr>
          <w:rFonts w:ascii="Verdana" w:hAnsi="Verdana" w:cs="Arial"/>
          <w:bCs/>
          <w:sz w:val="24"/>
          <w:szCs w:val="24"/>
        </w:rPr>
        <w:t>.</w:t>
      </w:r>
    </w:p>
    <w:p w14:paraId="32175AB4" w14:textId="38B8D689" w:rsidR="00B50F71" w:rsidRPr="00FC2C90" w:rsidRDefault="000C50F2" w:rsidP="00287ED9">
      <w:pPr>
        <w:spacing w:line="240" w:lineRule="auto"/>
        <w:rPr>
          <w:rFonts w:ascii="Verdana" w:hAnsi="Verdana" w:cs="Arial"/>
          <w:sz w:val="24"/>
          <w:szCs w:val="24"/>
        </w:rPr>
      </w:pPr>
      <w:r w:rsidRPr="00FC2C90">
        <w:rPr>
          <w:rFonts w:ascii="Verdana" w:hAnsi="Verdana" w:cs="Arial"/>
          <w:bCs/>
          <w:sz w:val="24"/>
          <w:szCs w:val="24"/>
        </w:rPr>
        <w:t>Brief summaries of the outcomes submitted, along with risk/assurance scores, are included</w:t>
      </w:r>
      <w:r w:rsidR="007077A3">
        <w:rPr>
          <w:rFonts w:ascii="Verdana" w:hAnsi="Verdana" w:cs="Arial"/>
          <w:bCs/>
          <w:sz w:val="24"/>
          <w:szCs w:val="24"/>
        </w:rPr>
        <w:t xml:space="preserve"> </w:t>
      </w:r>
      <w:r w:rsidR="00252277">
        <w:rPr>
          <w:rFonts w:ascii="Verdana" w:hAnsi="Verdana" w:cs="Arial"/>
          <w:bCs/>
          <w:sz w:val="24"/>
          <w:szCs w:val="24"/>
        </w:rPr>
        <w:t xml:space="preserve">as Appendix 1. </w:t>
      </w:r>
      <w:r w:rsidR="007077A3">
        <w:rPr>
          <w:rFonts w:ascii="Verdana" w:hAnsi="Verdana" w:cs="Arial"/>
          <w:bCs/>
          <w:sz w:val="24"/>
          <w:szCs w:val="24"/>
        </w:rPr>
        <w:t>for information</w:t>
      </w:r>
      <w:r w:rsidR="00760343">
        <w:rPr>
          <w:rFonts w:ascii="Verdana" w:hAnsi="Verdana" w:cs="Arial"/>
          <w:bCs/>
          <w:sz w:val="24"/>
          <w:szCs w:val="24"/>
        </w:rPr>
        <w:t>.</w:t>
      </w:r>
    </w:p>
    <w:p w14:paraId="29DD659A" w14:textId="3D898BA2" w:rsidR="00E21F63" w:rsidRPr="0078596C" w:rsidRDefault="00680184" w:rsidP="00815D29">
      <w:pPr>
        <w:pStyle w:val="Heading2"/>
        <w:spacing w:line="240" w:lineRule="auto"/>
        <w:rPr>
          <w:rFonts w:ascii="Verdana" w:eastAsia="Arial" w:hAnsi="Verdana"/>
          <w:b/>
          <w:bCs/>
          <w:color w:val="auto"/>
          <w:sz w:val="24"/>
          <w:szCs w:val="24"/>
        </w:rPr>
      </w:pPr>
      <w:r>
        <w:rPr>
          <w:rFonts w:ascii="Verdana" w:eastAsia="Arial" w:hAnsi="Verdana"/>
          <w:b/>
          <w:bCs/>
          <w:color w:val="auto"/>
          <w:sz w:val="24"/>
          <w:szCs w:val="24"/>
        </w:rPr>
        <w:t>2.1</w:t>
      </w:r>
      <w:r w:rsidR="00F37A62">
        <w:rPr>
          <w:rFonts w:ascii="Verdana" w:eastAsia="Arial" w:hAnsi="Verdana"/>
          <w:b/>
          <w:bCs/>
          <w:color w:val="auto"/>
          <w:sz w:val="24"/>
          <w:szCs w:val="24"/>
        </w:rPr>
        <w:t>2</w:t>
      </w:r>
      <w:r>
        <w:rPr>
          <w:rFonts w:ascii="Verdana" w:eastAsia="Arial" w:hAnsi="Verdana"/>
          <w:b/>
          <w:bCs/>
          <w:color w:val="auto"/>
          <w:sz w:val="24"/>
          <w:szCs w:val="24"/>
        </w:rPr>
        <w:t xml:space="preserve">  </w:t>
      </w:r>
      <w:r w:rsidR="001B163D" w:rsidRPr="0078596C">
        <w:rPr>
          <w:rFonts w:ascii="Verdana" w:eastAsia="Arial" w:hAnsi="Verdana"/>
          <w:b/>
          <w:bCs/>
          <w:color w:val="auto"/>
          <w:sz w:val="24"/>
          <w:szCs w:val="24"/>
        </w:rPr>
        <w:t>Mental Health &amp; Learning Disabilities (MHLD)</w:t>
      </w:r>
      <w:r w:rsidR="00913134" w:rsidRPr="0078596C">
        <w:rPr>
          <w:rFonts w:ascii="Verdana" w:eastAsia="Arial" w:hAnsi="Verdana"/>
          <w:b/>
          <w:bCs/>
          <w:color w:val="auto"/>
          <w:sz w:val="24"/>
          <w:szCs w:val="24"/>
        </w:rPr>
        <w:t xml:space="preserve"> Service Group</w:t>
      </w:r>
    </w:p>
    <w:p w14:paraId="30227F6C" w14:textId="2F8C7A38" w:rsidR="00763128" w:rsidRPr="00763128" w:rsidRDefault="00F907D2" w:rsidP="00E755E5">
      <w:pPr>
        <w:spacing w:before="100" w:beforeAutospacing="1" w:after="100" w:afterAutospacing="1" w:line="240" w:lineRule="auto"/>
        <w:rPr>
          <w:rFonts w:ascii="Verdana" w:eastAsia="Times New Roman" w:hAnsi="Verdana" w:cs="Segoe UI"/>
          <w:sz w:val="24"/>
          <w:szCs w:val="24"/>
          <w:lang w:eastAsia="en-GB"/>
        </w:rPr>
      </w:pPr>
      <w:r>
        <w:rPr>
          <w:rFonts w:ascii="Verdana" w:eastAsia="Times New Roman" w:hAnsi="Verdana" w:cs="Segoe UI"/>
          <w:sz w:val="24"/>
          <w:szCs w:val="24"/>
          <w:lang w:eastAsia="en-GB"/>
        </w:rPr>
        <w:t xml:space="preserve">A total of 13 topics were closed during the 2025-26 period.  </w:t>
      </w:r>
      <w:r w:rsidR="00763128" w:rsidRPr="00763128">
        <w:rPr>
          <w:rFonts w:ascii="Verdana" w:eastAsia="Times New Roman" w:hAnsi="Verdana" w:cs="Segoe UI"/>
          <w:sz w:val="24"/>
          <w:szCs w:val="24"/>
          <w:lang w:eastAsia="en-GB"/>
        </w:rPr>
        <w:t>Audits completed within the MHLD Service Group during 2025–26 demonstrated meaningful impact across medicines optimisation, risk management, pathway effectiveness, and service efficiency. Planned audits provided assurance against national and local standards, particularly in antipsychotic prescribing, physical</w:t>
      </w:r>
      <w:r w:rsidR="00763128" w:rsidRPr="00763128">
        <w:rPr>
          <w:rFonts w:ascii="Verdana" w:eastAsia="Times New Roman" w:hAnsi="Verdana" w:cs="Segoe UI"/>
          <w:sz w:val="24"/>
          <w:szCs w:val="24"/>
          <w:lang w:eastAsia="en-GB"/>
        </w:rPr>
        <w:noBreakHyphen/>
        <w:t>health monitoring, dementia care, and perinatal services. Ad</w:t>
      </w:r>
      <w:r w:rsidR="00763128" w:rsidRPr="00763128">
        <w:rPr>
          <w:rFonts w:ascii="Verdana" w:eastAsia="Times New Roman" w:hAnsi="Verdana" w:cs="Segoe UI"/>
          <w:sz w:val="24"/>
          <w:szCs w:val="24"/>
          <w:lang w:eastAsia="en-GB"/>
        </w:rPr>
        <w:noBreakHyphen/>
        <w:t>hoc audits and service evaluations were used effectively to respond to emerging risks and service pressures, notably within alcohol detoxification services, forensic practice, and outpatient access.</w:t>
      </w:r>
    </w:p>
    <w:p w14:paraId="367F1F90" w14:textId="77777777" w:rsidR="00763128" w:rsidRPr="00763128" w:rsidRDefault="00763128" w:rsidP="00E755E5">
      <w:pPr>
        <w:spacing w:before="100" w:beforeAutospacing="1" w:after="100" w:afterAutospacing="1" w:line="240" w:lineRule="auto"/>
        <w:rPr>
          <w:rFonts w:ascii="Verdana" w:eastAsia="Times New Roman" w:hAnsi="Verdana" w:cs="Segoe UI"/>
          <w:sz w:val="24"/>
          <w:szCs w:val="24"/>
          <w:lang w:eastAsia="en-GB"/>
        </w:rPr>
      </w:pPr>
      <w:r w:rsidRPr="00763128">
        <w:rPr>
          <w:rFonts w:ascii="Verdana" w:eastAsia="Times New Roman" w:hAnsi="Verdana" w:cs="Segoe UI"/>
          <w:sz w:val="24"/>
          <w:szCs w:val="24"/>
          <w:lang w:eastAsia="en-GB"/>
        </w:rPr>
        <w:t>Strong multidisciplinary engagement was evident, with clear dissemination of findings, implementation of policy refreshes, and measurable improvements in monitoring and documentation in several high</w:t>
      </w:r>
      <w:r w:rsidRPr="00763128">
        <w:rPr>
          <w:rFonts w:ascii="Verdana" w:eastAsia="Times New Roman" w:hAnsi="Verdana" w:cs="Segoe UI"/>
          <w:sz w:val="24"/>
          <w:szCs w:val="24"/>
          <w:lang w:eastAsia="en-GB"/>
        </w:rPr>
        <w:noBreakHyphen/>
        <w:t>risk areas. However, residual risk remains in relation to consistency of risk assessment practice, governance around high</w:t>
      </w:r>
      <w:r w:rsidRPr="00763128">
        <w:rPr>
          <w:rFonts w:ascii="Verdana" w:eastAsia="Times New Roman" w:hAnsi="Verdana" w:cs="Segoe UI"/>
          <w:sz w:val="24"/>
          <w:szCs w:val="24"/>
          <w:lang w:eastAsia="en-GB"/>
        </w:rPr>
        <w:noBreakHyphen/>
        <w:t>dose antipsychotic initiation, review and discontinuation of anxiolytics and hypnotics in learning</w:t>
      </w:r>
      <w:r w:rsidRPr="00763128">
        <w:rPr>
          <w:rFonts w:ascii="Verdana" w:eastAsia="Times New Roman" w:hAnsi="Verdana" w:cs="Segoe UI"/>
          <w:sz w:val="24"/>
          <w:szCs w:val="24"/>
          <w:lang w:eastAsia="en-GB"/>
        </w:rPr>
        <w:noBreakHyphen/>
        <w:t>disability settings, and comprehensive side</w:t>
      </w:r>
      <w:r w:rsidRPr="00763128">
        <w:rPr>
          <w:rFonts w:ascii="Verdana" w:eastAsia="Times New Roman" w:hAnsi="Verdana" w:cs="Segoe UI"/>
          <w:sz w:val="24"/>
          <w:szCs w:val="24"/>
          <w:lang w:eastAsia="en-GB"/>
        </w:rPr>
        <w:noBreakHyphen/>
        <w:t>effect monitoring for patients with dementia. Documentation gaps and variable use of standardised tools continue to limit full assurance in some pathways.</w:t>
      </w:r>
    </w:p>
    <w:p w14:paraId="45EA9C2C" w14:textId="377E5198" w:rsidR="00763128" w:rsidRDefault="00763128" w:rsidP="00E755E5">
      <w:pPr>
        <w:spacing w:before="100" w:beforeAutospacing="1" w:after="100" w:afterAutospacing="1" w:line="240" w:lineRule="auto"/>
        <w:rPr>
          <w:rFonts w:ascii="Verdana" w:eastAsia="Times New Roman" w:hAnsi="Verdana" w:cs="Segoe UI"/>
          <w:sz w:val="24"/>
          <w:szCs w:val="24"/>
          <w:lang w:eastAsia="en-GB"/>
        </w:rPr>
      </w:pPr>
      <w:r w:rsidRPr="00763128">
        <w:rPr>
          <w:rFonts w:ascii="Verdana" w:eastAsia="Times New Roman" w:hAnsi="Verdana" w:cs="Segoe UI"/>
          <w:sz w:val="24"/>
          <w:szCs w:val="24"/>
          <w:lang w:eastAsia="en-GB"/>
        </w:rPr>
        <w:lastRenderedPageBreak/>
        <w:t xml:space="preserve">The </w:t>
      </w:r>
      <w:r w:rsidR="00252277">
        <w:rPr>
          <w:rFonts w:ascii="Verdana" w:eastAsia="Times New Roman" w:hAnsi="Verdana" w:cs="Segoe UI"/>
          <w:sz w:val="24"/>
          <w:szCs w:val="24"/>
          <w:lang w:eastAsia="en-GB"/>
        </w:rPr>
        <w:t xml:space="preserve">above </w:t>
      </w:r>
      <w:r w:rsidR="00803C95">
        <w:rPr>
          <w:rFonts w:ascii="Verdana" w:eastAsia="Times New Roman" w:hAnsi="Verdana" w:cs="Segoe UI"/>
          <w:sz w:val="24"/>
          <w:szCs w:val="24"/>
          <w:lang w:eastAsia="en-GB"/>
        </w:rPr>
        <w:t xml:space="preserve">summary and project </w:t>
      </w:r>
      <w:r w:rsidR="00803C95" w:rsidRPr="00763128">
        <w:rPr>
          <w:rFonts w:ascii="Verdana" w:eastAsia="Times New Roman" w:hAnsi="Verdana" w:cs="Segoe UI"/>
          <w:sz w:val="24"/>
          <w:szCs w:val="24"/>
          <w:lang w:eastAsia="en-GB"/>
        </w:rPr>
        <w:t>outlines</w:t>
      </w:r>
      <w:r w:rsidRPr="00763128">
        <w:rPr>
          <w:rFonts w:ascii="Verdana" w:eastAsia="Times New Roman" w:hAnsi="Verdana" w:cs="Segoe UI"/>
          <w:sz w:val="24"/>
          <w:szCs w:val="24"/>
          <w:lang w:eastAsia="en-GB"/>
        </w:rPr>
        <w:t xml:space="preserve"> </w:t>
      </w:r>
      <w:r w:rsidR="00252277">
        <w:rPr>
          <w:rFonts w:ascii="Verdana" w:eastAsia="Times New Roman" w:hAnsi="Verdana" w:cs="Segoe UI"/>
          <w:sz w:val="24"/>
          <w:szCs w:val="24"/>
          <w:lang w:eastAsia="en-GB"/>
        </w:rPr>
        <w:t xml:space="preserve">in Appendix 1 </w:t>
      </w:r>
      <w:r w:rsidR="00803C95" w:rsidRPr="00763128">
        <w:rPr>
          <w:rFonts w:ascii="Verdana" w:eastAsia="Times New Roman" w:hAnsi="Verdana" w:cs="Segoe UI"/>
          <w:sz w:val="24"/>
          <w:szCs w:val="24"/>
          <w:lang w:eastAsia="en-GB"/>
        </w:rPr>
        <w:t>are AI</w:t>
      </w:r>
      <w:r w:rsidR="00803C95" w:rsidRPr="00763128">
        <w:rPr>
          <w:rFonts w:ascii="Verdana" w:eastAsia="Times New Roman" w:hAnsi="Verdana" w:cs="Segoe UI"/>
          <w:sz w:val="24"/>
          <w:szCs w:val="24"/>
          <w:lang w:eastAsia="en-GB"/>
        </w:rPr>
        <w:noBreakHyphen/>
        <w:t>generated from outcome records</w:t>
      </w:r>
      <w:r w:rsidR="00803C95">
        <w:rPr>
          <w:rFonts w:ascii="Verdana" w:eastAsia="Times New Roman" w:hAnsi="Verdana" w:cs="Segoe UI"/>
          <w:sz w:val="24"/>
          <w:szCs w:val="24"/>
          <w:lang w:eastAsia="en-GB"/>
        </w:rPr>
        <w:t xml:space="preserve"> submitted between 1</w:t>
      </w:r>
      <w:r w:rsidR="00803C95" w:rsidRPr="00803C95">
        <w:rPr>
          <w:rFonts w:ascii="Verdana" w:eastAsia="Times New Roman" w:hAnsi="Verdana" w:cs="Segoe UI"/>
          <w:sz w:val="24"/>
          <w:szCs w:val="24"/>
          <w:vertAlign w:val="superscript"/>
          <w:lang w:eastAsia="en-GB"/>
        </w:rPr>
        <w:t>st</w:t>
      </w:r>
      <w:r w:rsidR="00803C95">
        <w:rPr>
          <w:rFonts w:ascii="Verdana" w:eastAsia="Times New Roman" w:hAnsi="Verdana" w:cs="Segoe UI"/>
          <w:sz w:val="24"/>
          <w:szCs w:val="24"/>
          <w:lang w:eastAsia="en-GB"/>
        </w:rPr>
        <w:t xml:space="preserve"> Ap</w:t>
      </w:r>
      <w:r w:rsidRPr="00763128">
        <w:rPr>
          <w:rFonts w:ascii="Verdana" w:eastAsia="Times New Roman" w:hAnsi="Verdana" w:cs="Segoe UI"/>
          <w:sz w:val="24"/>
          <w:szCs w:val="24"/>
          <w:lang w:eastAsia="en-GB"/>
        </w:rPr>
        <w:t xml:space="preserve">ril 2025 and 31 March 2026. They do not represent the full 2024–26 audit programme and may include projects initiated under earlier programmes. </w:t>
      </w:r>
    </w:p>
    <w:p w14:paraId="5FA27639" w14:textId="434FCCF6" w:rsidR="00051CEF" w:rsidRPr="00051CEF" w:rsidRDefault="00051CEF" w:rsidP="00051CEF">
      <w:pPr>
        <w:spacing w:before="100" w:beforeAutospacing="1" w:after="100" w:afterAutospacing="1" w:line="240" w:lineRule="auto"/>
        <w:rPr>
          <w:rFonts w:ascii="Verdana" w:eastAsia="Times New Roman" w:hAnsi="Verdana" w:cs="Segoe UI"/>
          <w:b/>
          <w:bCs/>
          <w:sz w:val="24"/>
          <w:szCs w:val="24"/>
          <w:lang w:eastAsia="en-GB"/>
        </w:rPr>
      </w:pPr>
      <w:r w:rsidRPr="00051CEF">
        <w:rPr>
          <w:rFonts w:ascii="Verdana" w:eastAsia="Times New Roman" w:hAnsi="Verdana" w:cs="Segoe UI"/>
          <w:b/>
          <w:bCs/>
          <w:sz w:val="24"/>
          <w:szCs w:val="24"/>
          <w:lang w:eastAsia="en-GB"/>
        </w:rPr>
        <w:t>2.12.1  Audit Requirements</w:t>
      </w:r>
    </w:p>
    <w:p w14:paraId="631EE151" w14:textId="7139ECF4" w:rsidR="00051CEF" w:rsidRDefault="00051CEF" w:rsidP="00051CEF">
      <w:pPr>
        <w:spacing w:before="100" w:beforeAutospacing="1" w:after="100" w:afterAutospacing="1" w:line="240" w:lineRule="auto"/>
        <w:rPr>
          <w:rFonts w:ascii="Verdana" w:eastAsia="Times New Roman" w:hAnsi="Verdana" w:cs="Segoe UI"/>
          <w:sz w:val="24"/>
          <w:szCs w:val="24"/>
          <w:lang w:eastAsia="en-GB"/>
        </w:rPr>
      </w:pPr>
      <w:r>
        <w:rPr>
          <w:rFonts w:ascii="Verdana" w:eastAsia="Times New Roman" w:hAnsi="Verdana" w:cs="Segoe UI"/>
          <w:sz w:val="24"/>
          <w:szCs w:val="24"/>
          <w:lang w:eastAsia="en-GB"/>
        </w:rPr>
        <w:t>As of 1</w:t>
      </w:r>
      <w:r w:rsidRPr="00F907D2">
        <w:rPr>
          <w:rFonts w:ascii="Verdana" w:eastAsia="Times New Roman" w:hAnsi="Verdana" w:cs="Segoe UI"/>
          <w:sz w:val="24"/>
          <w:szCs w:val="24"/>
          <w:vertAlign w:val="superscript"/>
          <w:lang w:eastAsia="en-GB"/>
        </w:rPr>
        <w:t>st</w:t>
      </w:r>
      <w:r>
        <w:rPr>
          <w:rFonts w:ascii="Verdana" w:eastAsia="Times New Roman" w:hAnsi="Verdana" w:cs="Segoe UI"/>
          <w:sz w:val="24"/>
          <w:szCs w:val="24"/>
          <w:lang w:eastAsia="en-GB"/>
        </w:rPr>
        <w:t xml:space="preserve"> April 2026, </w:t>
      </w:r>
      <w:r w:rsidR="00462A71">
        <w:rPr>
          <w:rFonts w:ascii="Verdana" w:eastAsia="Times New Roman" w:hAnsi="Verdana" w:cs="Segoe UI"/>
          <w:sz w:val="24"/>
          <w:szCs w:val="24"/>
          <w:lang w:eastAsia="en-GB"/>
        </w:rPr>
        <w:t xml:space="preserve">there are </w:t>
      </w:r>
      <w:r>
        <w:rPr>
          <w:rFonts w:ascii="Verdana" w:eastAsia="Times New Roman" w:hAnsi="Verdana" w:cs="Segoe UI"/>
          <w:sz w:val="24"/>
          <w:szCs w:val="24"/>
          <w:lang w:eastAsia="en-GB"/>
        </w:rPr>
        <w:t>a total of 18 topics listed for delivery</w:t>
      </w:r>
      <w:r w:rsidR="00CD66DD">
        <w:rPr>
          <w:rFonts w:ascii="Verdana" w:eastAsia="Times New Roman" w:hAnsi="Verdana" w:cs="Segoe UI"/>
          <w:sz w:val="24"/>
          <w:szCs w:val="24"/>
          <w:lang w:eastAsia="en-GB"/>
        </w:rPr>
        <w:t xml:space="preserve"> (Figure 3.)</w:t>
      </w:r>
      <w:r>
        <w:rPr>
          <w:rFonts w:ascii="Verdana" w:eastAsia="Times New Roman" w:hAnsi="Verdana" w:cs="Segoe UI"/>
          <w:sz w:val="24"/>
          <w:szCs w:val="24"/>
          <w:lang w:eastAsia="en-GB"/>
        </w:rPr>
        <w:t>, 28% of which originated from the 2024/26 Audit Programme and are now listed as overdue.  The remaining 72% are a combination of topics from the 2024/26 programme which were deferred, or newly listed requirements identified during the 2026-28 planning round;</w:t>
      </w:r>
      <w:r>
        <w:rPr>
          <w:rFonts w:ascii="Verdana" w:eastAsia="Times New Roman" w:hAnsi="Verdana" w:cs="Segoe UI"/>
          <w:noProof/>
          <w:sz w:val="24"/>
          <w:szCs w:val="24"/>
          <w:lang w:eastAsia="en-GB"/>
          <w14:ligatures w14:val="standardContextual"/>
        </w:rPr>
        <w:drawing>
          <wp:inline distT="0" distB="0" distL="0" distR="0" wp14:anchorId="7AF42A23" wp14:editId="2A4D1B00">
            <wp:extent cx="5465379" cy="2217926"/>
            <wp:effectExtent l="0" t="0" r="254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rotWithShape="1">
                    <a:blip r:embed="rId14">
                      <a:extLst>
                        <a:ext uri="{28A0092B-C50C-407E-A947-70E740481C1C}">
                          <a14:useLocalDpi xmlns:a14="http://schemas.microsoft.com/office/drawing/2010/main" val="0"/>
                        </a:ext>
                      </a:extLst>
                    </a:blip>
                    <a:srcRect l="2384" t="6357" b="40829"/>
                    <a:stretch/>
                  </pic:blipFill>
                  <pic:spPr bwMode="auto">
                    <a:xfrm>
                      <a:off x="0" y="0"/>
                      <a:ext cx="5476431" cy="2222411"/>
                    </a:xfrm>
                    <a:prstGeom prst="rect">
                      <a:avLst/>
                    </a:prstGeom>
                    <a:ln>
                      <a:noFill/>
                    </a:ln>
                    <a:extLst>
                      <a:ext uri="{53640926-AAD7-44D8-BBD7-CCE9431645EC}">
                        <a14:shadowObscured xmlns:a14="http://schemas.microsoft.com/office/drawing/2010/main"/>
                      </a:ext>
                    </a:extLst>
                  </pic:spPr>
                </pic:pic>
              </a:graphicData>
            </a:graphic>
          </wp:inline>
        </w:drawing>
      </w:r>
    </w:p>
    <w:p w14:paraId="32B6BE76" w14:textId="48ECD294" w:rsidR="00051CEF" w:rsidRPr="00051CEF" w:rsidRDefault="00051CEF" w:rsidP="00051CEF">
      <w:pPr>
        <w:spacing w:before="100" w:beforeAutospacing="1" w:after="100" w:afterAutospacing="1" w:line="240" w:lineRule="auto"/>
        <w:jc w:val="right"/>
        <w:rPr>
          <w:rFonts w:ascii="Verdana" w:eastAsia="Times New Roman" w:hAnsi="Verdana" w:cs="Segoe UI"/>
          <w:sz w:val="16"/>
          <w:szCs w:val="16"/>
          <w:lang w:eastAsia="en-GB"/>
        </w:rPr>
      </w:pPr>
      <w:r w:rsidRPr="00F907D2">
        <w:rPr>
          <w:rFonts w:ascii="Verdana" w:eastAsia="Times New Roman" w:hAnsi="Verdana" w:cs="Segoe UI"/>
          <w:sz w:val="16"/>
          <w:szCs w:val="16"/>
          <w:lang w:eastAsia="en-GB"/>
        </w:rPr>
        <w:t>Figure</w:t>
      </w:r>
      <w:r w:rsidR="00933236">
        <w:rPr>
          <w:rFonts w:ascii="Verdana" w:eastAsia="Times New Roman" w:hAnsi="Verdana" w:cs="Segoe UI"/>
          <w:sz w:val="16"/>
          <w:szCs w:val="16"/>
          <w:lang w:eastAsia="en-GB"/>
        </w:rPr>
        <w:t xml:space="preserve"> 3.  Audit Tasks to be delivered by the Mental Health &amp; Learning Disabilities Service Group</w:t>
      </w:r>
    </w:p>
    <w:p w14:paraId="52A7A010" w14:textId="24DBD3CE" w:rsidR="00354E2B" w:rsidRPr="00680184" w:rsidRDefault="00680184" w:rsidP="00287ED9">
      <w:pPr>
        <w:pStyle w:val="Heading2"/>
        <w:spacing w:line="240" w:lineRule="auto"/>
        <w:rPr>
          <w:rFonts w:ascii="Verdana" w:hAnsi="Verdana" w:cs="Segoe UI"/>
          <w:b/>
          <w:bCs/>
          <w:color w:val="auto"/>
          <w:sz w:val="24"/>
          <w:szCs w:val="24"/>
        </w:rPr>
      </w:pPr>
      <w:r>
        <w:rPr>
          <w:rFonts w:ascii="Verdana" w:hAnsi="Verdana" w:cs="Segoe UI"/>
          <w:b/>
          <w:bCs/>
          <w:color w:val="auto"/>
          <w:sz w:val="24"/>
          <w:szCs w:val="24"/>
        </w:rPr>
        <w:t>2.1</w:t>
      </w:r>
      <w:r w:rsidR="00587C80">
        <w:rPr>
          <w:rFonts w:ascii="Verdana" w:hAnsi="Verdana" w:cs="Segoe UI"/>
          <w:b/>
          <w:bCs/>
          <w:color w:val="auto"/>
          <w:sz w:val="24"/>
          <w:szCs w:val="24"/>
        </w:rPr>
        <w:t>3</w:t>
      </w:r>
      <w:r>
        <w:rPr>
          <w:rFonts w:ascii="Verdana" w:hAnsi="Verdana" w:cs="Segoe UI"/>
          <w:b/>
          <w:bCs/>
          <w:color w:val="auto"/>
          <w:sz w:val="24"/>
          <w:szCs w:val="24"/>
        </w:rPr>
        <w:t xml:space="preserve">  </w:t>
      </w:r>
      <w:r w:rsidR="00354E2B" w:rsidRPr="00680184">
        <w:rPr>
          <w:rFonts w:ascii="Verdana" w:hAnsi="Verdana" w:cs="Segoe UI"/>
          <w:b/>
          <w:bCs/>
          <w:color w:val="auto"/>
          <w:sz w:val="24"/>
          <w:szCs w:val="24"/>
        </w:rPr>
        <w:t>Morriston Service Group</w:t>
      </w:r>
    </w:p>
    <w:p w14:paraId="5A90254F" w14:textId="6DB2ACF1" w:rsidR="004E45B8" w:rsidRPr="004E45B8" w:rsidRDefault="00E80ADD" w:rsidP="00287ED9">
      <w:pPr>
        <w:spacing w:before="100" w:beforeAutospacing="1" w:after="100" w:afterAutospacing="1" w:line="240" w:lineRule="auto"/>
        <w:rPr>
          <w:rFonts w:ascii="Verdana" w:eastAsia="Times New Roman" w:hAnsi="Verdana" w:cs="Segoe UI"/>
          <w:sz w:val="24"/>
          <w:szCs w:val="24"/>
          <w:lang w:eastAsia="en-GB"/>
        </w:rPr>
      </w:pPr>
      <w:r>
        <w:rPr>
          <w:rFonts w:ascii="Verdana" w:eastAsia="Times New Roman" w:hAnsi="Verdana" w:cs="Segoe UI"/>
          <w:sz w:val="24"/>
          <w:szCs w:val="24"/>
          <w:lang w:eastAsia="en-GB"/>
        </w:rPr>
        <w:t xml:space="preserve">A total of 36 topics were closed during the 2025-26 period.  </w:t>
      </w:r>
      <w:r w:rsidR="004E45B8" w:rsidRPr="004E45B8">
        <w:rPr>
          <w:rFonts w:ascii="Verdana" w:eastAsia="Times New Roman" w:hAnsi="Verdana" w:cs="Segoe UI"/>
          <w:sz w:val="24"/>
          <w:szCs w:val="24"/>
          <w:lang w:eastAsia="en-GB"/>
        </w:rPr>
        <w:t xml:space="preserve">Audits completed </w:t>
      </w:r>
      <w:r w:rsidR="005A3E53">
        <w:rPr>
          <w:rFonts w:ascii="Verdana" w:eastAsia="Times New Roman" w:hAnsi="Verdana" w:cs="Segoe UI"/>
          <w:sz w:val="24"/>
          <w:szCs w:val="24"/>
          <w:lang w:eastAsia="en-GB"/>
        </w:rPr>
        <w:t xml:space="preserve">within the </w:t>
      </w:r>
      <w:r w:rsidR="004E45B8" w:rsidRPr="004E45B8">
        <w:rPr>
          <w:rFonts w:ascii="Verdana" w:eastAsia="Times New Roman" w:hAnsi="Verdana" w:cs="Segoe UI"/>
          <w:sz w:val="24"/>
          <w:szCs w:val="24"/>
          <w:lang w:eastAsia="en-GB"/>
        </w:rPr>
        <w:t xml:space="preserve">Morriston </w:t>
      </w:r>
      <w:r w:rsidR="005A3E53">
        <w:rPr>
          <w:rFonts w:ascii="Verdana" w:eastAsia="Times New Roman" w:hAnsi="Verdana" w:cs="Segoe UI"/>
          <w:sz w:val="24"/>
          <w:szCs w:val="24"/>
          <w:lang w:eastAsia="en-GB"/>
        </w:rPr>
        <w:t xml:space="preserve">Service Group </w:t>
      </w:r>
      <w:r w:rsidR="004E45B8" w:rsidRPr="004E45B8">
        <w:rPr>
          <w:rFonts w:ascii="Verdana" w:eastAsia="Times New Roman" w:hAnsi="Verdana" w:cs="Segoe UI"/>
          <w:sz w:val="24"/>
          <w:szCs w:val="24"/>
          <w:lang w:eastAsia="en-GB"/>
        </w:rPr>
        <w:t>during 2025–26 provided assurance across a broad range of acute, specialist, and critical care services, including emergency medicine, critical care, renal, surgery, radiology, cardiology, and specialist tertiary pathways. The programme demonstrated meaningful impact in improving documentation standards, adherence to national guidance, pathway efficiency, infection prevention, and patient safety.</w:t>
      </w:r>
    </w:p>
    <w:p w14:paraId="66F42655" w14:textId="77777777" w:rsidR="004E45B8" w:rsidRPr="004E45B8" w:rsidRDefault="004E45B8" w:rsidP="00287ED9">
      <w:pPr>
        <w:spacing w:before="100" w:beforeAutospacing="1" w:after="100" w:afterAutospacing="1" w:line="240" w:lineRule="auto"/>
        <w:rPr>
          <w:rFonts w:ascii="Verdana" w:eastAsia="Times New Roman" w:hAnsi="Verdana" w:cs="Segoe UI"/>
          <w:sz w:val="24"/>
          <w:szCs w:val="24"/>
          <w:lang w:eastAsia="en-GB"/>
        </w:rPr>
      </w:pPr>
      <w:r w:rsidRPr="004E45B8">
        <w:rPr>
          <w:rFonts w:ascii="Verdana" w:eastAsia="Times New Roman" w:hAnsi="Verdana" w:cs="Segoe UI"/>
          <w:sz w:val="24"/>
          <w:szCs w:val="24"/>
          <w:lang w:eastAsia="en-GB"/>
        </w:rPr>
        <w:t>Planned audit activity delivered assurance in several higher</w:t>
      </w:r>
      <w:r w:rsidRPr="004E45B8">
        <w:rPr>
          <w:rFonts w:ascii="Verdana" w:eastAsia="Times New Roman" w:hAnsi="Verdana" w:cs="Segoe UI"/>
          <w:sz w:val="24"/>
          <w:szCs w:val="24"/>
          <w:lang w:eastAsia="en-GB"/>
        </w:rPr>
        <w:noBreakHyphen/>
        <w:t>risk clinical areas, particularly within intensive care practice, treatment escalation planning, renal services, specialist diagnostics, and surgical pathways. In parallel, ad hoc audits and service evaluations were used effectively to respond to emerging risks and operational pressures, including demand on emergency care pathways, diagnostics, prescribing practice, and resource utilisation.</w:t>
      </w:r>
    </w:p>
    <w:p w14:paraId="3F6F7487" w14:textId="39BE4FF8" w:rsidR="004E45B8" w:rsidRPr="004E45B8" w:rsidRDefault="004E45B8" w:rsidP="00287ED9">
      <w:pPr>
        <w:spacing w:before="100" w:beforeAutospacing="1" w:after="100" w:afterAutospacing="1" w:line="240" w:lineRule="auto"/>
        <w:rPr>
          <w:rFonts w:ascii="Verdana" w:eastAsia="Times New Roman" w:hAnsi="Verdana" w:cs="Segoe UI"/>
          <w:sz w:val="24"/>
          <w:szCs w:val="24"/>
          <w:lang w:eastAsia="en-GB"/>
        </w:rPr>
      </w:pPr>
      <w:r w:rsidRPr="004E45B8">
        <w:rPr>
          <w:rFonts w:ascii="Verdana" w:eastAsia="Times New Roman" w:hAnsi="Verdana" w:cs="Segoe UI"/>
          <w:sz w:val="24"/>
          <w:szCs w:val="24"/>
          <w:lang w:eastAsia="en-GB"/>
        </w:rPr>
        <w:t xml:space="preserve">Strong multidisciplinary engagement was evident across many projects, supported by local guideline development, education, and measurable improvement between audit cycles. However, residual risk remains in </w:t>
      </w:r>
      <w:r w:rsidRPr="004E45B8">
        <w:rPr>
          <w:rFonts w:ascii="Verdana" w:eastAsia="Times New Roman" w:hAnsi="Verdana" w:cs="Segoe UI"/>
          <w:sz w:val="24"/>
          <w:szCs w:val="24"/>
          <w:lang w:eastAsia="en-GB"/>
        </w:rPr>
        <w:lastRenderedPageBreak/>
        <w:t>relation to consistency of documentation, timeliness of interventions within complex and inter</w:t>
      </w:r>
      <w:r w:rsidRPr="004E45B8">
        <w:rPr>
          <w:rFonts w:ascii="Verdana" w:eastAsia="Times New Roman" w:hAnsi="Verdana" w:cs="Segoe UI"/>
          <w:sz w:val="24"/>
          <w:szCs w:val="24"/>
          <w:lang w:eastAsia="en-GB"/>
        </w:rPr>
        <w:noBreakHyphen/>
        <w:t>health board pathways, and variation in compliance with national standards in high</w:t>
      </w:r>
      <w:r w:rsidRPr="004E45B8">
        <w:rPr>
          <w:rFonts w:ascii="Verdana" w:eastAsia="Times New Roman" w:hAnsi="Verdana" w:cs="Segoe UI"/>
          <w:sz w:val="24"/>
          <w:szCs w:val="24"/>
          <w:lang w:eastAsia="en-GB"/>
        </w:rPr>
        <w:noBreakHyphen/>
        <w:t>risk emergency and surgical presentations, with several audits appropriately escalated to re</w:t>
      </w:r>
      <w:r w:rsidRPr="004E45B8">
        <w:rPr>
          <w:rFonts w:ascii="Verdana" w:eastAsia="Times New Roman" w:hAnsi="Verdana" w:cs="Segoe UI"/>
          <w:sz w:val="24"/>
          <w:szCs w:val="24"/>
          <w:lang w:eastAsia="en-GB"/>
        </w:rPr>
        <w:noBreakHyphen/>
        <w:t>audit or Quality Improvement activity to support sustained improvement.</w:t>
      </w:r>
    </w:p>
    <w:p w14:paraId="6052E8EE" w14:textId="1309B31E" w:rsidR="00CB739F" w:rsidRDefault="00750DEF" w:rsidP="00287ED9">
      <w:pPr>
        <w:spacing w:before="100" w:beforeAutospacing="1" w:after="100" w:afterAutospacing="1" w:line="240" w:lineRule="auto"/>
        <w:rPr>
          <w:rFonts w:ascii="Verdana" w:eastAsia="Times New Roman" w:hAnsi="Verdana" w:cs="Segoe UI"/>
          <w:sz w:val="24"/>
          <w:szCs w:val="24"/>
          <w:lang w:eastAsia="en-GB"/>
        </w:rPr>
      </w:pPr>
      <w:r w:rsidRPr="00763128">
        <w:rPr>
          <w:rFonts w:ascii="Verdana" w:eastAsia="Times New Roman" w:hAnsi="Verdana" w:cs="Segoe UI"/>
          <w:sz w:val="24"/>
          <w:szCs w:val="24"/>
          <w:lang w:eastAsia="en-GB"/>
        </w:rPr>
        <w:t xml:space="preserve">The </w:t>
      </w:r>
      <w:r w:rsidR="00252277">
        <w:rPr>
          <w:rFonts w:ascii="Verdana" w:eastAsia="Times New Roman" w:hAnsi="Verdana" w:cs="Segoe UI"/>
          <w:sz w:val="24"/>
          <w:szCs w:val="24"/>
          <w:lang w:eastAsia="en-GB"/>
        </w:rPr>
        <w:t xml:space="preserve">above </w:t>
      </w:r>
      <w:r>
        <w:rPr>
          <w:rFonts w:ascii="Verdana" w:eastAsia="Times New Roman" w:hAnsi="Verdana" w:cs="Segoe UI"/>
          <w:sz w:val="24"/>
          <w:szCs w:val="24"/>
          <w:lang w:eastAsia="en-GB"/>
        </w:rPr>
        <w:t xml:space="preserve">summary and project </w:t>
      </w:r>
      <w:r w:rsidRPr="00763128">
        <w:rPr>
          <w:rFonts w:ascii="Verdana" w:eastAsia="Times New Roman" w:hAnsi="Verdana" w:cs="Segoe UI"/>
          <w:sz w:val="24"/>
          <w:szCs w:val="24"/>
          <w:lang w:eastAsia="en-GB"/>
        </w:rPr>
        <w:t xml:space="preserve">outlines </w:t>
      </w:r>
      <w:r w:rsidR="00252277">
        <w:rPr>
          <w:rFonts w:ascii="Verdana" w:eastAsia="Times New Roman" w:hAnsi="Verdana" w:cs="Segoe UI"/>
          <w:sz w:val="24"/>
          <w:szCs w:val="24"/>
          <w:lang w:eastAsia="en-GB"/>
        </w:rPr>
        <w:t xml:space="preserve">in Appendix 2 </w:t>
      </w:r>
      <w:r w:rsidRPr="00763128">
        <w:rPr>
          <w:rFonts w:ascii="Verdana" w:eastAsia="Times New Roman" w:hAnsi="Verdana" w:cs="Segoe UI"/>
          <w:sz w:val="24"/>
          <w:szCs w:val="24"/>
          <w:lang w:eastAsia="en-GB"/>
        </w:rPr>
        <w:t>are AI</w:t>
      </w:r>
      <w:r w:rsidRPr="00763128">
        <w:rPr>
          <w:rFonts w:ascii="Verdana" w:eastAsia="Times New Roman" w:hAnsi="Verdana" w:cs="Segoe UI"/>
          <w:sz w:val="24"/>
          <w:szCs w:val="24"/>
          <w:lang w:eastAsia="en-GB"/>
        </w:rPr>
        <w:noBreakHyphen/>
        <w:t>generated from outcome records</w:t>
      </w:r>
      <w:r>
        <w:rPr>
          <w:rFonts w:ascii="Verdana" w:eastAsia="Times New Roman" w:hAnsi="Verdana" w:cs="Segoe UI"/>
          <w:sz w:val="24"/>
          <w:szCs w:val="24"/>
          <w:lang w:eastAsia="en-GB"/>
        </w:rPr>
        <w:t xml:space="preserve"> submitted between 1</w:t>
      </w:r>
      <w:r w:rsidRPr="00803C95">
        <w:rPr>
          <w:rFonts w:ascii="Verdana" w:eastAsia="Times New Roman" w:hAnsi="Verdana" w:cs="Segoe UI"/>
          <w:sz w:val="24"/>
          <w:szCs w:val="24"/>
          <w:vertAlign w:val="superscript"/>
          <w:lang w:eastAsia="en-GB"/>
        </w:rPr>
        <w:t>st</w:t>
      </w:r>
      <w:r>
        <w:rPr>
          <w:rFonts w:ascii="Verdana" w:eastAsia="Times New Roman" w:hAnsi="Verdana" w:cs="Segoe UI"/>
          <w:sz w:val="24"/>
          <w:szCs w:val="24"/>
          <w:lang w:eastAsia="en-GB"/>
        </w:rPr>
        <w:t xml:space="preserve"> Ap</w:t>
      </w:r>
      <w:r w:rsidRPr="00763128">
        <w:rPr>
          <w:rFonts w:ascii="Verdana" w:eastAsia="Times New Roman" w:hAnsi="Verdana" w:cs="Segoe UI"/>
          <w:sz w:val="24"/>
          <w:szCs w:val="24"/>
          <w:lang w:eastAsia="en-GB"/>
        </w:rPr>
        <w:t xml:space="preserve">ril 2025 and 31 March 2026. They do not represent the full 2024–26 audit programme and may include projects initiated under earlier programmes. </w:t>
      </w:r>
    </w:p>
    <w:p w14:paraId="064969F7" w14:textId="77777777" w:rsidR="004F11D7" w:rsidRPr="00051CEF" w:rsidRDefault="004F11D7" w:rsidP="004F11D7">
      <w:pPr>
        <w:spacing w:before="100" w:beforeAutospacing="1" w:after="100" w:afterAutospacing="1" w:line="240" w:lineRule="auto"/>
        <w:rPr>
          <w:rFonts w:ascii="Verdana" w:eastAsia="Times New Roman" w:hAnsi="Verdana" w:cs="Segoe UI"/>
          <w:b/>
          <w:bCs/>
          <w:sz w:val="24"/>
          <w:szCs w:val="24"/>
          <w:lang w:eastAsia="en-GB"/>
        </w:rPr>
      </w:pPr>
      <w:r w:rsidRPr="00051CEF">
        <w:rPr>
          <w:rFonts w:ascii="Verdana" w:eastAsia="Times New Roman" w:hAnsi="Verdana" w:cs="Segoe UI"/>
          <w:b/>
          <w:bCs/>
          <w:sz w:val="24"/>
          <w:szCs w:val="24"/>
          <w:lang w:eastAsia="en-GB"/>
        </w:rPr>
        <w:t>2.1</w:t>
      </w:r>
      <w:r>
        <w:rPr>
          <w:rFonts w:ascii="Verdana" w:eastAsia="Times New Roman" w:hAnsi="Verdana" w:cs="Segoe UI"/>
          <w:b/>
          <w:bCs/>
          <w:sz w:val="24"/>
          <w:szCs w:val="24"/>
          <w:lang w:eastAsia="en-GB"/>
        </w:rPr>
        <w:t>3</w:t>
      </w:r>
      <w:r w:rsidRPr="00051CEF">
        <w:rPr>
          <w:rFonts w:ascii="Verdana" w:eastAsia="Times New Roman" w:hAnsi="Verdana" w:cs="Segoe UI"/>
          <w:b/>
          <w:bCs/>
          <w:sz w:val="24"/>
          <w:szCs w:val="24"/>
          <w:lang w:eastAsia="en-GB"/>
        </w:rPr>
        <w:t>.1  Audit Requirements</w:t>
      </w:r>
    </w:p>
    <w:p w14:paraId="4553BD60" w14:textId="57981902" w:rsidR="00FD76FD" w:rsidRDefault="004F11D7" w:rsidP="004F11D7">
      <w:pPr>
        <w:spacing w:before="100" w:beforeAutospacing="1" w:after="100" w:afterAutospacing="1" w:line="240" w:lineRule="auto"/>
        <w:rPr>
          <w:rFonts w:ascii="Verdana" w:eastAsia="Times New Roman" w:hAnsi="Verdana" w:cs="Segoe UI"/>
          <w:sz w:val="24"/>
          <w:szCs w:val="24"/>
          <w:lang w:eastAsia="en-GB"/>
        </w:rPr>
      </w:pPr>
      <w:r>
        <w:rPr>
          <w:rFonts w:ascii="Verdana" w:eastAsia="Times New Roman" w:hAnsi="Verdana" w:cs="Segoe UI"/>
          <w:sz w:val="24"/>
          <w:szCs w:val="24"/>
          <w:lang w:eastAsia="en-GB"/>
        </w:rPr>
        <w:t>As of 1</w:t>
      </w:r>
      <w:r w:rsidRPr="00F907D2">
        <w:rPr>
          <w:rFonts w:ascii="Verdana" w:eastAsia="Times New Roman" w:hAnsi="Verdana" w:cs="Segoe UI"/>
          <w:sz w:val="24"/>
          <w:szCs w:val="24"/>
          <w:vertAlign w:val="superscript"/>
          <w:lang w:eastAsia="en-GB"/>
        </w:rPr>
        <w:t>st</w:t>
      </w:r>
      <w:r>
        <w:rPr>
          <w:rFonts w:ascii="Verdana" w:eastAsia="Times New Roman" w:hAnsi="Verdana" w:cs="Segoe UI"/>
          <w:sz w:val="24"/>
          <w:szCs w:val="24"/>
          <w:lang w:eastAsia="en-GB"/>
        </w:rPr>
        <w:t xml:space="preserve"> April 2026, </w:t>
      </w:r>
      <w:r w:rsidR="00462A71">
        <w:rPr>
          <w:rFonts w:ascii="Verdana" w:eastAsia="Times New Roman" w:hAnsi="Verdana" w:cs="Segoe UI"/>
          <w:sz w:val="24"/>
          <w:szCs w:val="24"/>
          <w:lang w:eastAsia="en-GB"/>
        </w:rPr>
        <w:t xml:space="preserve">there are </w:t>
      </w:r>
      <w:r>
        <w:rPr>
          <w:rFonts w:ascii="Verdana" w:eastAsia="Times New Roman" w:hAnsi="Verdana" w:cs="Segoe UI"/>
          <w:sz w:val="24"/>
          <w:szCs w:val="24"/>
          <w:lang w:eastAsia="en-GB"/>
        </w:rPr>
        <w:t xml:space="preserve">a total of </w:t>
      </w:r>
      <w:r w:rsidR="00FD76FD">
        <w:rPr>
          <w:rFonts w:ascii="Verdana" w:eastAsia="Times New Roman" w:hAnsi="Verdana" w:cs="Segoe UI"/>
          <w:sz w:val="24"/>
          <w:szCs w:val="24"/>
          <w:lang w:eastAsia="en-GB"/>
        </w:rPr>
        <w:t>90</w:t>
      </w:r>
      <w:r>
        <w:rPr>
          <w:rFonts w:ascii="Verdana" w:eastAsia="Times New Roman" w:hAnsi="Verdana" w:cs="Segoe UI"/>
          <w:sz w:val="24"/>
          <w:szCs w:val="24"/>
          <w:lang w:eastAsia="en-GB"/>
        </w:rPr>
        <w:t xml:space="preserve"> topics listed for delivery</w:t>
      </w:r>
      <w:r w:rsidR="00CD66DD">
        <w:rPr>
          <w:rFonts w:ascii="Verdana" w:eastAsia="Times New Roman" w:hAnsi="Verdana" w:cs="Segoe UI"/>
          <w:sz w:val="24"/>
          <w:szCs w:val="24"/>
          <w:lang w:eastAsia="en-GB"/>
        </w:rPr>
        <w:t xml:space="preserve"> (Figure 4.)</w:t>
      </w:r>
      <w:r>
        <w:rPr>
          <w:rFonts w:ascii="Verdana" w:eastAsia="Times New Roman" w:hAnsi="Verdana" w:cs="Segoe UI"/>
          <w:sz w:val="24"/>
          <w:szCs w:val="24"/>
          <w:lang w:eastAsia="en-GB"/>
        </w:rPr>
        <w:t xml:space="preserve">, </w:t>
      </w:r>
      <w:r w:rsidR="00FD76FD">
        <w:rPr>
          <w:rFonts w:ascii="Verdana" w:eastAsia="Times New Roman" w:hAnsi="Verdana" w:cs="Segoe UI"/>
          <w:sz w:val="24"/>
          <w:szCs w:val="24"/>
          <w:lang w:eastAsia="en-GB"/>
        </w:rPr>
        <w:t>37</w:t>
      </w:r>
      <w:r>
        <w:rPr>
          <w:rFonts w:ascii="Verdana" w:eastAsia="Times New Roman" w:hAnsi="Verdana" w:cs="Segoe UI"/>
          <w:sz w:val="24"/>
          <w:szCs w:val="24"/>
          <w:lang w:eastAsia="en-GB"/>
        </w:rPr>
        <w:t xml:space="preserve">% of which originated from the 2024/26 Audit Programme and are now listed as overdue.  The remaining </w:t>
      </w:r>
      <w:r w:rsidR="00FD76FD">
        <w:rPr>
          <w:rFonts w:ascii="Verdana" w:eastAsia="Times New Roman" w:hAnsi="Verdana" w:cs="Segoe UI"/>
          <w:sz w:val="24"/>
          <w:szCs w:val="24"/>
          <w:lang w:eastAsia="en-GB"/>
        </w:rPr>
        <w:t>63</w:t>
      </w:r>
      <w:r>
        <w:rPr>
          <w:rFonts w:ascii="Verdana" w:eastAsia="Times New Roman" w:hAnsi="Verdana" w:cs="Segoe UI"/>
          <w:sz w:val="24"/>
          <w:szCs w:val="24"/>
          <w:lang w:eastAsia="en-GB"/>
        </w:rPr>
        <w:t>% are a combination of topics from the 2024/26 programme which were deferred, or newly listed</w:t>
      </w:r>
      <w:r w:rsidR="00D82898">
        <w:rPr>
          <w:rFonts w:ascii="Verdana" w:eastAsia="Times New Roman" w:hAnsi="Verdana" w:cs="Segoe UI"/>
          <w:sz w:val="24"/>
          <w:szCs w:val="24"/>
          <w:lang w:eastAsia="en-GB"/>
        </w:rPr>
        <w:t xml:space="preserve"> r</w:t>
      </w:r>
      <w:r>
        <w:rPr>
          <w:rFonts w:ascii="Verdana" w:eastAsia="Times New Roman" w:hAnsi="Verdana" w:cs="Segoe UI"/>
          <w:sz w:val="24"/>
          <w:szCs w:val="24"/>
          <w:lang w:eastAsia="en-GB"/>
        </w:rPr>
        <w:t>equirements identified during the 2026-28 planning round;</w:t>
      </w:r>
      <w:r w:rsidR="00FD76FD">
        <w:rPr>
          <w:rFonts w:ascii="Verdana" w:eastAsia="Times New Roman" w:hAnsi="Verdana" w:cs="Segoe UI"/>
          <w:noProof/>
          <w:sz w:val="24"/>
          <w:szCs w:val="24"/>
          <w:lang w:eastAsia="en-GB"/>
          <w14:ligatures w14:val="standardContextual"/>
        </w:rPr>
        <w:drawing>
          <wp:inline distT="0" distB="0" distL="0" distR="0" wp14:anchorId="05548F09" wp14:editId="08B846BC">
            <wp:extent cx="5536911" cy="2070538"/>
            <wp:effectExtent l="0" t="0" r="6985"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rotWithShape="1">
                    <a:blip r:embed="rId15">
                      <a:extLst>
                        <a:ext uri="{28A0092B-C50C-407E-A947-70E740481C1C}">
                          <a14:useLocalDpi xmlns:a14="http://schemas.microsoft.com/office/drawing/2010/main" val="0"/>
                        </a:ext>
                      </a:extLst>
                    </a:blip>
                    <a:srcRect l="1466" t="9030" r="24730" b="41904"/>
                    <a:stretch/>
                  </pic:blipFill>
                  <pic:spPr bwMode="auto">
                    <a:xfrm>
                      <a:off x="0" y="0"/>
                      <a:ext cx="5558326" cy="2078546"/>
                    </a:xfrm>
                    <a:prstGeom prst="rect">
                      <a:avLst/>
                    </a:prstGeom>
                    <a:ln>
                      <a:noFill/>
                    </a:ln>
                    <a:extLst>
                      <a:ext uri="{53640926-AAD7-44D8-BBD7-CCE9431645EC}">
                        <a14:shadowObscured xmlns:a14="http://schemas.microsoft.com/office/drawing/2010/main"/>
                      </a:ext>
                    </a:extLst>
                  </pic:spPr>
                </pic:pic>
              </a:graphicData>
            </a:graphic>
          </wp:inline>
        </w:drawing>
      </w:r>
    </w:p>
    <w:p w14:paraId="73D39718" w14:textId="22489D37" w:rsidR="00933236" w:rsidRPr="00051CEF" w:rsidRDefault="00933236" w:rsidP="00933236">
      <w:pPr>
        <w:spacing w:before="100" w:beforeAutospacing="1" w:after="100" w:afterAutospacing="1" w:line="240" w:lineRule="auto"/>
        <w:jc w:val="right"/>
        <w:rPr>
          <w:rFonts w:ascii="Verdana" w:eastAsia="Times New Roman" w:hAnsi="Verdana" w:cs="Segoe UI"/>
          <w:sz w:val="16"/>
          <w:szCs w:val="16"/>
          <w:lang w:eastAsia="en-GB"/>
        </w:rPr>
      </w:pPr>
      <w:r w:rsidRPr="00F907D2">
        <w:rPr>
          <w:rFonts w:ascii="Verdana" w:eastAsia="Times New Roman" w:hAnsi="Verdana" w:cs="Segoe UI"/>
          <w:sz w:val="16"/>
          <w:szCs w:val="16"/>
          <w:lang w:eastAsia="en-GB"/>
        </w:rPr>
        <w:t>Figure</w:t>
      </w:r>
      <w:r>
        <w:rPr>
          <w:rFonts w:ascii="Verdana" w:eastAsia="Times New Roman" w:hAnsi="Verdana" w:cs="Segoe UI"/>
          <w:sz w:val="16"/>
          <w:szCs w:val="16"/>
          <w:lang w:eastAsia="en-GB"/>
        </w:rPr>
        <w:t xml:space="preserve"> 4.  Audit Tasks to be delivered by the Morriston Service Group</w:t>
      </w:r>
    </w:p>
    <w:p w14:paraId="7FBE1D4B" w14:textId="292E4A87" w:rsidR="00D17319" w:rsidRDefault="00D17319" w:rsidP="00287ED9">
      <w:pPr>
        <w:pStyle w:val="NormalWeb"/>
        <w:rPr>
          <w:rFonts w:ascii="Verdana" w:hAnsi="Verdana" w:cs="Segoe UI"/>
          <w:b/>
          <w:bCs/>
        </w:rPr>
      </w:pPr>
      <w:r>
        <w:rPr>
          <w:rFonts w:ascii="Verdana" w:hAnsi="Verdana" w:cs="Segoe UI"/>
          <w:b/>
          <w:bCs/>
        </w:rPr>
        <w:t xml:space="preserve">2.14  </w:t>
      </w:r>
      <w:r w:rsidRPr="00680184">
        <w:rPr>
          <w:rFonts w:ascii="Verdana" w:hAnsi="Verdana" w:cs="Segoe UI"/>
          <w:b/>
          <w:bCs/>
        </w:rPr>
        <w:t xml:space="preserve">Primary, Community </w:t>
      </w:r>
      <w:r w:rsidR="00933236">
        <w:rPr>
          <w:rFonts w:ascii="Verdana" w:hAnsi="Verdana" w:cs="Segoe UI"/>
          <w:b/>
          <w:bCs/>
        </w:rPr>
        <w:t xml:space="preserve">Care </w:t>
      </w:r>
      <w:r w:rsidRPr="00680184">
        <w:rPr>
          <w:rFonts w:ascii="Verdana" w:hAnsi="Verdana" w:cs="Segoe UI"/>
          <w:b/>
          <w:bCs/>
        </w:rPr>
        <w:t>and Therapies (PCT)</w:t>
      </w:r>
    </w:p>
    <w:p w14:paraId="1BB9E5C6" w14:textId="6C53B8B9" w:rsidR="00F54C90" w:rsidRPr="006F1D58" w:rsidRDefault="00FD76FD" w:rsidP="00287ED9">
      <w:pPr>
        <w:pStyle w:val="NormalWeb"/>
        <w:rPr>
          <w:rFonts w:ascii="Verdana" w:hAnsi="Verdana" w:cs="Segoe UI"/>
        </w:rPr>
      </w:pPr>
      <w:r>
        <w:rPr>
          <w:rFonts w:ascii="Verdana" w:hAnsi="Verdana" w:cs="Segoe UI"/>
        </w:rPr>
        <w:t xml:space="preserve">A total of 10 topics were closed during the 2025-26 period.  </w:t>
      </w:r>
      <w:r w:rsidR="00F54C90" w:rsidRPr="006F1D58">
        <w:rPr>
          <w:rFonts w:ascii="Verdana" w:hAnsi="Verdana" w:cs="Segoe UI"/>
        </w:rPr>
        <w:t xml:space="preserve">Audits completed across </w:t>
      </w:r>
      <w:r w:rsidR="00D82898">
        <w:rPr>
          <w:rFonts w:ascii="Verdana" w:hAnsi="Verdana" w:cs="Segoe UI"/>
        </w:rPr>
        <w:t>PCT</w:t>
      </w:r>
      <w:r w:rsidR="00F54C90" w:rsidRPr="006F1D58">
        <w:rPr>
          <w:rFonts w:ascii="Verdana" w:hAnsi="Verdana" w:cs="Segoe UI"/>
        </w:rPr>
        <w:t xml:space="preserve"> during </w:t>
      </w:r>
      <w:r w:rsidR="00F54C90" w:rsidRPr="006F1D58">
        <w:rPr>
          <w:rStyle w:val="Strong"/>
          <w:rFonts w:ascii="Verdana" w:eastAsiaTheme="majorEastAsia" w:hAnsi="Verdana" w:cs="Segoe UI"/>
          <w:b w:val="0"/>
          <w:bCs w:val="0"/>
        </w:rPr>
        <w:t>2025–26</w:t>
      </w:r>
      <w:r w:rsidR="00F54C90" w:rsidRPr="006F1D58">
        <w:rPr>
          <w:rFonts w:ascii="Verdana" w:hAnsi="Verdana" w:cs="Segoe UI"/>
        </w:rPr>
        <w:t xml:space="preserve"> provided assurance across a diverse range of community</w:t>
      </w:r>
      <w:r w:rsidR="00F54C90" w:rsidRPr="006F1D58">
        <w:rPr>
          <w:rFonts w:ascii="Verdana" w:hAnsi="Verdana" w:cs="Segoe UI"/>
        </w:rPr>
        <w:noBreakHyphen/>
        <w:t>based, outpatient, and specialist services, including dental services, cardiac rehabilitation, audiology, podiatry, sexual health, therapies, and palliative care. The programme demonstrated effective use of audit to identify pathway bottlenecks, improve access to care, strengthen documentation standards, and support patient safety in lower</w:t>
      </w:r>
      <w:r w:rsidR="00F54C90" w:rsidRPr="006F1D58">
        <w:rPr>
          <w:rFonts w:ascii="Verdana" w:hAnsi="Verdana" w:cs="Segoe UI"/>
        </w:rPr>
        <w:noBreakHyphen/>
        <w:t>volume but high</w:t>
      </w:r>
      <w:r w:rsidR="00F54C90" w:rsidRPr="006F1D58">
        <w:rPr>
          <w:rFonts w:ascii="Verdana" w:hAnsi="Verdana" w:cs="Segoe UI"/>
        </w:rPr>
        <w:noBreakHyphen/>
        <w:t>impact services.</w:t>
      </w:r>
    </w:p>
    <w:p w14:paraId="45B0AF47" w14:textId="579DBCC3" w:rsidR="00F54C90" w:rsidRPr="006F1D58" w:rsidRDefault="00F54C90" w:rsidP="00287ED9">
      <w:pPr>
        <w:pStyle w:val="NormalWeb"/>
        <w:rPr>
          <w:rFonts w:ascii="Verdana" w:hAnsi="Verdana" w:cs="Segoe UI"/>
        </w:rPr>
      </w:pPr>
      <w:r w:rsidRPr="006F1D58">
        <w:rPr>
          <w:rFonts w:ascii="Verdana" w:hAnsi="Verdana" w:cs="Segoe UI"/>
        </w:rPr>
        <w:t xml:space="preserve">Several audits identified </w:t>
      </w:r>
      <w:r w:rsidRPr="006F1D58">
        <w:rPr>
          <w:rStyle w:val="Strong"/>
          <w:rFonts w:ascii="Verdana" w:eastAsiaTheme="majorEastAsia" w:hAnsi="Verdana" w:cs="Segoe UI"/>
          <w:b w:val="0"/>
          <w:bCs w:val="0"/>
        </w:rPr>
        <w:t>high</w:t>
      </w:r>
      <w:r w:rsidRPr="006F1D58">
        <w:rPr>
          <w:rStyle w:val="Strong"/>
          <w:rFonts w:ascii="Verdana" w:eastAsiaTheme="majorEastAsia" w:hAnsi="Verdana" w:cs="Segoe UI"/>
          <w:b w:val="0"/>
          <w:bCs w:val="0"/>
        </w:rPr>
        <w:noBreakHyphen/>
        <w:t>value improvement opportunities</w:t>
      </w:r>
      <w:r w:rsidRPr="006F1D58">
        <w:rPr>
          <w:rFonts w:ascii="Verdana" w:hAnsi="Verdana" w:cs="Segoe UI"/>
        </w:rPr>
        <w:t>, particularly where patients were not consistently accessing evidence</w:t>
      </w:r>
      <w:r w:rsidRPr="006F1D58">
        <w:rPr>
          <w:rFonts w:ascii="Verdana" w:hAnsi="Verdana" w:cs="Segoe UI"/>
        </w:rPr>
        <w:noBreakHyphen/>
        <w:t>based interventions (</w:t>
      </w:r>
      <w:r w:rsidR="00F24549" w:rsidRPr="006F1D58">
        <w:rPr>
          <w:rFonts w:ascii="Verdana" w:hAnsi="Verdana" w:cs="Segoe UI"/>
        </w:rPr>
        <w:t>e.g.,</w:t>
      </w:r>
      <w:r w:rsidRPr="006F1D58">
        <w:rPr>
          <w:rFonts w:ascii="Verdana" w:hAnsi="Verdana" w:cs="Segoe UI"/>
        </w:rPr>
        <w:t xml:space="preserve"> cardiac rehabilitation and cochlear implant assessment), or where pathway inefficiencies increased clinical risk. While many projects demonstrated strong compliance with professional standards and measurable improvement following </w:t>
      </w:r>
      <w:r w:rsidRPr="006F1D58">
        <w:rPr>
          <w:rFonts w:ascii="Verdana" w:hAnsi="Verdana" w:cs="Segoe UI"/>
        </w:rPr>
        <w:lastRenderedPageBreak/>
        <w:t>intervention, residual risk remains in relation to service capacity, staff awareness of referral criteria, documentation quality, and sustainability of improvements without further re</w:t>
      </w:r>
      <w:r w:rsidRPr="006F1D58">
        <w:rPr>
          <w:rFonts w:ascii="Verdana" w:hAnsi="Verdana" w:cs="Segoe UI"/>
        </w:rPr>
        <w:noBreakHyphen/>
        <w:t>audit.</w:t>
      </w:r>
    </w:p>
    <w:p w14:paraId="40A6409E" w14:textId="229CB573" w:rsidR="00082B76" w:rsidRDefault="00750DEF" w:rsidP="00287ED9">
      <w:pPr>
        <w:spacing w:before="100" w:beforeAutospacing="1" w:after="100" w:afterAutospacing="1" w:line="240" w:lineRule="auto"/>
        <w:rPr>
          <w:rFonts w:ascii="Verdana" w:eastAsia="Times New Roman" w:hAnsi="Verdana" w:cs="Segoe UI"/>
          <w:sz w:val="24"/>
          <w:szCs w:val="24"/>
          <w:lang w:eastAsia="en-GB"/>
        </w:rPr>
      </w:pPr>
      <w:r w:rsidRPr="00763128">
        <w:rPr>
          <w:rFonts w:ascii="Verdana" w:eastAsia="Times New Roman" w:hAnsi="Verdana" w:cs="Segoe UI"/>
          <w:sz w:val="24"/>
          <w:szCs w:val="24"/>
          <w:lang w:eastAsia="en-GB"/>
        </w:rPr>
        <w:t xml:space="preserve">The </w:t>
      </w:r>
      <w:r w:rsidR="009115B6">
        <w:rPr>
          <w:rFonts w:ascii="Verdana" w:eastAsia="Times New Roman" w:hAnsi="Verdana" w:cs="Segoe UI"/>
          <w:sz w:val="24"/>
          <w:szCs w:val="24"/>
          <w:lang w:eastAsia="en-GB"/>
        </w:rPr>
        <w:t xml:space="preserve">above </w:t>
      </w:r>
      <w:r>
        <w:rPr>
          <w:rFonts w:ascii="Verdana" w:eastAsia="Times New Roman" w:hAnsi="Verdana" w:cs="Segoe UI"/>
          <w:sz w:val="24"/>
          <w:szCs w:val="24"/>
          <w:lang w:eastAsia="en-GB"/>
        </w:rPr>
        <w:t>summary and</w:t>
      </w:r>
      <w:r w:rsidRPr="00763128">
        <w:rPr>
          <w:rFonts w:ascii="Verdana" w:eastAsia="Times New Roman" w:hAnsi="Verdana" w:cs="Segoe UI"/>
          <w:sz w:val="24"/>
          <w:szCs w:val="24"/>
          <w:lang w:eastAsia="en-GB"/>
        </w:rPr>
        <w:t xml:space="preserve"> </w:t>
      </w:r>
      <w:r>
        <w:rPr>
          <w:rFonts w:ascii="Verdana" w:eastAsia="Times New Roman" w:hAnsi="Verdana" w:cs="Segoe UI"/>
          <w:sz w:val="24"/>
          <w:szCs w:val="24"/>
          <w:lang w:eastAsia="en-GB"/>
        </w:rPr>
        <w:t xml:space="preserve">project </w:t>
      </w:r>
      <w:r w:rsidRPr="00763128">
        <w:rPr>
          <w:rFonts w:ascii="Verdana" w:eastAsia="Times New Roman" w:hAnsi="Verdana" w:cs="Segoe UI"/>
          <w:sz w:val="24"/>
          <w:szCs w:val="24"/>
          <w:lang w:eastAsia="en-GB"/>
        </w:rPr>
        <w:t xml:space="preserve">outlines </w:t>
      </w:r>
      <w:r w:rsidR="009115B6">
        <w:rPr>
          <w:rFonts w:ascii="Verdana" w:eastAsia="Times New Roman" w:hAnsi="Verdana" w:cs="Segoe UI"/>
          <w:sz w:val="24"/>
          <w:szCs w:val="24"/>
          <w:lang w:eastAsia="en-GB"/>
        </w:rPr>
        <w:t xml:space="preserve">in Appendix 3 </w:t>
      </w:r>
      <w:r w:rsidRPr="00763128">
        <w:rPr>
          <w:rFonts w:ascii="Verdana" w:eastAsia="Times New Roman" w:hAnsi="Verdana" w:cs="Segoe UI"/>
          <w:sz w:val="24"/>
          <w:szCs w:val="24"/>
          <w:lang w:eastAsia="en-GB"/>
        </w:rPr>
        <w:t>are AI</w:t>
      </w:r>
      <w:r w:rsidRPr="00763128">
        <w:rPr>
          <w:rFonts w:ascii="Verdana" w:eastAsia="Times New Roman" w:hAnsi="Verdana" w:cs="Segoe UI"/>
          <w:sz w:val="24"/>
          <w:szCs w:val="24"/>
          <w:lang w:eastAsia="en-GB"/>
        </w:rPr>
        <w:noBreakHyphen/>
        <w:t>generated from outcome records</w:t>
      </w:r>
      <w:r>
        <w:rPr>
          <w:rFonts w:ascii="Verdana" w:eastAsia="Times New Roman" w:hAnsi="Verdana" w:cs="Segoe UI"/>
          <w:sz w:val="24"/>
          <w:szCs w:val="24"/>
          <w:lang w:eastAsia="en-GB"/>
        </w:rPr>
        <w:t xml:space="preserve"> submitted between 1</w:t>
      </w:r>
      <w:r w:rsidRPr="00803C95">
        <w:rPr>
          <w:rFonts w:ascii="Verdana" w:eastAsia="Times New Roman" w:hAnsi="Verdana" w:cs="Segoe UI"/>
          <w:sz w:val="24"/>
          <w:szCs w:val="24"/>
          <w:vertAlign w:val="superscript"/>
          <w:lang w:eastAsia="en-GB"/>
        </w:rPr>
        <w:t>st</w:t>
      </w:r>
      <w:r>
        <w:rPr>
          <w:rFonts w:ascii="Verdana" w:eastAsia="Times New Roman" w:hAnsi="Verdana" w:cs="Segoe UI"/>
          <w:sz w:val="24"/>
          <w:szCs w:val="24"/>
          <w:lang w:eastAsia="en-GB"/>
        </w:rPr>
        <w:t xml:space="preserve"> Ap</w:t>
      </w:r>
      <w:r w:rsidRPr="00763128">
        <w:rPr>
          <w:rFonts w:ascii="Verdana" w:eastAsia="Times New Roman" w:hAnsi="Verdana" w:cs="Segoe UI"/>
          <w:sz w:val="24"/>
          <w:szCs w:val="24"/>
          <w:lang w:eastAsia="en-GB"/>
        </w:rPr>
        <w:t xml:space="preserve">ril 2025 and 31 March 2026. They do not represent the full 2024–26 audit programme and may include projects initiated under earlier programmes. </w:t>
      </w:r>
    </w:p>
    <w:p w14:paraId="13B4D12F" w14:textId="4016FE3E" w:rsidR="00FD76FD" w:rsidRPr="00051CEF" w:rsidRDefault="00FD76FD" w:rsidP="00FD76FD">
      <w:pPr>
        <w:spacing w:before="100" w:beforeAutospacing="1" w:after="100" w:afterAutospacing="1" w:line="240" w:lineRule="auto"/>
        <w:rPr>
          <w:rFonts w:ascii="Verdana" w:eastAsia="Times New Roman" w:hAnsi="Verdana" w:cs="Segoe UI"/>
          <w:b/>
          <w:bCs/>
          <w:sz w:val="24"/>
          <w:szCs w:val="24"/>
          <w:lang w:eastAsia="en-GB"/>
        </w:rPr>
      </w:pPr>
      <w:r w:rsidRPr="00051CEF">
        <w:rPr>
          <w:rFonts w:ascii="Verdana" w:eastAsia="Times New Roman" w:hAnsi="Verdana" w:cs="Segoe UI"/>
          <w:b/>
          <w:bCs/>
          <w:sz w:val="24"/>
          <w:szCs w:val="24"/>
          <w:lang w:eastAsia="en-GB"/>
        </w:rPr>
        <w:t>2.1</w:t>
      </w:r>
      <w:r>
        <w:rPr>
          <w:rFonts w:ascii="Verdana" w:eastAsia="Times New Roman" w:hAnsi="Verdana" w:cs="Segoe UI"/>
          <w:b/>
          <w:bCs/>
          <w:sz w:val="24"/>
          <w:szCs w:val="24"/>
          <w:lang w:eastAsia="en-GB"/>
        </w:rPr>
        <w:t>4</w:t>
      </w:r>
      <w:r w:rsidRPr="00051CEF">
        <w:rPr>
          <w:rFonts w:ascii="Verdana" w:eastAsia="Times New Roman" w:hAnsi="Verdana" w:cs="Segoe UI"/>
          <w:b/>
          <w:bCs/>
          <w:sz w:val="24"/>
          <w:szCs w:val="24"/>
          <w:lang w:eastAsia="en-GB"/>
        </w:rPr>
        <w:t>.1  Audit Requirements</w:t>
      </w:r>
    </w:p>
    <w:p w14:paraId="62AEA210" w14:textId="7C82330E" w:rsidR="00EF770B" w:rsidRDefault="00FD76FD" w:rsidP="00FD76FD">
      <w:pPr>
        <w:spacing w:before="100" w:beforeAutospacing="1" w:after="100" w:afterAutospacing="1" w:line="240" w:lineRule="auto"/>
        <w:rPr>
          <w:rFonts w:ascii="Verdana" w:eastAsia="Times New Roman" w:hAnsi="Verdana" w:cs="Segoe UI"/>
          <w:sz w:val="24"/>
          <w:szCs w:val="24"/>
          <w:lang w:eastAsia="en-GB"/>
        </w:rPr>
      </w:pPr>
      <w:r>
        <w:rPr>
          <w:rFonts w:ascii="Verdana" w:eastAsia="Times New Roman" w:hAnsi="Verdana" w:cs="Segoe UI"/>
          <w:sz w:val="24"/>
          <w:szCs w:val="24"/>
          <w:lang w:eastAsia="en-GB"/>
        </w:rPr>
        <w:t>As of 1</w:t>
      </w:r>
      <w:r w:rsidRPr="00F907D2">
        <w:rPr>
          <w:rFonts w:ascii="Verdana" w:eastAsia="Times New Roman" w:hAnsi="Verdana" w:cs="Segoe UI"/>
          <w:sz w:val="24"/>
          <w:szCs w:val="24"/>
          <w:vertAlign w:val="superscript"/>
          <w:lang w:eastAsia="en-GB"/>
        </w:rPr>
        <w:t>st</w:t>
      </w:r>
      <w:r>
        <w:rPr>
          <w:rFonts w:ascii="Verdana" w:eastAsia="Times New Roman" w:hAnsi="Verdana" w:cs="Segoe UI"/>
          <w:sz w:val="24"/>
          <w:szCs w:val="24"/>
          <w:lang w:eastAsia="en-GB"/>
        </w:rPr>
        <w:t xml:space="preserve"> April 2026, </w:t>
      </w:r>
      <w:r w:rsidR="00D82898">
        <w:rPr>
          <w:rFonts w:ascii="Verdana" w:eastAsia="Times New Roman" w:hAnsi="Verdana" w:cs="Segoe UI"/>
          <w:sz w:val="24"/>
          <w:szCs w:val="24"/>
          <w:lang w:eastAsia="en-GB"/>
        </w:rPr>
        <w:t xml:space="preserve">there are a </w:t>
      </w:r>
      <w:r>
        <w:rPr>
          <w:rFonts w:ascii="Verdana" w:eastAsia="Times New Roman" w:hAnsi="Verdana" w:cs="Segoe UI"/>
          <w:sz w:val="24"/>
          <w:szCs w:val="24"/>
          <w:lang w:eastAsia="en-GB"/>
        </w:rPr>
        <w:t>total of 14 topics listed for delivery</w:t>
      </w:r>
      <w:r w:rsidR="00CD66DD">
        <w:rPr>
          <w:rFonts w:ascii="Verdana" w:eastAsia="Times New Roman" w:hAnsi="Verdana" w:cs="Segoe UI"/>
          <w:sz w:val="24"/>
          <w:szCs w:val="24"/>
          <w:lang w:eastAsia="en-GB"/>
        </w:rPr>
        <w:t xml:space="preserve"> (Figure 5.)</w:t>
      </w:r>
      <w:r>
        <w:rPr>
          <w:rFonts w:ascii="Verdana" w:eastAsia="Times New Roman" w:hAnsi="Verdana" w:cs="Segoe UI"/>
          <w:sz w:val="24"/>
          <w:szCs w:val="24"/>
          <w:lang w:eastAsia="en-GB"/>
        </w:rPr>
        <w:t>, 14% of which originated from the 2024/26 Audit Programme and are now listed as overdue.  The remaining 86% are a combination of topics from the 2024/26 programme which were deferred, or newly listed requirements identified during the 2026-28 planning round;</w:t>
      </w:r>
      <w:r w:rsidR="00EF770B">
        <w:rPr>
          <w:rFonts w:ascii="Verdana" w:eastAsia="Times New Roman" w:hAnsi="Verdana" w:cs="Segoe UI"/>
          <w:noProof/>
          <w:sz w:val="24"/>
          <w:szCs w:val="24"/>
          <w:lang w:eastAsia="en-GB"/>
          <w14:ligatures w14:val="standardContextual"/>
        </w:rPr>
        <w:drawing>
          <wp:inline distT="0" distB="0" distL="0" distR="0" wp14:anchorId="5BBE9913" wp14:editId="271046E6">
            <wp:extent cx="5571868" cy="2154621"/>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rotWithShape="1">
                    <a:blip r:embed="rId16">
                      <a:extLst>
                        <a:ext uri="{28A0092B-C50C-407E-A947-70E740481C1C}">
                          <a14:useLocalDpi xmlns:a14="http://schemas.microsoft.com/office/drawing/2010/main" val="0"/>
                        </a:ext>
                      </a:extLst>
                    </a:blip>
                    <a:srcRect l="2384" t="8479" r="24815" b="41472"/>
                    <a:stretch/>
                  </pic:blipFill>
                  <pic:spPr bwMode="auto">
                    <a:xfrm>
                      <a:off x="0" y="0"/>
                      <a:ext cx="5587683" cy="2160737"/>
                    </a:xfrm>
                    <a:prstGeom prst="rect">
                      <a:avLst/>
                    </a:prstGeom>
                    <a:ln>
                      <a:noFill/>
                    </a:ln>
                    <a:extLst>
                      <a:ext uri="{53640926-AAD7-44D8-BBD7-CCE9431645EC}">
                        <a14:shadowObscured xmlns:a14="http://schemas.microsoft.com/office/drawing/2010/main"/>
                      </a:ext>
                    </a:extLst>
                  </pic:spPr>
                </pic:pic>
              </a:graphicData>
            </a:graphic>
          </wp:inline>
        </w:drawing>
      </w:r>
    </w:p>
    <w:p w14:paraId="58F73F83" w14:textId="2BF1C8D2" w:rsidR="00933236" w:rsidRPr="00051CEF" w:rsidRDefault="00933236" w:rsidP="00933236">
      <w:pPr>
        <w:spacing w:before="100" w:beforeAutospacing="1" w:after="100" w:afterAutospacing="1" w:line="240" w:lineRule="auto"/>
        <w:jc w:val="right"/>
        <w:rPr>
          <w:rFonts w:ascii="Verdana" w:eastAsia="Times New Roman" w:hAnsi="Verdana" w:cs="Segoe UI"/>
          <w:sz w:val="16"/>
          <w:szCs w:val="16"/>
          <w:lang w:eastAsia="en-GB"/>
        </w:rPr>
      </w:pPr>
      <w:r w:rsidRPr="00F907D2">
        <w:rPr>
          <w:rFonts w:ascii="Verdana" w:eastAsia="Times New Roman" w:hAnsi="Verdana" w:cs="Segoe UI"/>
          <w:sz w:val="16"/>
          <w:szCs w:val="16"/>
          <w:lang w:eastAsia="en-GB"/>
        </w:rPr>
        <w:t>Figure</w:t>
      </w:r>
      <w:r>
        <w:rPr>
          <w:rFonts w:ascii="Verdana" w:eastAsia="Times New Roman" w:hAnsi="Verdana" w:cs="Segoe UI"/>
          <w:sz w:val="16"/>
          <w:szCs w:val="16"/>
          <w:lang w:eastAsia="en-GB"/>
        </w:rPr>
        <w:t xml:space="preserve"> 5.  Audit Tasks to be delivered by the Primary, Community Care &amp; Therapies Service Group</w:t>
      </w:r>
    </w:p>
    <w:p w14:paraId="252E6E81" w14:textId="77777777" w:rsidR="00770474" w:rsidRPr="00680184" w:rsidRDefault="00770474" w:rsidP="00770474">
      <w:pPr>
        <w:pStyle w:val="Heading2"/>
        <w:spacing w:line="240" w:lineRule="auto"/>
        <w:rPr>
          <w:rFonts w:ascii="Verdana" w:hAnsi="Verdana" w:cs="Segoe UI"/>
          <w:b/>
          <w:bCs/>
          <w:color w:val="auto"/>
          <w:sz w:val="24"/>
          <w:szCs w:val="24"/>
        </w:rPr>
      </w:pPr>
      <w:r>
        <w:rPr>
          <w:rFonts w:ascii="Verdana" w:hAnsi="Verdana" w:cs="Segoe UI"/>
          <w:b/>
          <w:bCs/>
          <w:color w:val="auto"/>
          <w:sz w:val="24"/>
          <w:szCs w:val="24"/>
        </w:rPr>
        <w:t xml:space="preserve">2.15  </w:t>
      </w:r>
      <w:r w:rsidRPr="00680184">
        <w:rPr>
          <w:rFonts w:ascii="Verdana" w:hAnsi="Verdana" w:cs="Segoe UI"/>
          <w:b/>
          <w:bCs/>
          <w:color w:val="auto"/>
          <w:sz w:val="24"/>
          <w:szCs w:val="24"/>
        </w:rPr>
        <w:t>Singleton and Neath Port Talbot</w:t>
      </w:r>
    </w:p>
    <w:p w14:paraId="44617573" w14:textId="0251671C" w:rsidR="00CD5104" w:rsidRPr="00CD5104" w:rsidRDefault="00770474" w:rsidP="00287ED9">
      <w:pPr>
        <w:spacing w:before="100" w:beforeAutospacing="1" w:after="100" w:afterAutospacing="1" w:line="240" w:lineRule="auto"/>
        <w:rPr>
          <w:rFonts w:ascii="Verdana" w:eastAsia="Times New Roman" w:hAnsi="Verdana" w:cs="Segoe UI"/>
          <w:sz w:val="24"/>
          <w:szCs w:val="24"/>
          <w:lang w:eastAsia="en-GB"/>
        </w:rPr>
      </w:pPr>
      <w:r>
        <w:rPr>
          <w:rFonts w:ascii="Verdana" w:eastAsia="Times New Roman" w:hAnsi="Verdana" w:cs="Segoe UI"/>
          <w:sz w:val="24"/>
          <w:szCs w:val="24"/>
          <w:lang w:eastAsia="en-GB"/>
        </w:rPr>
        <w:t xml:space="preserve">A total of </w:t>
      </w:r>
      <w:r w:rsidRPr="00770474">
        <w:rPr>
          <w:rFonts w:ascii="Verdana" w:hAnsi="Verdana" w:cs="Segoe UI"/>
          <w:sz w:val="24"/>
          <w:szCs w:val="24"/>
        </w:rPr>
        <w:t>35</w:t>
      </w:r>
      <w:r>
        <w:rPr>
          <w:rFonts w:ascii="Verdana" w:eastAsia="Times New Roman" w:hAnsi="Verdana" w:cs="Segoe UI"/>
          <w:sz w:val="24"/>
          <w:szCs w:val="24"/>
          <w:lang w:eastAsia="en-GB"/>
        </w:rPr>
        <w:t xml:space="preserve"> topics were closed during the 2025-26 period.  </w:t>
      </w:r>
      <w:r w:rsidR="00CD5104" w:rsidRPr="00CD5104">
        <w:rPr>
          <w:rFonts w:ascii="Verdana" w:eastAsia="Times New Roman" w:hAnsi="Verdana" w:cs="Segoe UI"/>
          <w:sz w:val="24"/>
          <w:szCs w:val="24"/>
          <w:lang w:eastAsia="en-GB"/>
        </w:rPr>
        <w:t>Audits completed across Singleton and Neath Port Talbot services during 2025–26 provided assurance across a wide range of services, including women’s services, oncology, paediatrics, anaesthetics, dermatology, trauma and orthopaedics, haematology, palliative care, and community</w:t>
      </w:r>
      <w:r w:rsidR="00CD5104" w:rsidRPr="00CD5104">
        <w:rPr>
          <w:rFonts w:ascii="Verdana" w:eastAsia="Times New Roman" w:hAnsi="Verdana" w:cs="Segoe UI"/>
          <w:sz w:val="24"/>
          <w:szCs w:val="24"/>
          <w:lang w:eastAsia="en-GB"/>
        </w:rPr>
        <w:noBreakHyphen/>
        <w:t>based pathways. The programme demonstrated effective multidisciplinary engagement, robust participation in national and local audit activity, and tangible improvements in patient safety, pathway efficiency, documentation standards, clinical outcomes, and medical and surgical training.</w:t>
      </w:r>
    </w:p>
    <w:p w14:paraId="69E3A36D" w14:textId="77777777" w:rsidR="00CD5104" w:rsidRPr="00CD5104" w:rsidRDefault="00CD5104" w:rsidP="00287ED9">
      <w:pPr>
        <w:spacing w:before="100" w:beforeAutospacing="1" w:after="100" w:afterAutospacing="1" w:line="240" w:lineRule="auto"/>
        <w:rPr>
          <w:rFonts w:ascii="Verdana" w:eastAsia="Times New Roman" w:hAnsi="Verdana" w:cs="Segoe UI"/>
          <w:sz w:val="24"/>
          <w:szCs w:val="24"/>
          <w:lang w:eastAsia="en-GB"/>
        </w:rPr>
      </w:pPr>
      <w:r w:rsidRPr="00CD5104">
        <w:rPr>
          <w:rFonts w:ascii="Verdana" w:eastAsia="Times New Roman" w:hAnsi="Verdana" w:cs="Segoe UI"/>
          <w:sz w:val="24"/>
          <w:szCs w:val="24"/>
          <w:lang w:eastAsia="en-GB"/>
        </w:rPr>
        <w:t>Several audits identified high</w:t>
      </w:r>
      <w:r w:rsidRPr="00CD5104">
        <w:rPr>
          <w:rFonts w:ascii="Verdana" w:eastAsia="Times New Roman" w:hAnsi="Verdana" w:cs="Segoe UI"/>
          <w:sz w:val="24"/>
          <w:szCs w:val="24"/>
          <w:lang w:eastAsia="en-GB"/>
        </w:rPr>
        <w:noBreakHyphen/>
        <w:t>risk and capacity</w:t>
      </w:r>
      <w:r w:rsidRPr="00CD5104">
        <w:rPr>
          <w:rFonts w:ascii="Verdana" w:eastAsia="Times New Roman" w:hAnsi="Verdana" w:cs="Segoe UI"/>
          <w:sz w:val="24"/>
          <w:szCs w:val="24"/>
          <w:lang w:eastAsia="en-GB"/>
        </w:rPr>
        <w:noBreakHyphen/>
        <w:t xml:space="preserve">driven pressures, particularly within oncology services (including SACT delivery and neutropenic sepsis), maternity fetal monitoring pathways, and neurodevelopmental and paediatric cardiology services, where increasing demand, workforce constraints, reliance on timely documentation, and </w:t>
      </w:r>
      <w:r w:rsidRPr="00CD5104">
        <w:rPr>
          <w:rFonts w:ascii="Verdana" w:eastAsia="Times New Roman" w:hAnsi="Verdana" w:cs="Segoe UI"/>
          <w:sz w:val="24"/>
          <w:szCs w:val="24"/>
          <w:lang w:eastAsia="en-GB"/>
        </w:rPr>
        <w:lastRenderedPageBreak/>
        <w:t>pathway complexity continue to limit full assurance. While many areas demonstrated good or improving compliance following intervention and re</w:t>
      </w:r>
      <w:r w:rsidRPr="00CD5104">
        <w:rPr>
          <w:rFonts w:ascii="Verdana" w:eastAsia="Times New Roman" w:hAnsi="Verdana" w:cs="Segoe UI"/>
          <w:sz w:val="24"/>
          <w:szCs w:val="24"/>
          <w:lang w:eastAsia="en-GB"/>
        </w:rPr>
        <w:noBreakHyphen/>
        <w:t>audit, residual risks remain where practice is inconsistently documented, where services remain demand</w:t>
      </w:r>
      <w:r w:rsidRPr="00CD5104">
        <w:rPr>
          <w:rFonts w:ascii="Verdana" w:eastAsia="Times New Roman" w:hAnsi="Verdana" w:cs="Segoe UI"/>
          <w:sz w:val="24"/>
          <w:szCs w:val="24"/>
          <w:lang w:eastAsia="en-GB"/>
        </w:rPr>
        <w:noBreakHyphen/>
        <w:t>pressured, or where system</w:t>
      </w:r>
      <w:r w:rsidRPr="00CD5104">
        <w:rPr>
          <w:rFonts w:ascii="Verdana" w:eastAsia="Times New Roman" w:hAnsi="Verdana" w:cs="Segoe UI"/>
          <w:sz w:val="24"/>
          <w:szCs w:val="24"/>
          <w:lang w:eastAsia="en-GB"/>
        </w:rPr>
        <w:noBreakHyphen/>
        <w:t>wide improvement requires sustained monitoring, re</w:t>
      </w:r>
      <w:r w:rsidRPr="00CD5104">
        <w:rPr>
          <w:rFonts w:ascii="Verdana" w:eastAsia="Times New Roman" w:hAnsi="Verdana" w:cs="Segoe UI"/>
          <w:sz w:val="24"/>
          <w:szCs w:val="24"/>
          <w:lang w:eastAsia="en-GB"/>
        </w:rPr>
        <w:noBreakHyphen/>
        <w:t>audit, or escalation into formal Quality Improvement activity.</w:t>
      </w:r>
    </w:p>
    <w:p w14:paraId="50384CA4" w14:textId="73E5C057" w:rsidR="00B87F28" w:rsidRDefault="00750DEF" w:rsidP="00287ED9">
      <w:pPr>
        <w:spacing w:before="100" w:beforeAutospacing="1" w:after="100" w:afterAutospacing="1" w:line="240" w:lineRule="auto"/>
        <w:rPr>
          <w:rFonts w:ascii="Verdana" w:eastAsia="Times New Roman" w:hAnsi="Verdana" w:cs="Segoe UI"/>
          <w:sz w:val="24"/>
          <w:szCs w:val="24"/>
          <w:lang w:eastAsia="en-GB"/>
        </w:rPr>
      </w:pPr>
      <w:r w:rsidRPr="00763128">
        <w:rPr>
          <w:rFonts w:ascii="Verdana" w:eastAsia="Times New Roman" w:hAnsi="Verdana" w:cs="Segoe UI"/>
          <w:sz w:val="24"/>
          <w:szCs w:val="24"/>
          <w:lang w:eastAsia="en-GB"/>
        </w:rPr>
        <w:t xml:space="preserve">The </w:t>
      </w:r>
      <w:r w:rsidR="009115B6">
        <w:rPr>
          <w:rFonts w:ascii="Verdana" w:eastAsia="Times New Roman" w:hAnsi="Verdana" w:cs="Segoe UI"/>
          <w:sz w:val="24"/>
          <w:szCs w:val="24"/>
          <w:lang w:eastAsia="en-GB"/>
        </w:rPr>
        <w:t xml:space="preserve">above </w:t>
      </w:r>
      <w:r>
        <w:rPr>
          <w:rFonts w:ascii="Verdana" w:eastAsia="Times New Roman" w:hAnsi="Verdana" w:cs="Segoe UI"/>
          <w:sz w:val="24"/>
          <w:szCs w:val="24"/>
          <w:lang w:eastAsia="en-GB"/>
        </w:rPr>
        <w:t xml:space="preserve">summary and project </w:t>
      </w:r>
      <w:r w:rsidRPr="00763128">
        <w:rPr>
          <w:rFonts w:ascii="Verdana" w:eastAsia="Times New Roman" w:hAnsi="Verdana" w:cs="Segoe UI"/>
          <w:sz w:val="24"/>
          <w:szCs w:val="24"/>
          <w:lang w:eastAsia="en-GB"/>
        </w:rPr>
        <w:t xml:space="preserve">outlines </w:t>
      </w:r>
      <w:r w:rsidR="009115B6">
        <w:rPr>
          <w:rFonts w:ascii="Verdana" w:eastAsia="Times New Roman" w:hAnsi="Verdana" w:cs="Segoe UI"/>
          <w:sz w:val="24"/>
          <w:szCs w:val="24"/>
          <w:lang w:eastAsia="en-GB"/>
        </w:rPr>
        <w:t xml:space="preserve">in Appendix 4 </w:t>
      </w:r>
      <w:r w:rsidRPr="00763128">
        <w:rPr>
          <w:rFonts w:ascii="Verdana" w:eastAsia="Times New Roman" w:hAnsi="Verdana" w:cs="Segoe UI"/>
          <w:sz w:val="24"/>
          <w:szCs w:val="24"/>
          <w:lang w:eastAsia="en-GB"/>
        </w:rPr>
        <w:t>are AI</w:t>
      </w:r>
      <w:r w:rsidRPr="00763128">
        <w:rPr>
          <w:rFonts w:ascii="Verdana" w:eastAsia="Times New Roman" w:hAnsi="Verdana" w:cs="Segoe UI"/>
          <w:sz w:val="24"/>
          <w:szCs w:val="24"/>
          <w:lang w:eastAsia="en-GB"/>
        </w:rPr>
        <w:noBreakHyphen/>
        <w:t>generated from outcome records</w:t>
      </w:r>
      <w:r>
        <w:rPr>
          <w:rFonts w:ascii="Verdana" w:eastAsia="Times New Roman" w:hAnsi="Verdana" w:cs="Segoe UI"/>
          <w:sz w:val="24"/>
          <w:szCs w:val="24"/>
          <w:lang w:eastAsia="en-GB"/>
        </w:rPr>
        <w:t xml:space="preserve"> submitted between 1</w:t>
      </w:r>
      <w:r w:rsidRPr="00803C95">
        <w:rPr>
          <w:rFonts w:ascii="Verdana" w:eastAsia="Times New Roman" w:hAnsi="Verdana" w:cs="Segoe UI"/>
          <w:sz w:val="24"/>
          <w:szCs w:val="24"/>
          <w:vertAlign w:val="superscript"/>
          <w:lang w:eastAsia="en-GB"/>
        </w:rPr>
        <w:t>st</w:t>
      </w:r>
      <w:r>
        <w:rPr>
          <w:rFonts w:ascii="Verdana" w:eastAsia="Times New Roman" w:hAnsi="Verdana" w:cs="Segoe UI"/>
          <w:sz w:val="24"/>
          <w:szCs w:val="24"/>
          <w:lang w:eastAsia="en-GB"/>
        </w:rPr>
        <w:t xml:space="preserve"> Ap</w:t>
      </w:r>
      <w:r w:rsidRPr="00763128">
        <w:rPr>
          <w:rFonts w:ascii="Verdana" w:eastAsia="Times New Roman" w:hAnsi="Verdana" w:cs="Segoe UI"/>
          <w:sz w:val="24"/>
          <w:szCs w:val="24"/>
          <w:lang w:eastAsia="en-GB"/>
        </w:rPr>
        <w:t xml:space="preserve">ril 2025 and 31 March 2026. They do not represent the full 2024–26 audit programme and may include projects initiated under earlier programmes. </w:t>
      </w:r>
    </w:p>
    <w:p w14:paraId="1E4662F0" w14:textId="36695B07" w:rsidR="000B544E" w:rsidRPr="00051CEF" w:rsidRDefault="000B544E" w:rsidP="000B544E">
      <w:pPr>
        <w:spacing w:before="100" w:beforeAutospacing="1" w:after="100" w:afterAutospacing="1" w:line="240" w:lineRule="auto"/>
        <w:rPr>
          <w:rFonts w:ascii="Verdana" w:eastAsia="Times New Roman" w:hAnsi="Verdana" w:cs="Segoe UI"/>
          <w:b/>
          <w:bCs/>
          <w:sz w:val="24"/>
          <w:szCs w:val="24"/>
          <w:lang w:eastAsia="en-GB"/>
        </w:rPr>
      </w:pPr>
      <w:r w:rsidRPr="00051CEF">
        <w:rPr>
          <w:rFonts w:ascii="Verdana" w:eastAsia="Times New Roman" w:hAnsi="Verdana" w:cs="Segoe UI"/>
          <w:b/>
          <w:bCs/>
          <w:sz w:val="24"/>
          <w:szCs w:val="24"/>
          <w:lang w:eastAsia="en-GB"/>
        </w:rPr>
        <w:t>2.1</w:t>
      </w:r>
      <w:r w:rsidR="00E021F3">
        <w:rPr>
          <w:rFonts w:ascii="Verdana" w:eastAsia="Times New Roman" w:hAnsi="Verdana" w:cs="Segoe UI"/>
          <w:b/>
          <w:bCs/>
          <w:sz w:val="24"/>
          <w:szCs w:val="24"/>
          <w:lang w:eastAsia="en-GB"/>
        </w:rPr>
        <w:t>5</w:t>
      </w:r>
      <w:r w:rsidRPr="00051CEF">
        <w:rPr>
          <w:rFonts w:ascii="Verdana" w:eastAsia="Times New Roman" w:hAnsi="Verdana" w:cs="Segoe UI"/>
          <w:b/>
          <w:bCs/>
          <w:sz w:val="24"/>
          <w:szCs w:val="24"/>
          <w:lang w:eastAsia="en-GB"/>
        </w:rPr>
        <w:t>.1  Audit Requirements</w:t>
      </w:r>
    </w:p>
    <w:p w14:paraId="22039723" w14:textId="71219EE7" w:rsidR="00851C71" w:rsidRDefault="000B544E" w:rsidP="000B544E">
      <w:pPr>
        <w:spacing w:before="100" w:beforeAutospacing="1" w:after="100" w:afterAutospacing="1" w:line="240" w:lineRule="auto"/>
        <w:rPr>
          <w:rFonts w:ascii="Verdana" w:eastAsia="Times New Roman" w:hAnsi="Verdana" w:cs="Segoe UI"/>
          <w:sz w:val="24"/>
          <w:szCs w:val="24"/>
          <w:lang w:eastAsia="en-GB"/>
        </w:rPr>
      </w:pPr>
      <w:r>
        <w:rPr>
          <w:rFonts w:ascii="Verdana" w:eastAsia="Times New Roman" w:hAnsi="Verdana" w:cs="Segoe UI"/>
          <w:sz w:val="24"/>
          <w:szCs w:val="24"/>
          <w:lang w:eastAsia="en-GB"/>
        </w:rPr>
        <w:t>As of 1</w:t>
      </w:r>
      <w:r w:rsidRPr="00F907D2">
        <w:rPr>
          <w:rFonts w:ascii="Verdana" w:eastAsia="Times New Roman" w:hAnsi="Verdana" w:cs="Segoe UI"/>
          <w:sz w:val="24"/>
          <w:szCs w:val="24"/>
          <w:vertAlign w:val="superscript"/>
          <w:lang w:eastAsia="en-GB"/>
        </w:rPr>
        <w:t>st</w:t>
      </w:r>
      <w:r>
        <w:rPr>
          <w:rFonts w:ascii="Verdana" w:eastAsia="Times New Roman" w:hAnsi="Verdana" w:cs="Segoe UI"/>
          <w:sz w:val="24"/>
          <w:szCs w:val="24"/>
          <w:lang w:eastAsia="en-GB"/>
        </w:rPr>
        <w:t xml:space="preserve"> April 2026, </w:t>
      </w:r>
      <w:r w:rsidR="00D82898">
        <w:rPr>
          <w:rFonts w:ascii="Verdana" w:eastAsia="Times New Roman" w:hAnsi="Verdana" w:cs="Segoe UI"/>
          <w:sz w:val="24"/>
          <w:szCs w:val="24"/>
          <w:lang w:eastAsia="en-GB"/>
        </w:rPr>
        <w:t xml:space="preserve">there are a </w:t>
      </w:r>
      <w:r>
        <w:rPr>
          <w:rFonts w:ascii="Verdana" w:eastAsia="Times New Roman" w:hAnsi="Verdana" w:cs="Segoe UI"/>
          <w:sz w:val="24"/>
          <w:szCs w:val="24"/>
          <w:lang w:eastAsia="en-GB"/>
        </w:rPr>
        <w:t xml:space="preserve">total of </w:t>
      </w:r>
      <w:r w:rsidR="00E021F3">
        <w:rPr>
          <w:rFonts w:ascii="Verdana" w:eastAsia="Times New Roman" w:hAnsi="Verdana" w:cs="Segoe UI"/>
          <w:sz w:val="24"/>
          <w:szCs w:val="24"/>
          <w:lang w:eastAsia="en-GB"/>
        </w:rPr>
        <w:t>41</w:t>
      </w:r>
      <w:r>
        <w:rPr>
          <w:rFonts w:ascii="Verdana" w:eastAsia="Times New Roman" w:hAnsi="Verdana" w:cs="Segoe UI"/>
          <w:sz w:val="24"/>
          <w:szCs w:val="24"/>
          <w:lang w:eastAsia="en-GB"/>
        </w:rPr>
        <w:t xml:space="preserve"> topics listed for delivery</w:t>
      </w:r>
      <w:r w:rsidR="00CD66DD">
        <w:rPr>
          <w:rFonts w:ascii="Verdana" w:eastAsia="Times New Roman" w:hAnsi="Verdana" w:cs="Segoe UI"/>
          <w:sz w:val="24"/>
          <w:szCs w:val="24"/>
          <w:lang w:eastAsia="en-GB"/>
        </w:rPr>
        <w:t xml:space="preserve"> (Figure 6.)</w:t>
      </w:r>
      <w:r>
        <w:rPr>
          <w:rFonts w:ascii="Verdana" w:eastAsia="Times New Roman" w:hAnsi="Verdana" w:cs="Segoe UI"/>
          <w:sz w:val="24"/>
          <w:szCs w:val="24"/>
          <w:lang w:eastAsia="en-GB"/>
        </w:rPr>
        <w:t xml:space="preserve">, </w:t>
      </w:r>
      <w:r w:rsidR="00E021F3">
        <w:rPr>
          <w:rFonts w:ascii="Verdana" w:eastAsia="Times New Roman" w:hAnsi="Verdana" w:cs="Segoe UI"/>
          <w:sz w:val="24"/>
          <w:szCs w:val="24"/>
          <w:lang w:eastAsia="en-GB"/>
        </w:rPr>
        <w:t>39</w:t>
      </w:r>
      <w:r>
        <w:rPr>
          <w:rFonts w:ascii="Verdana" w:eastAsia="Times New Roman" w:hAnsi="Verdana" w:cs="Segoe UI"/>
          <w:sz w:val="24"/>
          <w:szCs w:val="24"/>
          <w:lang w:eastAsia="en-GB"/>
        </w:rPr>
        <w:t xml:space="preserve">% of which originated from the 2024/26 Audit Programme and are now listed as overdue.  The remaining </w:t>
      </w:r>
      <w:r w:rsidR="00E021F3">
        <w:rPr>
          <w:rFonts w:ascii="Verdana" w:eastAsia="Times New Roman" w:hAnsi="Verdana" w:cs="Segoe UI"/>
          <w:sz w:val="24"/>
          <w:szCs w:val="24"/>
          <w:lang w:eastAsia="en-GB"/>
        </w:rPr>
        <w:t>61</w:t>
      </w:r>
      <w:r>
        <w:rPr>
          <w:rFonts w:ascii="Verdana" w:eastAsia="Times New Roman" w:hAnsi="Verdana" w:cs="Segoe UI"/>
          <w:sz w:val="24"/>
          <w:szCs w:val="24"/>
          <w:lang w:eastAsia="en-GB"/>
        </w:rPr>
        <w:t>% are a combination of topics from the 2024/26 programme which were deferred, or newly listed requirements identified during the 2026-28 planning round;</w:t>
      </w:r>
      <w:r w:rsidR="00851C71">
        <w:rPr>
          <w:rFonts w:ascii="Verdana" w:eastAsia="Times New Roman" w:hAnsi="Verdana" w:cs="Segoe UI"/>
          <w:noProof/>
          <w:sz w:val="24"/>
          <w:szCs w:val="24"/>
          <w:lang w:eastAsia="en-GB"/>
          <w14:ligatures w14:val="standardContextual"/>
        </w:rPr>
        <w:drawing>
          <wp:inline distT="0" distB="0" distL="0" distR="0" wp14:anchorId="106EAB91" wp14:editId="6E108EC0">
            <wp:extent cx="5576717" cy="2154620"/>
            <wp:effectExtent l="0" t="0" r="508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rotWithShape="1">
                    <a:blip r:embed="rId17">
                      <a:extLst>
                        <a:ext uri="{28A0092B-C50C-407E-A947-70E740481C1C}">
                          <a14:useLocalDpi xmlns:a14="http://schemas.microsoft.com/office/drawing/2010/main" val="0"/>
                        </a:ext>
                      </a:extLst>
                    </a:blip>
                    <a:srcRect l="2201" t="8151" r="25182" b="41970"/>
                    <a:stretch/>
                  </pic:blipFill>
                  <pic:spPr bwMode="auto">
                    <a:xfrm>
                      <a:off x="0" y="0"/>
                      <a:ext cx="5600253" cy="2163713"/>
                    </a:xfrm>
                    <a:prstGeom prst="rect">
                      <a:avLst/>
                    </a:prstGeom>
                    <a:ln>
                      <a:noFill/>
                    </a:ln>
                    <a:extLst>
                      <a:ext uri="{53640926-AAD7-44D8-BBD7-CCE9431645EC}">
                        <a14:shadowObscured xmlns:a14="http://schemas.microsoft.com/office/drawing/2010/main"/>
                      </a:ext>
                    </a:extLst>
                  </pic:spPr>
                </pic:pic>
              </a:graphicData>
            </a:graphic>
          </wp:inline>
        </w:drawing>
      </w:r>
    </w:p>
    <w:p w14:paraId="35EB5C58" w14:textId="4CEB118F" w:rsidR="005D39ED" w:rsidRPr="00051CEF" w:rsidRDefault="005D39ED" w:rsidP="005D39ED">
      <w:pPr>
        <w:spacing w:before="100" w:beforeAutospacing="1" w:after="100" w:afterAutospacing="1" w:line="240" w:lineRule="auto"/>
        <w:jc w:val="right"/>
        <w:rPr>
          <w:rFonts w:ascii="Verdana" w:eastAsia="Times New Roman" w:hAnsi="Verdana" w:cs="Segoe UI"/>
          <w:sz w:val="16"/>
          <w:szCs w:val="16"/>
          <w:lang w:eastAsia="en-GB"/>
        </w:rPr>
      </w:pPr>
      <w:r w:rsidRPr="00F907D2">
        <w:rPr>
          <w:rFonts w:ascii="Verdana" w:eastAsia="Times New Roman" w:hAnsi="Verdana" w:cs="Segoe UI"/>
          <w:sz w:val="16"/>
          <w:szCs w:val="16"/>
          <w:lang w:eastAsia="en-GB"/>
        </w:rPr>
        <w:t>Figure</w:t>
      </w:r>
      <w:r>
        <w:rPr>
          <w:rFonts w:ascii="Verdana" w:eastAsia="Times New Roman" w:hAnsi="Verdana" w:cs="Segoe UI"/>
          <w:sz w:val="16"/>
          <w:szCs w:val="16"/>
          <w:lang w:eastAsia="en-GB"/>
        </w:rPr>
        <w:t xml:space="preserve"> 6.  Audit Tasks to be delivered by the Singleton &amp; Neath Port Talbot Service Group</w:t>
      </w:r>
    </w:p>
    <w:p w14:paraId="5B37B739" w14:textId="19FF2034" w:rsidR="00E21F63" w:rsidRPr="00680184" w:rsidRDefault="00680184" w:rsidP="00287ED9">
      <w:pPr>
        <w:spacing w:after="120" w:line="240" w:lineRule="auto"/>
        <w:rPr>
          <w:rFonts w:ascii="Verdana" w:hAnsi="Verdana" w:cs="Arial"/>
          <w:b/>
          <w:bCs/>
          <w:sz w:val="24"/>
          <w:szCs w:val="24"/>
        </w:rPr>
      </w:pPr>
      <w:r w:rsidRPr="00680184">
        <w:rPr>
          <w:rFonts w:ascii="Verdana" w:hAnsi="Verdana" w:cs="Arial"/>
          <w:b/>
          <w:bCs/>
          <w:sz w:val="24"/>
          <w:szCs w:val="24"/>
        </w:rPr>
        <w:t>2.1</w:t>
      </w:r>
      <w:r w:rsidR="00587C80">
        <w:rPr>
          <w:rFonts w:ascii="Verdana" w:hAnsi="Verdana" w:cs="Arial"/>
          <w:b/>
          <w:bCs/>
          <w:sz w:val="24"/>
          <w:szCs w:val="24"/>
        </w:rPr>
        <w:t>6</w:t>
      </w:r>
      <w:r w:rsidRPr="00680184">
        <w:rPr>
          <w:rFonts w:ascii="Verdana" w:hAnsi="Verdana" w:cs="Arial"/>
          <w:b/>
          <w:bCs/>
          <w:sz w:val="24"/>
          <w:szCs w:val="24"/>
        </w:rPr>
        <w:t xml:space="preserve">  </w:t>
      </w:r>
      <w:r>
        <w:rPr>
          <w:rFonts w:ascii="Verdana" w:hAnsi="Verdana" w:cs="Arial"/>
          <w:b/>
          <w:bCs/>
          <w:sz w:val="24"/>
          <w:szCs w:val="24"/>
        </w:rPr>
        <w:t xml:space="preserve">Summary of </w:t>
      </w:r>
      <w:r w:rsidRPr="00680184">
        <w:rPr>
          <w:rFonts w:ascii="Verdana" w:hAnsi="Verdana" w:cs="Arial"/>
          <w:b/>
          <w:bCs/>
          <w:sz w:val="24"/>
          <w:szCs w:val="24"/>
        </w:rPr>
        <w:t>Risk Assurance Scoring</w:t>
      </w:r>
      <w:r w:rsidR="009A271F">
        <w:rPr>
          <w:rFonts w:ascii="Verdana" w:hAnsi="Verdana" w:cs="Arial"/>
          <w:b/>
          <w:bCs/>
          <w:sz w:val="24"/>
          <w:szCs w:val="24"/>
        </w:rPr>
        <w:t>, by Service Group</w:t>
      </w:r>
    </w:p>
    <w:p w14:paraId="639FC77E" w14:textId="4BBBB410" w:rsidR="00EF4D47" w:rsidRDefault="00CD66DD" w:rsidP="00287ED9">
      <w:pPr>
        <w:spacing w:after="0" w:line="240" w:lineRule="auto"/>
        <w:rPr>
          <w:rFonts w:ascii="Verdana" w:eastAsia="Times New Roman" w:hAnsi="Verdana" w:cs="Segoe UI"/>
          <w:sz w:val="24"/>
          <w:szCs w:val="24"/>
          <w:lang w:eastAsia="en-GB"/>
        </w:rPr>
      </w:pPr>
      <w:r>
        <w:rPr>
          <w:rFonts w:ascii="Verdana" w:eastAsia="Times New Roman" w:hAnsi="Verdana" w:cs="Segoe UI"/>
          <w:sz w:val="24"/>
          <w:szCs w:val="24"/>
          <w:lang w:eastAsia="en-GB"/>
        </w:rPr>
        <w:t>Table 1</w:t>
      </w:r>
      <w:r w:rsidR="00680184" w:rsidRPr="00225AFA">
        <w:rPr>
          <w:rFonts w:ascii="Verdana" w:eastAsia="Times New Roman" w:hAnsi="Verdana" w:cs="Segoe UI"/>
          <w:sz w:val="24"/>
          <w:szCs w:val="24"/>
          <w:lang w:eastAsia="en-GB"/>
        </w:rPr>
        <w:t xml:space="preserve"> </w:t>
      </w:r>
      <w:r w:rsidR="003455CA">
        <w:rPr>
          <w:rFonts w:ascii="Verdana" w:eastAsia="Times New Roman" w:hAnsi="Verdana" w:cs="Segoe UI"/>
          <w:sz w:val="24"/>
          <w:szCs w:val="24"/>
          <w:lang w:eastAsia="en-GB"/>
        </w:rPr>
        <w:t>overleaf</w:t>
      </w:r>
      <w:r w:rsidR="00E021F3">
        <w:rPr>
          <w:rFonts w:ascii="Verdana" w:eastAsia="Times New Roman" w:hAnsi="Verdana" w:cs="Segoe UI"/>
          <w:sz w:val="24"/>
          <w:szCs w:val="24"/>
          <w:lang w:eastAsia="en-GB"/>
        </w:rPr>
        <w:t xml:space="preserve"> </w:t>
      </w:r>
      <w:r w:rsidR="00680184" w:rsidRPr="00225AFA">
        <w:rPr>
          <w:rFonts w:ascii="Verdana" w:eastAsia="Times New Roman" w:hAnsi="Verdana" w:cs="Segoe UI"/>
          <w:sz w:val="24"/>
          <w:szCs w:val="24"/>
          <w:lang w:eastAsia="en-GB"/>
        </w:rPr>
        <w:t xml:space="preserve">summarises the distribution of Risk Assurance Scores across </w:t>
      </w:r>
      <w:r w:rsidR="00E021F3">
        <w:rPr>
          <w:rFonts w:ascii="Verdana" w:eastAsia="Times New Roman" w:hAnsi="Verdana" w:cs="Segoe UI"/>
          <w:sz w:val="24"/>
          <w:szCs w:val="24"/>
          <w:lang w:eastAsia="en-GB"/>
        </w:rPr>
        <w:t xml:space="preserve">the </w:t>
      </w:r>
      <w:r w:rsidR="00680184" w:rsidRPr="00225AFA">
        <w:rPr>
          <w:rFonts w:ascii="Verdana" w:eastAsia="Times New Roman" w:hAnsi="Verdana" w:cs="Segoe UI"/>
          <w:sz w:val="24"/>
          <w:szCs w:val="24"/>
          <w:lang w:eastAsia="en-GB"/>
        </w:rPr>
        <w:t>94 completed topics</w:t>
      </w:r>
      <w:r w:rsidR="00EF4D47">
        <w:rPr>
          <w:rFonts w:ascii="Verdana" w:eastAsia="Times New Roman" w:hAnsi="Verdana" w:cs="Segoe UI"/>
          <w:sz w:val="24"/>
          <w:szCs w:val="24"/>
          <w:lang w:eastAsia="en-GB"/>
        </w:rPr>
        <w:t>.  T</w:t>
      </w:r>
      <w:r w:rsidR="00680184" w:rsidRPr="00225AFA">
        <w:rPr>
          <w:rFonts w:ascii="Verdana" w:eastAsia="Times New Roman" w:hAnsi="Verdana" w:cs="Segoe UI"/>
          <w:sz w:val="24"/>
          <w:szCs w:val="24"/>
          <w:lang w:eastAsia="en-GB"/>
        </w:rPr>
        <w:t>he majority of work sits within the low to moderate risk range, with a smaller number of higher</w:t>
      </w:r>
      <w:r w:rsidR="00680184" w:rsidRPr="00225AFA">
        <w:rPr>
          <w:rFonts w:ascii="Verdana" w:eastAsia="Times New Roman" w:hAnsi="Verdana" w:cs="Segoe UI"/>
          <w:sz w:val="24"/>
          <w:szCs w:val="24"/>
          <w:lang w:eastAsia="en-GB"/>
        </w:rPr>
        <w:noBreakHyphen/>
        <w:t xml:space="preserve">risk areas appropriately identified. </w:t>
      </w:r>
    </w:p>
    <w:p w14:paraId="532A6270" w14:textId="77777777" w:rsidR="00EF4D47" w:rsidRDefault="00EF4D47" w:rsidP="00287ED9">
      <w:pPr>
        <w:spacing w:after="0" w:line="240" w:lineRule="auto"/>
        <w:rPr>
          <w:rFonts w:ascii="Verdana" w:eastAsia="Times New Roman" w:hAnsi="Verdana" w:cs="Segoe UI"/>
          <w:sz w:val="24"/>
          <w:szCs w:val="24"/>
          <w:lang w:eastAsia="en-GB"/>
        </w:rPr>
      </w:pPr>
    </w:p>
    <w:p w14:paraId="12135A34" w14:textId="339315B1" w:rsidR="00AC0B84" w:rsidRDefault="00680184" w:rsidP="00EE45D7">
      <w:pPr>
        <w:spacing w:after="0" w:line="240" w:lineRule="auto"/>
        <w:rPr>
          <w:rFonts w:ascii="Verdana" w:eastAsia="Times New Roman" w:hAnsi="Verdana" w:cs="Segoe UI"/>
          <w:sz w:val="24"/>
          <w:szCs w:val="24"/>
          <w:lang w:eastAsia="en-GB"/>
        </w:rPr>
      </w:pPr>
      <w:r w:rsidRPr="00225AFA">
        <w:rPr>
          <w:rFonts w:ascii="Verdana" w:eastAsia="Times New Roman" w:hAnsi="Verdana" w:cs="Segoe UI"/>
          <w:sz w:val="24"/>
          <w:szCs w:val="24"/>
          <w:lang w:eastAsia="en-GB"/>
        </w:rPr>
        <w:t>The highest</w:t>
      </w:r>
      <w:r w:rsidRPr="00225AFA">
        <w:rPr>
          <w:rFonts w:ascii="Verdana" w:eastAsia="Times New Roman" w:hAnsi="Verdana" w:cs="Segoe UI"/>
          <w:sz w:val="24"/>
          <w:szCs w:val="24"/>
          <w:lang w:eastAsia="en-GB"/>
        </w:rPr>
        <w:noBreakHyphen/>
        <w:t>risk scores (≥16 and 20) are concentrated within a limited number of services, reflecting demand</w:t>
      </w:r>
      <w:r w:rsidRPr="00225AFA">
        <w:rPr>
          <w:rFonts w:ascii="Verdana" w:eastAsia="Times New Roman" w:hAnsi="Verdana" w:cs="Segoe UI"/>
          <w:sz w:val="24"/>
          <w:szCs w:val="24"/>
          <w:lang w:eastAsia="en-GB"/>
        </w:rPr>
        <w:noBreakHyphen/>
        <w:t>pressured and time</w:t>
      </w:r>
      <w:r w:rsidRPr="00225AFA">
        <w:rPr>
          <w:rFonts w:ascii="Verdana" w:eastAsia="Times New Roman" w:hAnsi="Verdana" w:cs="Segoe UI"/>
          <w:sz w:val="24"/>
          <w:szCs w:val="24"/>
          <w:lang w:eastAsia="en-GB"/>
        </w:rPr>
        <w:noBreakHyphen/>
        <w:t>critical pathways rather than widespread systemic failure</w:t>
      </w:r>
      <w:r w:rsidR="00EE45D7">
        <w:rPr>
          <w:rFonts w:ascii="Verdana" w:eastAsia="Times New Roman" w:hAnsi="Verdana" w:cs="Segoe UI"/>
          <w:sz w:val="24"/>
          <w:szCs w:val="24"/>
          <w:lang w:eastAsia="en-GB"/>
        </w:rPr>
        <w:t xml:space="preserve">.  </w:t>
      </w:r>
      <w:r w:rsidR="0044195B">
        <w:rPr>
          <w:rFonts w:ascii="Verdana" w:eastAsia="Times New Roman" w:hAnsi="Verdana" w:cs="Segoe UI"/>
          <w:sz w:val="24"/>
          <w:szCs w:val="24"/>
          <w:lang w:eastAsia="en-GB"/>
        </w:rPr>
        <w:t>Despite triggering a re-audit cycle, t</w:t>
      </w:r>
      <w:r w:rsidRPr="00225AFA">
        <w:rPr>
          <w:rFonts w:ascii="Verdana" w:eastAsia="Times New Roman" w:hAnsi="Verdana" w:cs="Segoe UI"/>
          <w:sz w:val="24"/>
          <w:szCs w:val="24"/>
          <w:lang w:eastAsia="en-GB"/>
        </w:rPr>
        <w:t>he Mental Health pathway within the Emergency Department at Morriston Hospital</w:t>
      </w:r>
      <w:r w:rsidR="00EE45D7">
        <w:rPr>
          <w:rFonts w:ascii="Verdana" w:eastAsia="Times New Roman" w:hAnsi="Verdana" w:cs="Segoe UI"/>
          <w:sz w:val="24"/>
          <w:szCs w:val="24"/>
          <w:lang w:eastAsia="en-GB"/>
        </w:rPr>
        <w:t xml:space="preserve"> will </w:t>
      </w:r>
      <w:r w:rsidR="0044195B">
        <w:rPr>
          <w:rFonts w:ascii="Verdana" w:eastAsia="Times New Roman" w:hAnsi="Verdana" w:cs="Segoe UI"/>
          <w:sz w:val="24"/>
          <w:szCs w:val="24"/>
          <w:lang w:eastAsia="en-GB"/>
        </w:rPr>
        <w:t xml:space="preserve">now be </w:t>
      </w:r>
      <w:r w:rsidR="00EE45D7">
        <w:rPr>
          <w:rFonts w:ascii="Verdana" w:eastAsia="Times New Roman" w:hAnsi="Verdana" w:cs="Segoe UI"/>
          <w:sz w:val="24"/>
          <w:szCs w:val="24"/>
          <w:lang w:eastAsia="en-GB"/>
        </w:rPr>
        <w:t xml:space="preserve">progressed through a quality improvement </w:t>
      </w:r>
      <w:r w:rsidR="0044195B">
        <w:rPr>
          <w:rFonts w:ascii="Verdana" w:eastAsia="Times New Roman" w:hAnsi="Verdana" w:cs="Segoe UI"/>
          <w:sz w:val="24"/>
          <w:szCs w:val="24"/>
          <w:lang w:eastAsia="en-GB"/>
        </w:rPr>
        <w:t>approach and continue to provide periodic updates to the COEG</w:t>
      </w:r>
      <w:r w:rsidR="00EE45D7">
        <w:rPr>
          <w:rFonts w:ascii="Verdana" w:eastAsia="Times New Roman" w:hAnsi="Verdana" w:cs="Segoe UI"/>
          <w:sz w:val="24"/>
          <w:szCs w:val="24"/>
          <w:lang w:eastAsia="en-GB"/>
        </w:rPr>
        <w:t>.</w:t>
      </w:r>
    </w:p>
    <w:p w14:paraId="764A88E1" w14:textId="77777777" w:rsidR="00EE45D7" w:rsidRDefault="00EE45D7" w:rsidP="00EE45D7">
      <w:pPr>
        <w:spacing w:after="0" w:line="240" w:lineRule="auto"/>
        <w:rPr>
          <w:rFonts w:ascii="Arial" w:hAnsi="Arial" w:cs="Arial"/>
          <w:b/>
          <w:bCs/>
          <w:sz w:val="24"/>
          <w:szCs w:val="24"/>
        </w:rPr>
      </w:pPr>
    </w:p>
    <w:p w14:paraId="5CA190A6" w14:textId="1F0AEB80" w:rsidR="0078596C" w:rsidRPr="003F2B5D" w:rsidRDefault="00AC0B84" w:rsidP="00AC0B84">
      <w:pPr>
        <w:spacing w:line="240" w:lineRule="auto"/>
        <w:jc w:val="center"/>
        <w:rPr>
          <w:rFonts w:ascii="Verdana" w:hAnsi="Verdana" w:cs="Arial"/>
          <w:sz w:val="24"/>
          <w:szCs w:val="24"/>
        </w:rPr>
      </w:pPr>
      <w:r w:rsidRPr="003F2B5D">
        <w:rPr>
          <w:rFonts w:ascii="Verdana" w:hAnsi="Verdana" w:cs="Arial"/>
          <w:b/>
          <w:bCs/>
          <w:sz w:val="24"/>
          <w:szCs w:val="24"/>
        </w:rPr>
        <w:lastRenderedPageBreak/>
        <w:t xml:space="preserve">Count of Service Group Combined Consequence </w:t>
      </w:r>
      <w:r w:rsidR="003F2B5D">
        <w:rPr>
          <w:rFonts w:ascii="Verdana" w:hAnsi="Verdana" w:cs="Arial"/>
          <w:b/>
          <w:bCs/>
          <w:sz w:val="24"/>
          <w:szCs w:val="24"/>
        </w:rPr>
        <w:t>x</w:t>
      </w:r>
      <w:r w:rsidRPr="003F2B5D">
        <w:rPr>
          <w:rFonts w:ascii="Verdana" w:hAnsi="Verdana" w:cs="Arial"/>
          <w:b/>
          <w:bCs/>
          <w:sz w:val="24"/>
          <w:szCs w:val="24"/>
        </w:rPr>
        <w:t xml:space="preserve"> Likelihood </w:t>
      </w:r>
      <w:r w:rsidR="003F2B5D">
        <w:rPr>
          <w:rFonts w:ascii="Verdana" w:hAnsi="Verdana" w:cs="Arial"/>
          <w:b/>
          <w:bCs/>
          <w:sz w:val="24"/>
          <w:szCs w:val="24"/>
        </w:rPr>
        <w:t xml:space="preserve">                                                                                          </w:t>
      </w:r>
      <w:r w:rsidR="003F2B5D" w:rsidRPr="003F2B5D">
        <w:rPr>
          <w:rFonts w:ascii="Verdana" w:hAnsi="Verdana" w:cs="Arial"/>
          <w:b/>
          <w:bCs/>
          <w:sz w:val="24"/>
          <w:szCs w:val="24"/>
        </w:rPr>
        <w:t>(Risk Assurance Scores)</w:t>
      </w:r>
      <w:r w:rsidRPr="003F2B5D">
        <w:rPr>
          <w:rFonts w:ascii="Verdana" w:hAnsi="Verdana" w:cs="Arial"/>
          <w:b/>
          <w:bCs/>
          <w:sz w:val="24"/>
          <w:szCs w:val="24"/>
        </w:rPr>
        <w:t xml:space="preserve">                               </w:t>
      </w:r>
    </w:p>
    <w:tbl>
      <w:tblPr>
        <w:tblStyle w:val="TableGrid"/>
        <w:tblW w:w="0" w:type="auto"/>
        <w:tblLook w:val="04A0" w:firstRow="1" w:lastRow="0" w:firstColumn="1" w:lastColumn="0" w:noHBand="0" w:noVBand="1"/>
      </w:tblPr>
      <w:tblGrid>
        <w:gridCol w:w="1164"/>
        <w:gridCol w:w="499"/>
        <w:gridCol w:w="529"/>
        <w:gridCol w:w="529"/>
        <w:gridCol w:w="502"/>
        <w:gridCol w:w="502"/>
        <w:gridCol w:w="502"/>
        <w:gridCol w:w="529"/>
        <w:gridCol w:w="502"/>
        <w:gridCol w:w="529"/>
        <w:gridCol w:w="539"/>
        <w:gridCol w:w="539"/>
        <w:gridCol w:w="539"/>
        <w:gridCol w:w="539"/>
        <w:gridCol w:w="539"/>
        <w:gridCol w:w="539"/>
      </w:tblGrid>
      <w:tr w:rsidR="00AC0B84" w:rsidRPr="003F2B5D" w14:paraId="7BC74645" w14:textId="77777777" w:rsidTr="00955EC0">
        <w:trPr>
          <w:trHeight w:hRule="exact" w:val="454"/>
        </w:trPr>
        <w:tc>
          <w:tcPr>
            <w:tcW w:w="1163" w:type="dxa"/>
            <w:tcBorders>
              <w:top w:val="nil"/>
              <w:left w:val="nil"/>
            </w:tcBorders>
            <w:vAlign w:val="center"/>
          </w:tcPr>
          <w:p w14:paraId="58C564A6" w14:textId="77777777" w:rsidR="00AC0B84" w:rsidRPr="003F2B5D" w:rsidRDefault="00AC0B84" w:rsidP="00955EC0">
            <w:pPr>
              <w:jc w:val="center"/>
              <w:rPr>
                <w:rFonts w:ascii="Verdana" w:hAnsi="Verdana" w:cs="Arial"/>
                <w:b/>
                <w:bCs/>
                <w:sz w:val="20"/>
                <w:szCs w:val="20"/>
              </w:rPr>
            </w:pPr>
          </w:p>
        </w:tc>
        <w:tc>
          <w:tcPr>
            <w:tcW w:w="509" w:type="dxa"/>
            <w:shd w:val="clear" w:color="auto" w:fill="4CAF50"/>
            <w:vAlign w:val="center"/>
          </w:tcPr>
          <w:p w14:paraId="27B325D3" w14:textId="25CC579E" w:rsidR="00AC0B84" w:rsidRPr="003F2B5D" w:rsidRDefault="00AC0B84" w:rsidP="00955EC0">
            <w:pPr>
              <w:jc w:val="center"/>
              <w:rPr>
                <w:rFonts w:ascii="Verdana" w:hAnsi="Verdana" w:cs="Arial"/>
                <w:b/>
                <w:bCs/>
                <w:sz w:val="20"/>
                <w:szCs w:val="20"/>
              </w:rPr>
            </w:pPr>
            <w:r w:rsidRPr="003F2B5D">
              <w:rPr>
                <w:rFonts w:ascii="Verdana" w:hAnsi="Verdana" w:cs="Arial"/>
                <w:b/>
                <w:bCs/>
                <w:sz w:val="20"/>
                <w:szCs w:val="20"/>
              </w:rPr>
              <w:t>0</w:t>
            </w:r>
          </w:p>
        </w:tc>
        <w:tc>
          <w:tcPr>
            <w:tcW w:w="510" w:type="dxa"/>
            <w:shd w:val="clear" w:color="auto" w:fill="4CAF50"/>
            <w:vAlign w:val="center"/>
          </w:tcPr>
          <w:p w14:paraId="1EBECA40" w14:textId="2B4A059E" w:rsidR="00AC0B84" w:rsidRPr="003F2B5D" w:rsidRDefault="00AC0B84" w:rsidP="00955EC0">
            <w:pPr>
              <w:jc w:val="center"/>
              <w:rPr>
                <w:rFonts w:ascii="Verdana" w:hAnsi="Verdana" w:cs="Arial"/>
                <w:b/>
                <w:bCs/>
                <w:sz w:val="20"/>
                <w:szCs w:val="20"/>
              </w:rPr>
            </w:pPr>
            <w:r w:rsidRPr="003F2B5D">
              <w:rPr>
                <w:rFonts w:ascii="Verdana" w:hAnsi="Verdana" w:cs="Arial"/>
                <w:b/>
                <w:bCs/>
                <w:sz w:val="20"/>
                <w:szCs w:val="20"/>
              </w:rPr>
              <w:t>1</w:t>
            </w:r>
          </w:p>
        </w:tc>
        <w:tc>
          <w:tcPr>
            <w:tcW w:w="510" w:type="dxa"/>
            <w:shd w:val="clear" w:color="auto" w:fill="4CAF50"/>
            <w:vAlign w:val="center"/>
          </w:tcPr>
          <w:p w14:paraId="1861AE60" w14:textId="41C6E156" w:rsidR="00AC0B84" w:rsidRPr="003F2B5D" w:rsidRDefault="00AC0B84" w:rsidP="00955EC0">
            <w:pPr>
              <w:jc w:val="center"/>
              <w:rPr>
                <w:rFonts w:ascii="Verdana" w:hAnsi="Verdana" w:cs="Arial"/>
                <w:b/>
                <w:bCs/>
                <w:sz w:val="20"/>
                <w:szCs w:val="20"/>
              </w:rPr>
            </w:pPr>
            <w:r w:rsidRPr="003F2B5D">
              <w:rPr>
                <w:rFonts w:ascii="Verdana" w:hAnsi="Verdana" w:cs="Arial"/>
                <w:b/>
                <w:bCs/>
                <w:sz w:val="20"/>
                <w:szCs w:val="20"/>
              </w:rPr>
              <w:t>2</w:t>
            </w:r>
          </w:p>
        </w:tc>
        <w:tc>
          <w:tcPr>
            <w:tcW w:w="512" w:type="dxa"/>
            <w:shd w:val="clear" w:color="auto" w:fill="FFEB3B"/>
            <w:vAlign w:val="center"/>
          </w:tcPr>
          <w:p w14:paraId="76A3F14D" w14:textId="05BF6E8C" w:rsidR="00AC0B84" w:rsidRPr="003F2B5D" w:rsidRDefault="00AC0B84" w:rsidP="00955EC0">
            <w:pPr>
              <w:jc w:val="center"/>
              <w:rPr>
                <w:rFonts w:ascii="Verdana" w:hAnsi="Verdana" w:cs="Arial"/>
                <w:b/>
                <w:bCs/>
                <w:sz w:val="20"/>
                <w:szCs w:val="20"/>
              </w:rPr>
            </w:pPr>
            <w:r w:rsidRPr="003F2B5D">
              <w:rPr>
                <w:rFonts w:ascii="Verdana" w:hAnsi="Verdana" w:cs="Arial"/>
                <w:b/>
                <w:bCs/>
                <w:sz w:val="20"/>
                <w:szCs w:val="20"/>
              </w:rPr>
              <w:t>3</w:t>
            </w:r>
          </w:p>
        </w:tc>
        <w:tc>
          <w:tcPr>
            <w:tcW w:w="512" w:type="dxa"/>
            <w:shd w:val="clear" w:color="auto" w:fill="FFEB3B"/>
            <w:vAlign w:val="center"/>
          </w:tcPr>
          <w:p w14:paraId="0A6D0CFD" w14:textId="1C009D38" w:rsidR="00AC0B84" w:rsidRPr="003F2B5D" w:rsidRDefault="00AC0B84" w:rsidP="00955EC0">
            <w:pPr>
              <w:jc w:val="center"/>
              <w:rPr>
                <w:rFonts w:ascii="Verdana" w:hAnsi="Verdana" w:cs="Arial"/>
                <w:b/>
                <w:bCs/>
                <w:sz w:val="20"/>
                <w:szCs w:val="20"/>
              </w:rPr>
            </w:pPr>
            <w:r w:rsidRPr="003F2B5D">
              <w:rPr>
                <w:rFonts w:ascii="Verdana" w:hAnsi="Verdana" w:cs="Arial"/>
                <w:b/>
                <w:bCs/>
                <w:sz w:val="20"/>
                <w:szCs w:val="20"/>
              </w:rPr>
              <w:t>4</w:t>
            </w:r>
          </w:p>
        </w:tc>
        <w:tc>
          <w:tcPr>
            <w:tcW w:w="512" w:type="dxa"/>
            <w:shd w:val="clear" w:color="auto" w:fill="FFC107"/>
            <w:vAlign w:val="center"/>
          </w:tcPr>
          <w:p w14:paraId="1497FCB0" w14:textId="5E9C3533" w:rsidR="00AC0B84" w:rsidRPr="003F2B5D" w:rsidRDefault="00AC0B84" w:rsidP="00955EC0">
            <w:pPr>
              <w:jc w:val="center"/>
              <w:rPr>
                <w:rFonts w:ascii="Verdana" w:hAnsi="Verdana" w:cs="Arial"/>
                <w:b/>
                <w:bCs/>
                <w:sz w:val="20"/>
                <w:szCs w:val="20"/>
              </w:rPr>
            </w:pPr>
            <w:r w:rsidRPr="003F2B5D">
              <w:rPr>
                <w:rFonts w:ascii="Verdana" w:hAnsi="Verdana" w:cs="Arial"/>
                <w:b/>
                <w:bCs/>
                <w:sz w:val="20"/>
                <w:szCs w:val="20"/>
              </w:rPr>
              <w:t>5</w:t>
            </w:r>
          </w:p>
        </w:tc>
        <w:tc>
          <w:tcPr>
            <w:tcW w:w="512" w:type="dxa"/>
            <w:shd w:val="clear" w:color="auto" w:fill="FFC107"/>
            <w:vAlign w:val="center"/>
          </w:tcPr>
          <w:p w14:paraId="25C596F3" w14:textId="29B1C6C9" w:rsidR="00AC0B84" w:rsidRPr="003F2B5D" w:rsidRDefault="00AC0B84" w:rsidP="00955EC0">
            <w:pPr>
              <w:jc w:val="center"/>
              <w:rPr>
                <w:rFonts w:ascii="Verdana" w:hAnsi="Verdana" w:cs="Arial"/>
                <w:b/>
                <w:bCs/>
                <w:sz w:val="20"/>
                <w:szCs w:val="20"/>
              </w:rPr>
            </w:pPr>
            <w:r w:rsidRPr="003F2B5D">
              <w:rPr>
                <w:rFonts w:ascii="Verdana" w:hAnsi="Verdana" w:cs="Arial"/>
                <w:b/>
                <w:bCs/>
                <w:sz w:val="20"/>
                <w:szCs w:val="20"/>
              </w:rPr>
              <w:t>6</w:t>
            </w:r>
          </w:p>
        </w:tc>
        <w:tc>
          <w:tcPr>
            <w:tcW w:w="512" w:type="dxa"/>
            <w:shd w:val="clear" w:color="auto" w:fill="FF9800"/>
            <w:vAlign w:val="center"/>
          </w:tcPr>
          <w:p w14:paraId="283CA5CC" w14:textId="2423DE05" w:rsidR="00AC0B84" w:rsidRPr="003F2B5D" w:rsidRDefault="00AC0B84" w:rsidP="00955EC0">
            <w:pPr>
              <w:jc w:val="center"/>
              <w:rPr>
                <w:rFonts w:ascii="Verdana" w:hAnsi="Verdana" w:cs="Arial"/>
                <w:b/>
                <w:bCs/>
                <w:sz w:val="20"/>
                <w:szCs w:val="20"/>
              </w:rPr>
            </w:pPr>
            <w:r w:rsidRPr="003F2B5D">
              <w:rPr>
                <w:rFonts w:ascii="Verdana" w:hAnsi="Verdana" w:cs="Arial"/>
                <w:b/>
                <w:bCs/>
                <w:sz w:val="20"/>
                <w:szCs w:val="20"/>
              </w:rPr>
              <w:t>8</w:t>
            </w:r>
          </w:p>
        </w:tc>
        <w:tc>
          <w:tcPr>
            <w:tcW w:w="512" w:type="dxa"/>
            <w:shd w:val="clear" w:color="auto" w:fill="FF9800"/>
            <w:vAlign w:val="center"/>
          </w:tcPr>
          <w:p w14:paraId="39B13B75" w14:textId="0F0926DC" w:rsidR="00AC0B84" w:rsidRPr="003F2B5D" w:rsidRDefault="00AC0B84" w:rsidP="00955EC0">
            <w:pPr>
              <w:jc w:val="center"/>
              <w:rPr>
                <w:rFonts w:ascii="Verdana" w:hAnsi="Verdana" w:cs="Arial"/>
                <w:b/>
                <w:bCs/>
                <w:sz w:val="20"/>
                <w:szCs w:val="20"/>
              </w:rPr>
            </w:pPr>
            <w:r w:rsidRPr="003F2B5D">
              <w:rPr>
                <w:rFonts w:ascii="Verdana" w:hAnsi="Verdana" w:cs="Arial"/>
                <w:b/>
                <w:bCs/>
                <w:sz w:val="20"/>
                <w:szCs w:val="20"/>
              </w:rPr>
              <w:t>9</w:t>
            </w:r>
          </w:p>
        </w:tc>
        <w:tc>
          <w:tcPr>
            <w:tcW w:w="542" w:type="dxa"/>
            <w:shd w:val="clear" w:color="auto" w:fill="F57C00"/>
            <w:vAlign w:val="center"/>
          </w:tcPr>
          <w:p w14:paraId="766B6A65" w14:textId="2963A5F9" w:rsidR="00AC0B84" w:rsidRPr="003F2B5D" w:rsidRDefault="00AC0B84" w:rsidP="00955EC0">
            <w:pPr>
              <w:jc w:val="center"/>
              <w:rPr>
                <w:rFonts w:ascii="Verdana" w:hAnsi="Verdana" w:cs="Arial"/>
                <w:b/>
                <w:bCs/>
                <w:sz w:val="20"/>
                <w:szCs w:val="20"/>
              </w:rPr>
            </w:pPr>
            <w:r w:rsidRPr="003F2B5D">
              <w:rPr>
                <w:rFonts w:ascii="Verdana" w:hAnsi="Verdana" w:cs="Arial"/>
                <w:b/>
                <w:bCs/>
                <w:sz w:val="20"/>
                <w:szCs w:val="20"/>
              </w:rPr>
              <w:t>10</w:t>
            </w:r>
          </w:p>
        </w:tc>
        <w:tc>
          <w:tcPr>
            <w:tcW w:w="542" w:type="dxa"/>
            <w:shd w:val="clear" w:color="auto" w:fill="F57C00"/>
            <w:vAlign w:val="center"/>
          </w:tcPr>
          <w:p w14:paraId="11DD9683" w14:textId="168D2776" w:rsidR="00AC0B84" w:rsidRPr="003F2B5D" w:rsidRDefault="00AC0B84" w:rsidP="00955EC0">
            <w:pPr>
              <w:jc w:val="center"/>
              <w:rPr>
                <w:rFonts w:ascii="Verdana" w:hAnsi="Verdana" w:cs="Arial"/>
                <w:b/>
                <w:bCs/>
                <w:sz w:val="20"/>
                <w:szCs w:val="20"/>
              </w:rPr>
            </w:pPr>
            <w:r w:rsidRPr="003F2B5D">
              <w:rPr>
                <w:rFonts w:ascii="Verdana" w:hAnsi="Verdana" w:cs="Arial"/>
                <w:b/>
                <w:bCs/>
                <w:sz w:val="20"/>
                <w:szCs w:val="20"/>
              </w:rPr>
              <w:t>12</w:t>
            </w:r>
          </w:p>
        </w:tc>
        <w:tc>
          <w:tcPr>
            <w:tcW w:w="542" w:type="dxa"/>
            <w:shd w:val="clear" w:color="auto" w:fill="F44336"/>
            <w:vAlign w:val="center"/>
          </w:tcPr>
          <w:p w14:paraId="7CE3CFC4" w14:textId="7C84ACAC" w:rsidR="00AC0B84" w:rsidRPr="003F2B5D" w:rsidRDefault="00AC0B84" w:rsidP="00955EC0">
            <w:pPr>
              <w:jc w:val="center"/>
              <w:rPr>
                <w:rFonts w:ascii="Verdana" w:hAnsi="Verdana" w:cs="Arial"/>
                <w:b/>
                <w:bCs/>
                <w:sz w:val="20"/>
                <w:szCs w:val="20"/>
              </w:rPr>
            </w:pPr>
            <w:r w:rsidRPr="003F2B5D">
              <w:rPr>
                <w:rFonts w:ascii="Verdana" w:hAnsi="Verdana" w:cs="Arial"/>
                <w:b/>
                <w:bCs/>
                <w:sz w:val="20"/>
                <w:szCs w:val="20"/>
              </w:rPr>
              <w:t>15</w:t>
            </w:r>
          </w:p>
        </w:tc>
        <w:tc>
          <w:tcPr>
            <w:tcW w:w="542" w:type="dxa"/>
            <w:shd w:val="clear" w:color="auto" w:fill="F44336"/>
            <w:vAlign w:val="center"/>
          </w:tcPr>
          <w:p w14:paraId="4AA68A8A" w14:textId="4141944B" w:rsidR="00AC0B84" w:rsidRPr="003F2B5D" w:rsidRDefault="00AC0B84" w:rsidP="00955EC0">
            <w:pPr>
              <w:jc w:val="center"/>
              <w:rPr>
                <w:rFonts w:ascii="Verdana" w:hAnsi="Verdana" w:cs="Arial"/>
                <w:b/>
                <w:bCs/>
                <w:sz w:val="20"/>
                <w:szCs w:val="20"/>
              </w:rPr>
            </w:pPr>
            <w:r w:rsidRPr="003F2B5D">
              <w:rPr>
                <w:rFonts w:ascii="Verdana" w:hAnsi="Verdana" w:cs="Arial"/>
                <w:b/>
                <w:bCs/>
                <w:sz w:val="20"/>
                <w:szCs w:val="20"/>
              </w:rPr>
              <w:t>16</w:t>
            </w:r>
          </w:p>
        </w:tc>
        <w:tc>
          <w:tcPr>
            <w:tcW w:w="542" w:type="dxa"/>
            <w:shd w:val="clear" w:color="auto" w:fill="D32F2F"/>
            <w:vAlign w:val="center"/>
          </w:tcPr>
          <w:p w14:paraId="721D9F2E" w14:textId="18691343" w:rsidR="00AC0B84" w:rsidRPr="003F2B5D" w:rsidRDefault="00AC0B84" w:rsidP="00955EC0">
            <w:pPr>
              <w:jc w:val="center"/>
              <w:rPr>
                <w:rFonts w:ascii="Verdana" w:hAnsi="Verdana" w:cs="Arial"/>
                <w:b/>
                <w:bCs/>
                <w:sz w:val="20"/>
                <w:szCs w:val="20"/>
              </w:rPr>
            </w:pPr>
            <w:r w:rsidRPr="003F2B5D">
              <w:rPr>
                <w:rFonts w:ascii="Verdana" w:hAnsi="Verdana" w:cs="Arial"/>
                <w:b/>
                <w:bCs/>
                <w:sz w:val="20"/>
                <w:szCs w:val="20"/>
              </w:rPr>
              <w:t>20</w:t>
            </w:r>
          </w:p>
        </w:tc>
        <w:tc>
          <w:tcPr>
            <w:tcW w:w="542" w:type="dxa"/>
            <w:shd w:val="clear" w:color="auto" w:fill="B71C1C"/>
            <w:vAlign w:val="center"/>
          </w:tcPr>
          <w:p w14:paraId="757099C0" w14:textId="3FB2B8B0" w:rsidR="00AC0B84" w:rsidRPr="003F2B5D" w:rsidRDefault="00AC0B84" w:rsidP="00955EC0">
            <w:pPr>
              <w:jc w:val="center"/>
              <w:rPr>
                <w:rFonts w:ascii="Verdana" w:hAnsi="Verdana" w:cs="Arial"/>
                <w:b/>
                <w:bCs/>
                <w:sz w:val="20"/>
                <w:szCs w:val="20"/>
              </w:rPr>
            </w:pPr>
            <w:r w:rsidRPr="003F2B5D">
              <w:rPr>
                <w:rFonts w:ascii="Verdana" w:hAnsi="Verdana" w:cs="Arial"/>
                <w:b/>
                <w:bCs/>
                <w:sz w:val="20"/>
                <w:szCs w:val="20"/>
              </w:rPr>
              <w:t>25</w:t>
            </w:r>
          </w:p>
        </w:tc>
      </w:tr>
      <w:tr w:rsidR="00AC0B84" w:rsidRPr="003F2B5D" w14:paraId="5F981244" w14:textId="77777777" w:rsidTr="00955EC0">
        <w:trPr>
          <w:trHeight w:hRule="exact" w:val="454"/>
        </w:trPr>
        <w:tc>
          <w:tcPr>
            <w:tcW w:w="1163" w:type="dxa"/>
            <w:vAlign w:val="center"/>
          </w:tcPr>
          <w:p w14:paraId="26DFB815" w14:textId="16C7313C" w:rsidR="00AC0B84" w:rsidRPr="003F2B5D" w:rsidRDefault="00AC0B84" w:rsidP="00955EC0">
            <w:pPr>
              <w:jc w:val="center"/>
              <w:rPr>
                <w:rFonts w:ascii="Verdana" w:hAnsi="Verdana" w:cs="Arial"/>
                <w:sz w:val="20"/>
                <w:szCs w:val="20"/>
              </w:rPr>
            </w:pPr>
            <w:r w:rsidRPr="003F2B5D">
              <w:rPr>
                <w:rFonts w:ascii="Verdana" w:hAnsi="Verdana" w:cs="Arial"/>
                <w:sz w:val="20"/>
                <w:szCs w:val="20"/>
              </w:rPr>
              <w:t>MH&amp;LD</w:t>
            </w:r>
          </w:p>
        </w:tc>
        <w:tc>
          <w:tcPr>
            <w:tcW w:w="509" w:type="dxa"/>
            <w:vAlign w:val="center"/>
          </w:tcPr>
          <w:p w14:paraId="6FA5D092" w14:textId="2432D215" w:rsidR="00AC0B84" w:rsidRPr="003F2B5D" w:rsidRDefault="00AC0B84" w:rsidP="00AC0B84">
            <w:pPr>
              <w:jc w:val="center"/>
              <w:rPr>
                <w:rFonts w:ascii="Verdana" w:hAnsi="Verdana" w:cs="Arial"/>
                <w:sz w:val="20"/>
                <w:szCs w:val="20"/>
              </w:rPr>
            </w:pPr>
            <w:r w:rsidRPr="003F2B5D">
              <w:rPr>
                <w:rStyle w:val="normaltextrun"/>
                <w:rFonts w:ascii="Verdana" w:hAnsi="Verdana" w:cs="Arial"/>
                <w:lang w:val="en-US"/>
              </w:rPr>
              <w:t>1</w:t>
            </w:r>
          </w:p>
        </w:tc>
        <w:tc>
          <w:tcPr>
            <w:tcW w:w="510" w:type="dxa"/>
            <w:vAlign w:val="center"/>
          </w:tcPr>
          <w:p w14:paraId="473F742A" w14:textId="4CB23C81" w:rsidR="00AC0B84" w:rsidRPr="003F2B5D" w:rsidRDefault="00AC0B84" w:rsidP="00AC0B84">
            <w:pPr>
              <w:jc w:val="center"/>
              <w:rPr>
                <w:rFonts w:ascii="Verdana" w:hAnsi="Verdana" w:cs="Arial"/>
                <w:sz w:val="20"/>
                <w:szCs w:val="20"/>
              </w:rPr>
            </w:pPr>
            <w:r w:rsidRPr="003F2B5D">
              <w:rPr>
                <w:rStyle w:val="normaltextrun"/>
                <w:rFonts w:ascii="Verdana" w:hAnsi="Verdana" w:cs="Arial"/>
                <w:lang w:val="en-US"/>
              </w:rPr>
              <w:t>3</w:t>
            </w:r>
          </w:p>
        </w:tc>
        <w:tc>
          <w:tcPr>
            <w:tcW w:w="510" w:type="dxa"/>
            <w:vAlign w:val="center"/>
          </w:tcPr>
          <w:p w14:paraId="6858444D" w14:textId="6CC808A3" w:rsidR="00AC0B84" w:rsidRPr="003F2B5D" w:rsidRDefault="00AC0B84" w:rsidP="00AC0B84">
            <w:pPr>
              <w:jc w:val="center"/>
              <w:rPr>
                <w:rFonts w:ascii="Verdana" w:hAnsi="Verdana" w:cs="Arial"/>
                <w:sz w:val="20"/>
                <w:szCs w:val="20"/>
              </w:rPr>
            </w:pPr>
            <w:r w:rsidRPr="003F2B5D">
              <w:rPr>
                <w:rStyle w:val="normaltextrun"/>
                <w:rFonts w:ascii="Verdana" w:hAnsi="Verdana" w:cs="Arial"/>
                <w:lang w:val="en-US"/>
              </w:rPr>
              <w:t>1</w:t>
            </w:r>
          </w:p>
        </w:tc>
        <w:tc>
          <w:tcPr>
            <w:tcW w:w="512" w:type="dxa"/>
            <w:vAlign w:val="center"/>
          </w:tcPr>
          <w:p w14:paraId="1F10098B" w14:textId="51004502" w:rsidR="00AC0B84" w:rsidRPr="003F2B5D" w:rsidRDefault="00AC0B84" w:rsidP="00AC0B84">
            <w:pPr>
              <w:jc w:val="center"/>
              <w:rPr>
                <w:rFonts w:ascii="Verdana" w:hAnsi="Verdana" w:cs="Arial"/>
                <w:sz w:val="20"/>
                <w:szCs w:val="20"/>
              </w:rPr>
            </w:pPr>
            <w:r w:rsidRPr="003F2B5D">
              <w:rPr>
                <w:rStyle w:val="normaltextrun"/>
                <w:rFonts w:ascii="Verdana" w:hAnsi="Verdana" w:cs="Arial"/>
                <w:lang w:val="en-US"/>
              </w:rPr>
              <w:t>0</w:t>
            </w:r>
          </w:p>
        </w:tc>
        <w:tc>
          <w:tcPr>
            <w:tcW w:w="512" w:type="dxa"/>
            <w:vAlign w:val="center"/>
          </w:tcPr>
          <w:p w14:paraId="454AD9B6" w14:textId="126437DE" w:rsidR="00AC0B84" w:rsidRPr="003F2B5D" w:rsidRDefault="00AC0B84" w:rsidP="00AC0B84">
            <w:pPr>
              <w:jc w:val="center"/>
              <w:rPr>
                <w:rFonts w:ascii="Verdana" w:hAnsi="Verdana" w:cs="Arial"/>
                <w:sz w:val="20"/>
                <w:szCs w:val="20"/>
              </w:rPr>
            </w:pPr>
            <w:r w:rsidRPr="003F2B5D">
              <w:rPr>
                <w:rStyle w:val="normaltextrun"/>
                <w:rFonts w:ascii="Verdana" w:hAnsi="Verdana" w:cs="Arial"/>
                <w:lang w:val="en-US"/>
              </w:rPr>
              <w:t>0</w:t>
            </w:r>
          </w:p>
        </w:tc>
        <w:tc>
          <w:tcPr>
            <w:tcW w:w="512" w:type="dxa"/>
            <w:vAlign w:val="center"/>
          </w:tcPr>
          <w:p w14:paraId="638EE824" w14:textId="29C006D5" w:rsidR="00AC0B84" w:rsidRPr="003F2B5D" w:rsidRDefault="00AC0B84" w:rsidP="00AC0B84">
            <w:pPr>
              <w:jc w:val="center"/>
              <w:rPr>
                <w:rFonts w:ascii="Verdana" w:hAnsi="Verdana" w:cs="Arial"/>
                <w:sz w:val="20"/>
                <w:szCs w:val="20"/>
              </w:rPr>
            </w:pPr>
            <w:r w:rsidRPr="003F2B5D">
              <w:rPr>
                <w:rStyle w:val="normaltextrun"/>
                <w:rFonts w:ascii="Verdana" w:hAnsi="Verdana" w:cs="Arial"/>
                <w:lang w:val="en-US"/>
              </w:rPr>
              <w:t>0</w:t>
            </w:r>
          </w:p>
        </w:tc>
        <w:tc>
          <w:tcPr>
            <w:tcW w:w="512" w:type="dxa"/>
            <w:vAlign w:val="center"/>
          </w:tcPr>
          <w:p w14:paraId="7C6CA2C9" w14:textId="46D2E249" w:rsidR="00AC0B84" w:rsidRPr="003F2B5D" w:rsidRDefault="00AC0B84" w:rsidP="00AC0B84">
            <w:pPr>
              <w:jc w:val="center"/>
              <w:rPr>
                <w:rFonts w:ascii="Verdana" w:hAnsi="Verdana" w:cs="Arial"/>
                <w:sz w:val="20"/>
                <w:szCs w:val="20"/>
              </w:rPr>
            </w:pPr>
            <w:r w:rsidRPr="003F2B5D">
              <w:rPr>
                <w:rStyle w:val="normaltextrun"/>
                <w:rFonts w:ascii="Verdana" w:hAnsi="Verdana" w:cs="Arial"/>
                <w:lang w:val="en-US"/>
              </w:rPr>
              <w:t>4</w:t>
            </w:r>
          </w:p>
        </w:tc>
        <w:tc>
          <w:tcPr>
            <w:tcW w:w="512" w:type="dxa"/>
            <w:vAlign w:val="center"/>
          </w:tcPr>
          <w:p w14:paraId="6EAE06EE" w14:textId="233FDA3F" w:rsidR="00AC0B84" w:rsidRPr="003F2B5D" w:rsidRDefault="00AC0B84" w:rsidP="00AC0B84">
            <w:pPr>
              <w:jc w:val="center"/>
              <w:rPr>
                <w:rFonts w:ascii="Verdana" w:hAnsi="Verdana" w:cs="Arial"/>
                <w:sz w:val="20"/>
                <w:szCs w:val="20"/>
              </w:rPr>
            </w:pPr>
            <w:r w:rsidRPr="003F2B5D">
              <w:rPr>
                <w:rStyle w:val="normaltextrun"/>
                <w:rFonts w:ascii="Verdana" w:hAnsi="Verdana" w:cs="Arial"/>
                <w:lang w:val="en-US"/>
              </w:rPr>
              <w:t>0</w:t>
            </w:r>
          </w:p>
        </w:tc>
        <w:tc>
          <w:tcPr>
            <w:tcW w:w="512" w:type="dxa"/>
            <w:vAlign w:val="center"/>
          </w:tcPr>
          <w:p w14:paraId="254CD9DD" w14:textId="63A4608D" w:rsidR="00AC0B84" w:rsidRPr="003F2B5D" w:rsidRDefault="00AC0B84" w:rsidP="00AC0B84">
            <w:pPr>
              <w:jc w:val="center"/>
              <w:rPr>
                <w:rFonts w:ascii="Verdana" w:hAnsi="Verdana" w:cs="Arial"/>
                <w:sz w:val="20"/>
                <w:szCs w:val="20"/>
              </w:rPr>
            </w:pPr>
            <w:r w:rsidRPr="003F2B5D">
              <w:rPr>
                <w:rStyle w:val="normaltextrun"/>
                <w:rFonts w:ascii="Verdana" w:hAnsi="Verdana" w:cs="Arial"/>
                <w:lang w:val="en-US"/>
              </w:rPr>
              <w:t>2</w:t>
            </w:r>
          </w:p>
        </w:tc>
        <w:tc>
          <w:tcPr>
            <w:tcW w:w="542" w:type="dxa"/>
            <w:vAlign w:val="center"/>
          </w:tcPr>
          <w:p w14:paraId="1D411E08" w14:textId="3418EDDF" w:rsidR="00AC0B84" w:rsidRPr="003F2B5D" w:rsidRDefault="00AC0B84" w:rsidP="00AC0B84">
            <w:pPr>
              <w:jc w:val="center"/>
              <w:rPr>
                <w:rFonts w:ascii="Verdana" w:hAnsi="Verdana" w:cs="Arial"/>
                <w:sz w:val="20"/>
                <w:szCs w:val="20"/>
              </w:rPr>
            </w:pPr>
            <w:r w:rsidRPr="003F2B5D">
              <w:rPr>
                <w:rStyle w:val="normaltextrun"/>
                <w:rFonts w:ascii="Verdana" w:hAnsi="Verdana" w:cs="Arial"/>
                <w:lang w:val="en-US"/>
              </w:rPr>
              <w:t>0</w:t>
            </w:r>
          </w:p>
        </w:tc>
        <w:tc>
          <w:tcPr>
            <w:tcW w:w="542" w:type="dxa"/>
            <w:vAlign w:val="center"/>
          </w:tcPr>
          <w:p w14:paraId="6629ED80" w14:textId="3B6A4606" w:rsidR="00AC0B84" w:rsidRPr="003F2B5D" w:rsidRDefault="00AC0B84" w:rsidP="00AC0B84">
            <w:pPr>
              <w:jc w:val="center"/>
              <w:rPr>
                <w:rFonts w:ascii="Verdana" w:hAnsi="Verdana" w:cs="Arial"/>
                <w:sz w:val="20"/>
                <w:szCs w:val="20"/>
              </w:rPr>
            </w:pPr>
            <w:r w:rsidRPr="003F2B5D">
              <w:rPr>
                <w:rStyle w:val="normaltextrun"/>
                <w:rFonts w:ascii="Verdana" w:hAnsi="Verdana" w:cs="Arial"/>
                <w:lang w:val="en-US"/>
              </w:rPr>
              <w:t>1</w:t>
            </w:r>
          </w:p>
        </w:tc>
        <w:tc>
          <w:tcPr>
            <w:tcW w:w="542" w:type="dxa"/>
            <w:vAlign w:val="center"/>
          </w:tcPr>
          <w:p w14:paraId="7189241C" w14:textId="770D2EFD" w:rsidR="00AC0B84" w:rsidRPr="003F2B5D" w:rsidRDefault="00AC0B84" w:rsidP="00AC0B84">
            <w:pPr>
              <w:jc w:val="center"/>
              <w:rPr>
                <w:rFonts w:ascii="Verdana" w:hAnsi="Verdana" w:cs="Arial"/>
                <w:sz w:val="20"/>
                <w:szCs w:val="20"/>
              </w:rPr>
            </w:pPr>
            <w:r w:rsidRPr="003F2B5D">
              <w:rPr>
                <w:rStyle w:val="normaltextrun"/>
                <w:rFonts w:ascii="Verdana" w:hAnsi="Verdana" w:cs="Arial"/>
                <w:lang w:val="en-US"/>
              </w:rPr>
              <w:t>0</w:t>
            </w:r>
          </w:p>
        </w:tc>
        <w:tc>
          <w:tcPr>
            <w:tcW w:w="542" w:type="dxa"/>
            <w:vAlign w:val="center"/>
          </w:tcPr>
          <w:p w14:paraId="353B337E" w14:textId="4FD0A5CE" w:rsidR="00AC0B84" w:rsidRPr="003F2B5D" w:rsidRDefault="00AC0B84" w:rsidP="00AC0B84">
            <w:pPr>
              <w:jc w:val="center"/>
              <w:rPr>
                <w:rFonts w:ascii="Verdana" w:hAnsi="Verdana" w:cs="Arial"/>
                <w:sz w:val="20"/>
                <w:szCs w:val="20"/>
              </w:rPr>
            </w:pPr>
            <w:r w:rsidRPr="003F2B5D">
              <w:rPr>
                <w:rStyle w:val="normaltextrun"/>
                <w:rFonts w:ascii="Verdana" w:hAnsi="Verdana" w:cs="Arial"/>
                <w:lang w:val="en-US"/>
              </w:rPr>
              <w:t>1</w:t>
            </w:r>
          </w:p>
        </w:tc>
        <w:tc>
          <w:tcPr>
            <w:tcW w:w="542" w:type="dxa"/>
            <w:vAlign w:val="center"/>
          </w:tcPr>
          <w:p w14:paraId="3B334336" w14:textId="1275C075" w:rsidR="00AC0B84" w:rsidRPr="003F2B5D" w:rsidRDefault="00AC0B84" w:rsidP="00AC0B84">
            <w:pPr>
              <w:jc w:val="center"/>
              <w:rPr>
                <w:rFonts w:ascii="Verdana" w:hAnsi="Verdana" w:cs="Arial"/>
                <w:sz w:val="20"/>
                <w:szCs w:val="20"/>
              </w:rPr>
            </w:pPr>
            <w:r w:rsidRPr="003F2B5D">
              <w:rPr>
                <w:rStyle w:val="normaltextrun"/>
                <w:rFonts w:ascii="Verdana" w:hAnsi="Verdana" w:cs="Arial"/>
                <w:lang w:val="en-US"/>
              </w:rPr>
              <w:t>0</w:t>
            </w:r>
          </w:p>
        </w:tc>
        <w:tc>
          <w:tcPr>
            <w:tcW w:w="542" w:type="dxa"/>
            <w:vAlign w:val="center"/>
          </w:tcPr>
          <w:p w14:paraId="38A651AC" w14:textId="4A64FC34" w:rsidR="00AC0B84" w:rsidRPr="003F2B5D" w:rsidRDefault="00AC0B84" w:rsidP="00AC0B84">
            <w:pPr>
              <w:jc w:val="center"/>
              <w:rPr>
                <w:rFonts w:ascii="Verdana" w:hAnsi="Verdana" w:cs="Arial"/>
                <w:sz w:val="20"/>
                <w:szCs w:val="20"/>
              </w:rPr>
            </w:pPr>
            <w:r w:rsidRPr="003F2B5D">
              <w:rPr>
                <w:rStyle w:val="normaltextrun"/>
                <w:rFonts w:ascii="Verdana" w:hAnsi="Verdana" w:cs="Arial"/>
                <w:lang w:val="en-US"/>
              </w:rPr>
              <w:t>0</w:t>
            </w:r>
          </w:p>
        </w:tc>
      </w:tr>
      <w:tr w:rsidR="00AC0B84" w:rsidRPr="003F2B5D" w14:paraId="4DB89A2D" w14:textId="77777777" w:rsidTr="00955EC0">
        <w:trPr>
          <w:trHeight w:hRule="exact" w:val="454"/>
        </w:trPr>
        <w:tc>
          <w:tcPr>
            <w:tcW w:w="1163" w:type="dxa"/>
            <w:vAlign w:val="center"/>
          </w:tcPr>
          <w:p w14:paraId="6801B249" w14:textId="2FCF3B7C" w:rsidR="00AC0B84" w:rsidRPr="003F2B5D" w:rsidRDefault="00AC0B84" w:rsidP="00955EC0">
            <w:pPr>
              <w:jc w:val="center"/>
              <w:rPr>
                <w:rFonts w:ascii="Verdana" w:hAnsi="Verdana" w:cs="Arial"/>
                <w:sz w:val="20"/>
                <w:szCs w:val="20"/>
              </w:rPr>
            </w:pPr>
            <w:r w:rsidRPr="003F2B5D">
              <w:rPr>
                <w:rFonts w:ascii="Verdana" w:hAnsi="Verdana" w:cs="Arial"/>
                <w:sz w:val="20"/>
                <w:szCs w:val="20"/>
              </w:rPr>
              <w:t>Morriston</w:t>
            </w:r>
          </w:p>
        </w:tc>
        <w:tc>
          <w:tcPr>
            <w:tcW w:w="509" w:type="dxa"/>
            <w:vAlign w:val="center"/>
          </w:tcPr>
          <w:p w14:paraId="242196D4" w14:textId="1F2C3D78" w:rsidR="00AC0B84" w:rsidRPr="003F2B5D" w:rsidRDefault="00AC0B84" w:rsidP="00AC0B84">
            <w:pPr>
              <w:jc w:val="center"/>
              <w:rPr>
                <w:rFonts w:ascii="Verdana" w:hAnsi="Verdana" w:cs="Arial"/>
                <w:sz w:val="20"/>
                <w:szCs w:val="20"/>
              </w:rPr>
            </w:pPr>
            <w:r w:rsidRPr="003F2B5D">
              <w:rPr>
                <w:rStyle w:val="normaltextrun"/>
                <w:rFonts w:ascii="Verdana" w:hAnsi="Verdana" w:cs="Arial"/>
                <w:lang w:val="en-US"/>
              </w:rPr>
              <w:t>2</w:t>
            </w:r>
          </w:p>
        </w:tc>
        <w:tc>
          <w:tcPr>
            <w:tcW w:w="510" w:type="dxa"/>
            <w:vAlign w:val="center"/>
          </w:tcPr>
          <w:p w14:paraId="37A4039B" w14:textId="7F3EF19E" w:rsidR="00AC0B84" w:rsidRPr="003F2B5D" w:rsidRDefault="00AC0B84" w:rsidP="00AC0B84">
            <w:pPr>
              <w:jc w:val="center"/>
              <w:rPr>
                <w:rFonts w:ascii="Verdana" w:hAnsi="Verdana" w:cs="Arial"/>
                <w:sz w:val="20"/>
                <w:szCs w:val="20"/>
              </w:rPr>
            </w:pPr>
            <w:r w:rsidRPr="003F2B5D">
              <w:rPr>
                <w:rStyle w:val="normaltextrun"/>
                <w:rFonts w:ascii="Verdana" w:hAnsi="Verdana" w:cs="Arial"/>
                <w:lang w:val="en-US"/>
              </w:rPr>
              <w:t>10</w:t>
            </w:r>
          </w:p>
        </w:tc>
        <w:tc>
          <w:tcPr>
            <w:tcW w:w="510" w:type="dxa"/>
            <w:vAlign w:val="center"/>
          </w:tcPr>
          <w:p w14:paraId="2A2B1AD1" w14:textId="2CC8301D" w:rsidR="00AC0B84" w:rsidRPr="003F2B5D" w:rsidRDefault="00AC0B84" w:rsidP="00AC0B84">
            <w:pPr>
              <w:jc w:val="center"/>
              <w:rPr>
                <w:rFonts w:ascii="Verdana" w:hAnsi="Verdana" w:cs="Arial"/>
                <w:sz w:val="20"/>
                <w:szCs w:val="20"/>
              </w:rPr>
            </w:pPr>
            <w:r w:rsidRPr="003F2B5D">
              <w:rPr>
                <w:rStyle w:val="normaltextrun"/>
                <w:rFonts w:ascii="Verdana" w:hAnsi="Verdana" w:cs="Arial"/>
                <w:lang w:val="en-US"/>
              </w:rPr>
              <w:t>3</w:t>
            </w:r>
          </w:p>
        </w:tc>
        <w:tc>
          <w:tcPr>
            <w:tcW w:w="512" w:type="dxa"/>
            <w:vAlign w:val="center"/>
          </w:tcPr>
          <w:p w14:paraId="385FAA79" w14:textId="16EA89CD" w:rsidR="00AC0B84" w:rsidRPr="003F2B5D" w:rsidRDefault="00AC0B84" w:rsidP="00AC0B84">
            <w:pPr>
              <w:jc w:val="center"/>
              <w:rPr>
                <w:rFonts w:ascii="Verdana" w:hAnsi="Verdana" w:cs="Arial"/>
                <w:sz w:val="20"/>
                <w:szCs w:val="20"/>
              </w:rPr>
            </w:pPr>
            <w:r w:rsidRPr="003F2B5D">
              <w:rPr>
                <w:rStyle w:val="normaltextrun"/>
                <w:rFonts w:ascii="Verdana" w:hAnsi="Verdana" w:cs="Arial"/>
                <w:lang w:val="en-US"/>
              </w:rPr>
              <w:t>1</w:t>
            </w:r>
          </w:p>
        </w:tc>
        <w:tc>
          <w:tcPr>
            <w:tcW w:w="512" w:type="dxa"/>
            <w:vAlign w:val="center"/>
          </w:tcPr>
          <w:p w14:paraId="491BB40E" w14:textId="3EB538F7" w:rsidR="00AC0B84" w:rsidRPr="003F2B5D" w:rsidRDefault="00AC0B84" w:rsidP="00AC0B84">
            <w:pPr>
              <w:jc w:val="center"/>
              <w:rPr>
                <w:rFonts w:ascii="Verdana" w:hAnsi="Verdana" w:cs="Arial"/>
                <w:sz w:val="20"/>
                <w:szCs w:val="20"/>
              </w:rPr>
            </w:pPr>
            <w:r w:rsidRPr="003F2B5D">
              <w:rPr>
                <w:rStyle w:val="normaltextrun"/>
                <w:rFonts w:ascii="Verdana" w:hAnsi="Verdana" w:cs="Arial"/>
                <w:lang w:val="en-US"/>
              </w:rPr>
              <w:t>4</w:t>
            </w:r>
          </w:p>
        </w:tc>
        <w:tc>
          <w:tcPr>
            <w:tcW w:w="512" w:type="dxa"/>
            <w:vAlign w:val="center"/>
          </w:tcPr>
          <w:p w14:paraId="46D75D98" w14:textId="49573E1C" w:rsidR="00AC0B84" w:rsidRPr="003F2B5D" w:rsidRDefault="00AC0B84" w:rsidP="00AC0B84">
            <w:pPr>
              <w:jc w:val="center"/>
              <w:rPr>
                <w:rFonts w:ascii="Verdana" w:hAnsi="Verdana" w:cs="Arial"/>
                <w:sz w:val="20"/>
                <w:szCs w:val="20"/>
              </w:rPr>
            </w:pPr>
            <w:r w:rsidRPr="003F2B5D">
              <w:rPr>
                <w:rStyle w:val="normaltextrun"/>
                <w:rFonts w:ascii="Verdana" w:hAnsi="Verdana" w:cs="Arial"/>
                <w:lang w:val="en-US"/>
              </w:rPr>
              <w:t>0</w:t>
            </w:r>
          </w:p>
        </w:tc>
        <w:tc>
          <w:tcPr>
            <w:tcW w:w="512" w:type="dxa"/>
            <w:vAlign w:val="center"/>
          </w:tcPr>
          <w:p w14:paraId="4F2E6842" w14:textId="32F6A4F8" w:rsidR="00AC0B84" w:rsidRPr="003F2B5D" w:rsidRDefault="00AC0B84" w:rsidP="00AC0B84">
            <w:pPr>
              <w:jc w:val="center"/>
              <w:rPr>
                <w:rFonts w:ascii="Verdana" w:hAnsi="Verdana" w:cs="Arial"/>
                <w:sz w:val="20"/>
                <w:szCs w:val="20"/>
              </w:rPr>
            </w:pPr>
            <w:r w:rsidRPr="003F2B5D">
              <w:rPr>
                <w:rStyle w:val="normaltextrun"/>
                <w:rFonts w:ascii="Verdana" w:hAnsi="Verdana" w:cs="Arial"/>
                <w:lang w:val="en-US"/>
              </w:rPr>
              <w:t>4</w:t>
            </w:r>
          </w:p>
        </w:tc>
        <w:tc>
          <w:tcPr>
            <w:tcW w:w="512" w:type="dxa"/>
            <w:vAlign w:val="center"/>
          </w:tcPr>
          <w:p w14:paraId="4262963A" w14:textId="3B238E0B" w:rsidR="00AC0B84" w:rsidRPr="003F2B5D" w:rsidRDefault="00AC0B84" w:rsidP="00AC0B84">
            <w:pPr>
              <w:jc w:val="center"/>
              <w:rPr>
                <w:rFonts w:ascii="Verdana" w:hAnsi="Verdana" w:cs="Arial"/>
                <w:sz w:val="20"/>
                <w:szCs w:val="20"/>
              </w:rPr>
            </w:pPr>
            <w:r w:rsidRPr="003F2B5D">
              <w:rPr>
                <w:rStyle w:val="normaltextrun"/>
                <w:rFonts w:ascii="Verdana" w:hAnsi="Verdana" w:cs="Arial"/>
                <w:lang w:val="en-US"/>
              </w:rPr>
              <w:t>2</w:t>
            </w:r>
          </w:p>
        </w:tc>
        <w:tc>
          <w:tcPr>
            <w:tcW w:w="512" w:type="dxa"/>
            <w:vAlign w:val="center"/>
          </w:tcPr>
          <w:p w14:paraId="5B29F846" w14:textId="5E0D0E91" w:rsidR="00AC0B84" w:rsidRPr="003F2B5D" w:rsidRDefault="00AC0B84" w:rsidP="00AC0B84">
            <w:pPr>
              <w:jc w:val="center"/>
              <w:rPr>
                <w:rFonts w:ascii="Verdana" w:hAnsi="Verdana" w:cs="Arial"/>
                <w:sz w:val="20"/>
                <w:szCs w:val="20"/>
              </w:rPr>
            </w:pPr>
            <w:r w:rsidRPr="003F2B5D">
              <w:rPr>
                <w:rStyle w:val="normaltextrun"/>
                <w:rFonts w:ascii="Verdana" w:hAnsi="Verdana" w:cs="Arial"/>
                <w:lang w:val="en-US"/>
              </w:rPr>
              <w:t>7</w:t>
            </w:r>
          </w:p>
        </w:tc>
        <w:tc>
          <w:tcPr>
            <w:tcW w:w="542" w:type="dxa"/>
            <w:vAlign w:val="center"/>
          </w:tcPr>
          <w:p w14:paraId="52B07EAB" w14:textId="35F4B0F6" w:rsidR="00AC0B84" w:rsidRPr="003F2B5D" w:rsidRDefault="00AC0B84" w:rsidP="00AC0B84">
            <w:pPr>
              <w:jc w:val="center"/>
              <w:rPr>
                <w:rFonts w:ascii="Verdana" w:hAnsi="Verdana" w:cs="Arial"/>
                <w:sz w:val="20"/>
                <w:szCs w:val="20"/>
              </w:rPr>
            </w:pPr>
            <w:r w:rsidRPr="003F2B5D">
              <w:rPr>
                <w:rStyle w:val="normaltextrun"/>
                <w:rFonts w:ascii="Verdana" w:hAnsi="Verdana" w:cs="Arial"/>
                <w:lang w:val="en-US"/>
              </w:rPr>
              <w:t>0</w:t>
            </w:r>
          </w:p>
        </w:tc>
        <w:tc>
          <w:tcPr>
            <w:tcW w:w="542" w:type="dxa"/>
            <w:vAlign w:val="center"/>
          </w:tcPr>
          <w:p w14:paraId="57F84F8B" w14:textId="07359082" w:rsidR="00AC0B84" w:rsidRPr="003F2B5D" w:rsidRDefault="00AC0B84" w:rsidP="00AC0B84">
            <w:pPr>
              <w:jc w:val="center"/>
              <w:rPr>
                <w:rFonts w:ascii="Verdana" w:hAnsi="Verdana" w:cs="Arial"/>
                <w:sz w:val="20"/>
                <w:szCs w:val="20"/>
              </w:rPr>
            </w:pPr>
            <w:r w:rsidRPr="003F2B5D">
              <w:rPr>
                <w:rStyle w:val="normaltextrun"/>
                <w:rFonts w:ascii="Verdana" w:hAnsi="Verdana" w:cs="Arial"/>
                <w:lang w:val="en-US"/>
              </w:rPr>
              <w:t>0</w:t>
            </w:r>
          </w:p>
        </w:tc>
        <w:tc>
          <w:tcPr>
            <w:tcW w:w="542" w:type="dxa"/>
            <w:vAlign w:val="center"/>
          </w:tcPr>
          <w:p w14:paraId="6C107723" w14:textId="2CF5751D" w:rsidR="00AC0B84" w:rsidRPr="003F2B5D" w:rsidRDefault="00AC0B84" w:rsidP="00AC0B84">
            <w:pPr>
              <w:jc w:val="center"/>
              <w:rPr>
                <w:rFonts w:ascii="Verdana" w:hAnsi="Verdana" w:cs="Arial"/>
                <w:sz w:val="20"/>
                <w:szCs w:val="20"/>
              </w:rPr>
            </w:pPr>
            <w:r w:rsidRPr="003F2B5D">
              <w:rPr>
                <w:rStyle w:val="normaltextrun"/>
                <w:rFonts w:ascii="Verdana" w:hAnsi="Verdana" w:cs="Arial"/>
                <w:lang w:val="en-US"/>
              </w:rPr>
              <w:t>0</w:t>
            </w:r>
          </w:p>
        </w:tc>
        <w:tc>
          <w:tcPr>
            <w:tcW w:w="542" w:type="dxa"/>
            <w:vAlign w:val="center"/>
          </w:tcPr>
          <w:p w14:paraId="4EB76C48" w14:textId="5F9AA19D" w:rsidR="00AC0B84" w:rsidRPr="003F2B5D" w:rsidRDefault="00AC0B84" w:rsidP="00AC0B84">
            <w:pPr>
              <w:jc w:val="center"/>
              <w:rPr>
                <w:rFonts w:ascii="Verdana" w:hAnsi="Verdana" w:cs="Arial"/>
                <w:sz w:val="20"/>
                <w:szCs w:val="20"/>
              </w:rPr>
            </w:pPr>
            <w:r w:rsidRPr="003F2B5D">
              <w:rPr>
                <w:rStyle w:val="normaltextrun"/>
                <w:rFonts w:ascii="Verdana" w:hAnsi="Verdana" w:cs="Arial"/>
                <w:lang w:val="en-US"/>
              </w:rPr>
              <w:t>2</w:t>
            </w:r>
          </w:p>
        </w:tc>
        <w:tc>
          <w:tcPr>
            <w:tcW w:w="542" w:type="dxa"/>
            <w:vAlign w:val="center"/>
          </w:tcPr>
          <w:p w14:paraId="6DC1D5A7" w14:textId="4A36FA32" w:rsidR="00AC0B84" w:rsidRPr="003F2B5D" w:rsidRDefault="00AC0B84" w:rsidP="00AC0B84">
            <w:pPr>
              <w:jc w:val="center"/>
              <w:rPr>
                <w:rFonts w:ascii="Verdana" w:hAnsi="Verdana" w:cs="Arial"/>
                <w:sz w:val="20"/>
                <w:szCs w:val="20"/>
              </w:rPr>
            </w:pPr>
            <w:r w:rsidRPr="003F2B5D">
              <w:rPr>
                <w:rStyle w:val="normaltextrun"/>
                <w:rFonts w:ascii="Verdana" w:hAnsi="Verdana" w:cs="Arial"/>
                <w:lang w:val="en-US"/>
              </w:rPr>
              <w:t>1</w:t>
            </w:r>
          </w:p>
        </w:tc>
        <w:tc>
          <w:tcPr>
            <w:tcW w:w="542" w:type="dxa"/>
            <w:vAlign w:val="center"/>
          </w:tcPr>
          <w:p w14:paraId="402E5D28" w14:textId="3A293B2A" w:rsidR="00AC0B84" w:rsidRPr="003F2B5D" w:rsidRDefault="00AC0B84" w:rsidP="00AC0B84">
            <w:pPr>
              <w:jc w:val="center"/>
              <w:rPr>
                <w:rFonts w:ascii="Verdana" w:hAnsi="Verdana" w:cs="Arial"/>
                <w:sz w:val="20"/>
                <w:szCs w:val="20"/>
              </w:rPr>
            </w:pPr>
            <w:r w:rsidRPr="003F2B5D">
              <w:rPr>
                <w:rStyle w:val="normaltextrun"/>
                <w:rFonts w:ascii="Verdana" w:hAnsi="Verdana" w:cs="Arial"/>
                <w:lang w:val="en-US"/>
              </w:rPr>
              <w:t>0</w:t>
            </w:r>
          </w:p>
        </w:tc>
      </w:tr>
      <w:tr w:rsidR="00AC0B84" w:rsidRPr="003F2B5D" w14:paraId="0E4C2EAB" w14:textId="77777777" w:rsidTr="00955EC0">
        <w:trPr>
          <w:trHeight w:hRule="exact" w:val="454"/>
        </w:trPr>
        <w:tc>
          <w:tcPr>
            <w:tcW w:w="1163" w:type="dxa"/>
            <w:vAlign w:val="center"/>
          </w:tcPr>
          <w:p w14:paraId="3DFF9799" w14:textId="03056222" w:rsidR="00AC0B84" w:rsidRPr="003F2B5D" w:rsidRDefault="00AC0B84" w:rsidP="00955EC0">
            <w:pPr>
              <w:jc w:val="center"/>
              <w:rPr>
                <w:rFonts w:ascii="Verdana" w:hAnsi="Verdana" w:cs="Arial"/>
                <w:sz w:val="20"/>
                <w:szCs w:val="20"/>
              </w:rPr>
            </w:pPr>
            <w:r w:rsidRPr="003F2B5D">
              <w:rPr>
                <w:rFonts w:ascii="Verdana" w:hAnsi="Verdana" w:cs="Arial"/>
                <w:sz w:val="20"/>
                <w:szCs w:val="20"/>
              </w:rPr>
              <w:t>PCT</w:t>
            </w:r>
          </w:p>
        </w:tc>
        <w:tc>
          <w:tcPr>
            <w:tcW w:w="509" w:type="dxa"/>
            <w:vAlign w:val="center"/>
          </w:tcPr>
          <w:p w14:paraId="1167ADF7" w14:textId="5ACF7C6B" w:rsidR="00AC0B84" w:rsidRPr="003F2B5D" w:rsidRDefault="00AC0B84" w:rsidP="00AC0B84">
            <w:pPr>
              <w:jc w:val="center"/>
              <w:rPr>
                <w:rFonts w:ascii="Verdana" w:hAnsi="Verdana" w:cs="Arial"/>
                <w:sz w:val="20"/>
                <w:szCs w:val="20"/>
              </w:rPr>
            </w:pPr>
            <w:r w:rsidRPr="003F2B5D">
              <w:rPr>
                <w:rStyle w:val="normaltextrun"/>
                <w:rFonts w:ascii="Verdana" w:hAnsi="Verdana" w:cs="Arial"/>
                <w:lang w:val="en-US"/>
              </w:rPr>
              <w:t>1</w:t>
            </w:r>
          </w:p>
        </w:tc>
        <w:tc>
          <w:tcPr>
            <w:tcW w:w="510" w:type="dxa"/>
            <w:vAlign w:val="center"/>
          </w:tcPr>
          <w:p w14:paraId="518986FD" w14:textId="64E4FD9E" w:rsidR="00AC0B84" w:rsidRPr="003F2B5D" w:rsidRDefault="00AC0B84" w:rsidP="00AC0B84">
            <w:pPr>
              <w:jc w:val="center"/>
              <w:rPr>
                <w:rFonts w:ascii="Verdana" w:hAnsi="Verdana" w:cs="Arial"/>
                <w:sz w:val="20"/>
                <w:szCs w:val="20"/>
              </w:rPr>
            </w:pPr>
            <w:r w:rsidRPr="003F2B5D">
              <w:rPr>
                <w:rStyle w:val="normaltextrun"/>
                <w:rFonts w:ascii="Verdana" w:hAnsi="Verdana" w:cs="Arial"/>
                <w:lang w:val="en-US"/>
              </w:rPr>
              <w:t>2</w:t>
            </w:r>
          </w:p>
        </w:tc>
        <w:tc>
          <w:tcPr>
            <w:tcW w:w="510" w:type="dxa"/>
            <w:vAlign w:val="center"/>
          </w:tcPr>
          <w:p w14:paraId="240C82D6" w14:textId="3FE2940E" w:rsidR="00AC0B84" w:rsidRPr="003F2B5D" w:rsidRDefault="00AC0B84" w:rsidP="00AC0B84">
            <w:pPr>
              <w:jc w:val="center"/>
              <w:rPr>
                <w:rFonts w:ascii="Verdana" w:hAnsi="Verdana" w:cs="Arial"/>
                <w:sz w:val="20"/>
                <w:szCs w:val="20"/>
              </w:rPr>
            </w:pPr>
            <w:r w:rsidRPr="003F2B5D">
              <w:rPr>
                <w:rStyle w:val="normaltextrun"/>
                <w:rFonts w:ascii="Verdana" w:hAnsi="Verdana" w:cs="Arial"/>
                <w:lang w:val="en-US"/>
              </w:rPr>
              <w:t>2</w:t>
            </w:r>
          </w:p>
        </w:tc>
        <w:tc>
          <w:tcPr>
            <w:tcW w:w="512" w:type="dxa"/>
            <w:vAlign w:val="center"/>
          </w:tcPr>
          <w:p w14:paraId="0430BD18" w14:textId="7256A803" w:rsidR="00AC0B84" w:rsidRPr="003F2B5D" w:rsidRDefault="00AC0B84" w:rsidP="00AC0B84">
            <w:pPr>
              <w:jc w:val="center"/>
              <w:rPr>
                <w:rFonts w:ascii="Verdana" w:hAnsi="Verdana" w:cs="Arial"/>
                <w:sz w:val="20"/>
                <w:szCs w:val="20"/>
              </w:rPr>
            </w:pPr>
            <w:r w:rsidRPr="003F2B5D">
              <w:rPr>
                <w:rStyle w:val="normaltextrun"/>
                <w:rFonts w:ascii="Verdana" w:hAnsi="Verdana" w:cs="Arial"/>
                <w:lang w:val="en-US"/>
              </w:rPr>
              <w:t>0</w:t>
            </w:r>
          </w:p>
        </w:tc>
        <w:tc>
          <w:tcPr>
            <w:tcW w:w="512" w:type="dxa"/>
            <w:vAlign w:val="center"/>
          </w:tcPr>
          <w:p w14:paraId="5CD2E336" w14:textId="01786D82" w:rsidR="00AC0B84" w:rsidRPr="003F2B5D" w:rsidRDefault="00AC0B84" w:rsidP="00AC0B84">
            <w:pPr>
              <w:jc w:val="center"/>
              <w:rPr>
                <w:rFonts w:ascii="Verdana" w:hAnsi="Verdana" w:cs="Arial"/>
                <w:sz w:val="20"/>
                <w:szCs w:val="20"/>
              </w:rPr>
            </w:pPr>
            <w:r w:rsidRPr="003F2B5D">
              <w:rPr>
                <w:rStyle w:val="normaltextrun"/>
                <w:rFonts w:ascii="Verdana" w:hAnsi="Verdana" w:cs="Arial"/>
                <w:lang w:val="en-US"/>
              </w:rPr>
              <w:t>0</w:t>
            </w:r>
          </w:p>
        </w:tc>
        <w:tc>
          <w:tcPr>
            <w:tcW w:w="512" w:type="dxa"/>
            <w:vAlign w:val="center"/>
          </w:tcPr>
          <w:p w14:paraId="21636FE0" w14:textId="040DD5CB" w:rsidR="00AC0B84" w:rsidRPr="003F2B5D" w:rsidRDefault="00AC0B84" w:rsidP="00AC0B84">
            <w:pPr>
              <w:jc w:val="center"/>
              <w:rPr>
                <w:rFonts w:ascii="Verdana" w:hAnsi="Verdana" w:cs="Arial"/>
                <w:sz w:val="20"/>
                <w:szCs w:val="20"/>
              </w:rPr>
            </w:pPr>
            <w:r w:rsidRPr="003F2B5D">
              <w:rPr>
                <w:rStyle w:val="normaltextrun"/>
                <w:rFonts w:ascii="Verdana" w:hAnsi="Verdana" w:cs="Arial"/>
                <w:lang w:val="en-US"/>
              </w:rPr>
              <w:t>0</w:t>
            </w:r>
          </w:p>
        </w:tc>
        <w:tc>
          <w:tcPr>
            <w:tcW w:w="512" w:type="dxa"/>
            <w:vAlign w:val="center"/>
          </w:tcPr>
          <w:p w14:paraId="7EC7B55E" w14:textId="21CF7DC1" w:rsidR="00AC0B84" w:rsidRPr="003F2B5D" w:rsidRDefault="00AC0B84" w:rsidP="00AC0B84">
            <w:pPr>
              <w:jc w:val="center"/>
              <w:rPr>
                <w:rFonts w:ascii="Verdana" w:hAnsi="Verdana" w:cs="Arial"/>
                <w:sz w:val="20"/>
                <w:szCs w:val="20"/>
              </w:rPr>
            </w:pPr>
            <w:r w:rsidRPr="003F2B5D">
              <w:rPr>
                <w:rStyle w:val="normaltextrun"/>
                <w:rFonts w:ascii="Verdana" w:hAnsi="Verdana" w:cs="Arial"/>
                <w:lang w:val="en-US"/>
              </w:rPr>
              <w:t>1</w:t>
            </w:r>
          </w:p>
        </w:tc>
        <w:tc>
          <w:tcPr>
            <w:tcW w:w="512" w:type="dxa"/>
            <w:vAlign w:val="center"/>
          </w:tcPr>
          <w:p w14:paraId="4E85E4EA" w14:textId="30180C25" w:rsidR="00AC0B84" w:rsidRPr="003F2B5D" w:rsidRDefault="00AC0B84" w:rsidP="00AC0B84">
            <w:pPr>
              <w:jc w:val="center"/>
              <w:rPr>
                <w:rFonts w:ascii="Verdana" w:hAnsi="Verdana" w:cs="Arial"/>
                <w:sz w:val="20"/>
                <w:szCs w:val="20"/>
              </w:rPr>
            </w:pPr>
            <w:r w:rsidRPr="003F2B5D">
              <w:rPr>
                <w:rStyle w:val="normaltextrun"/>
                <w:rFonts w:ascii="Verdana" w:hAnsi="Verdana" w:cs="Arial"/>
                <w:lang w:val="en-US"/>
              </w:rPr>
              <w:t>0</w:t>
            </w:r>
          </w:p>
        </w:tc>
        <w:tc>
          <w:tcPr>
            <w:tcW w:w="512" w:type="dxa"/>
            <w:vAlign w:val="center"/>
          </w:tcPr>
          <w:p w14:paraId="01ABB1F7" w14:textId="2596B661" w:rsidR="00AC0B84" w:rsidRPr="003F2B5D" w:rsidRDefault="00AC0B84" w:rsidP="00AC0B84">
            <w:pPr>
              <w:jc w:val="center"/>
              <w:rPr>
                <w:rFonts w:ascii="Verdana" w:hAnsi="Verdana" w:cs="Arial"/>
                <w:sz w:val="20"/>
                <w:szCs w:val="20"/>
              </w:rPr>
            </w:pPr>
            <w:r w:rsidRPr="003F2B5D">
              <w:rPr>
                <w:rStyle w:val="normaltextrun"/>
                <w:rFonts w:ascii="Verdana" w:hAnsi="Verdana" w:cs="Arial"/>
                <w:lang w:val="en-US"/>
              </w:rPr>
              <w:t>1</w:t>
            </w:r>
          </w:p>
        </w:tc>
        <w:tc>
          <w:tcPr>
            <w:tcW w:w="542" w:type="dxa"/>
            <w:vAlign w:val="center"/>
          </w:tcPr>
          <w:p w14:paraId="0F0406F0" w14:textId="21DF7BA6" w:rsidR="00AC0B84" w:rsidRPr="003F2B5D" w:rsidRDefault="00AC0B84" w:rsidP="00AC0B84">
            <w:pPr>
              <w:jc w:val="center"/>
              <w:rPr>
                <w:rFonts w:ascii="Verdana" w:hAnsi="Verdana" w:cs="Arial"/>
                <w:sz w:val="20"/>
                <w:szCs w:val="20"/>
              </w:rPr>
            </w:pPr>
            <w:r w:rsidRPr="003F2B5D">
              <w:rPr>
                <w:rStyle w:val="normaltextrun"/>
                <w:rFonts w:ascii="Verdana" w:hAnsi="Verdana" w:cs="Arial"/>
                <w:lang w:val="en-US"/>
              </w:rPr>
              <w:t>0</w:t>
            </w:r>
          </w:p>
        </w:tc>
        <w:tc>
          <w:tcPr>
            <w:tcW w:w="542" w:type="dxa"/>
            <w:vAlign w:val="center"/>
          </w:tcPr>
          <w:p w14:paraId="288AEBB2" w14:textId="15974751" w:rsidR="00AC0B84" w:rsidRPr="003F2B5D" w:rsidRDefault="00AC0B84" w:rsidP="00AC0B84">
            <w:pPr>
              <w:jc w:val="center"/>
              <w:rPr>
                <w:rFonts w:ascii="Verdana" w:hAnsi="Verdana" w:cs="Arial"/>
                <w:sz w:val="20"/>
                <w:szCs w:val="20"/>
              </w:rPr>
            </w:pPr>
            <w:r w:rsidRPr="003F2B5D">
              <w:rPr>
                <w:rStyle w:val="normaltextrun"/>
                <w:rFonts w:ascii="Verdana" w:hAnsi="Verdana" w:cs="Arial"/>
                <w:lang w:val="en-US"/>
              </w:rPr>
              <w:t>3</w:t>
            </w:r>
          </w:p>
        </w:tc>
        <w:tc>
          <w:tcPr>
            <w:tcW w:w="542" w:type="dxa"/>
            <w:vAlign w:val="center"/>
          </w:tcPr>
          <w:p w14:paraId="7480E294" w14:textId="6797AC80" w:rsidR="00AC0B84" w:rsidRPr="003F2B5D" w:rsidRDefault="00AC0B84" w:rsidP="00AC0B84">
            <w:pPr>
              <w:jc w:val="center"/>
              <w:rPr>
                <w:rFonts w:ascii="Verdana" w:hAnsi="Verdana" w:cs="Arial"/>
                <w:sz w:val="20"/>
                <w:szCs w:val="20"/>
              </w:rPr>
            </w:pPr>
            <w:r w:rsidRPr="003F2B5D">
              <w:rPr>
                <w:rStyle w:val="normaltextrun"/>
                <w:rFonts w:ascii="Verdana" w:hAnsi="Verdana" w:cs="Arial"/>
                <w:lang w:val="en-US"/>
              </w:rPr>
              <w:t>0</w:t>
            </w:r>
          </w:p>
        </w:tc>
        <w:tc>
          <w:tcPr>
            <w:tcW w:w="542" w:type="dxa"/>
            <w:vAlign w:val="center"/>
          </w:tcPr>
          <w:p w14:paraId="0F813C95" w14:textId="40C1AA4A" w:rsidR="00AC0B84" w:rsidRPr="003F2B5D" w:rsidRDefault="00AC0B84" w:rsidP="00AC0B84">
            <w:pPr>
              <w:jc w:val="center"/>
              <w:rPr>
                <w:rFonts w:ascii="Verdana" w:hAnsi="Verdana" w:cs="Arial"/>
                <w:sz w:val="20"/>
                <w:szCs w:val="20"/>
              </w:rPr>
            </w:pPr>
            <w:r w:rsidRPr="003F2B5D">
              <w:rPr>
                <w:rStyle w:val="normaltextrun"/>
                <w:rFonts w:ascii="Verdana" w:hAnsi="Verdana" w:cs="Arial"/>
                <w:lang w:val="en-US"/>
              </w:rPr>
              <w:t>0</w:t>
            </w:r>
          </w:p>
        </w:tc>
        <w:tc>
          <w:tcPr>
            <w:tcW w:w="542" w:type="dxa"/>
            <w:vAlign w:val="center"/>
          </w:tcPr>
          <w:p w14:paraId="6BFDDA7F" w14:textId="60AEBDBC" w:rsidR="00AC0B84" w:rsidRPr="003F2B5D" w:rsidRDefault="00AC0B84" w:rsidP="00AC0B84">
            <w:pPr>
              <w:jc w:val="center"/>
              <w:rPr>
                <w:rFonts w:ascii="Verdana" w:hAnsi="Verdana" w:cs="Arial"/>
                <w:sz w:val="20"/>
                <w:szCs w:val="20"/>
              </w:rPr>
            </w:pPr>
            <w:r w:rsidRPr="003F2B5D">
              <w:rPr>
                <w:rStyle w:val="normaltextrun"/>
                <w:rFonts w:ascii="Verdana" w:hAnsi="Verdana" w:cs="Arial"/>
                <w:lang w:val="en-US"/>
              </w:rPr>
              <w:t>0</w:t>
            </w:r>
          </w:p>
        </w:tc>
        <w:tc>
          <w:tcPr>
            <w:tcW w:w="542" w:type="dxa"/>
            <w:vAlign w:val="center"/>
          </w:tcPr>
          <w:p w14:paraId="04B42716" w14:textId="2AB1C1DF" w:rsidR="00AC0B84" w:rsidRPr="003F2B5D" w:rsidRDefault="00AC0B84" w:rsidP="00AC0B84">
            <w:pPr>
              <w:jc w:val="center"/>
              <w:rPr>
                <w:rFonts w:ascii="Verdana" w:hAnsi="Verdana" w:cs="Arial"/>
                <w:sz w:val="20"/>
                <w:szCs w:val="20"/>
              </w:rPr>
            </w:pPr>
            <w:r w:rsidRPr="003F2B5D">
              <w:rPr>
                <w:rStyle w:val="normaltextrun"/>
                <w:rFonts w:ascii="Verdana" w:hAnsi="Verdana" w:cs="Arial"/>
                <w:lang w:val="en-US"/>
              </w:rPr>
              <w:t>0</w:t>
            </w:r>
          </w:p>
        </w:tc>
      </w:tr>
      <w:tr w:rsidR="00AC0B84" w:rsidRPr="003F2B5D" w14:paraId="17F8E89E" w14:textId="77777777" w:rsidTr="00955EC0">
        <w:trPr>
          <w:trHeight w:hRule="exact" w:val="454"/>
        </w:trPr>
        <w:tc>
          <w:tcPr>
            <w:tcW w:w="1163" w:type="dxa"/>
            <w:vAlign w:val="center"/>
          </w:tcPr>
          <w:p w14:paraId="1BA70807" w14:textId="1678C759" w:rsidR="00AC0B84" w:rsidRPr="003F2B5D" w:rsidRDefault="00AC0B84" w:rsidP="00955EC0">
            <w:pPr>
              <w:jc w:val="center"/>
              <w:rPr>
                <w:rFonts w:ascii="Verdana" w:hAnsi="Verdana" w:cs="Arial"/>
                <w:sz w:val="20"/>
                <w:szCs w:val="20"/>
              </w:rPr>
            </w:pPr>
            <w:r w:rsidRPr="003F2B5D">
              <w:rPr>
                <w:rFonts w:ascii="Verdana" w:hAnsi="Verdana" w:cs="Arial"/>
                <w:sz w:val="20"/>
                <w:szCs w:val="20"/>
              </w:rPr>
              <w:t>SNPT</w:t>
            </w:r>
          </w:p>
        </w:tc>
        <w:tc>
          <w:tcPr>
            <w:tcW w:w="509" w:type="dxa"/>
            <w:vAlign w:val="center"/>
          </w:tcPr>
          <w:p w14:paraId="71EBA6F8" w14:textId="0067430F" w:rsidR="00AC0B84" w:rsidRPr="003F2B5D" w:rsidRDefault="00AC0B84" w:rsidP="00AC0B84">
            <w:pPr>
              <w:jc w:val="center"/>
              <w:rPr>
                <w:rFonts w:ascii="Verdana" w:hAnsi="Verdana" w:cs="Arial"/>
                <w:sz w:val="20"/>
                <w:szCs w:val="20"/>
              </w:rPr>
            </w:pPr>
            <w:r w:rsidRPr="003F2B5D">
              <w:rPr>
                <w:rStyle w:val="normaltextrun"/>
                <w:rFonts w:ascii="Verdana" w:hAnsi="Verdana" w:cs="Arial"/>
                <w:lang w:val="en-US"/>
              </w:rPr>
              <w:t>0</w:t>
            </w:r>
          </w:p>
        </w:tc>
        <w:tc>
          <w:tcPr>
            <w:tcW w:w="510" w:type="dxa"/>
            <w:vAlign w:val="center"/>
          </w:tcPr>
          <w:p w14:paraId="78715B4C" w14:textId="14844F06" w:rsidR="00AC0B84" w:rsidRPr="003F2B5D" w:rsidRDefault="00AC0B84" w:rsidP="00AC0B84">
            <w:pPr>
              <w:jc w:val="center"/>
              <w:rPr>
                <w:rFonts w:ascii="Verdana" w:hAnsi="Verdana" w:cs="Arial"/>
                <w:sz w:val="20"/>
                <w:szCs w:val="20"/>
              </w:rPr>
            </w:pPr>
            <w:r w:rsidRPr="003F2B5D">
              <w:rPr>
                <w:rStyle w:val="normaltextrun"/>
                <w:rFonts w:ascii="Verdana" w:hAnsi="Verdana" w:cs="Arial"/>
                <w:lang w:val="en-US"/>
              </w:rPr>
              <w:t>6</w:t>
            </w:r>
          </w:p>
        </w:tc>
        <w:tc>
          <w:tcPr>
            <w:tcW w:w="510" w:type="dxa"/>
            <w:vAlign w:val="center"/>
          </w:tcPr>
          <w:p w14:paraId="2FC85F55" w14:textId="32D851FA" w:rsidR="00AC0B84" w:rsidRPr="003F2B5D" w:rsidRDefault="00AC0B84" w:rsidP="00AC0B84">
            <w:pPr>
              <w:jc w:val="center"/>
              <w:rPr>
                <w:rFonts w:ascii="Verdana" w:hAnsi="Verdana" w:cs="Arial"/>
                <w:sz w:val="20"/>
                <w:szCs w:val="20"/>
              </w:rPr>
            </w:pPr>
            <w:r w:rsidRPr="003F2B5D">
              <w:rPr>
                <w:rStyle w:val="normaltextrun"/>
                <w:rFonts w:ascii="Verdana" w:hAnsi="Verdana" w:cs="Arial"/>
                <w:lang w:val="en-US"/>
              </w:rPr>
              <w:t>12</w:t>
            </w:r>
          </w:p>
        </w:tc>
        <w:tc>
          <w:tcPr>
            <w:tcW w:w="512" w:type="dxa"/>
            <w:vAlign w:val="center"/>
          </w:tcPr>
          <w:p w14:paraId="7B2B750F" w14:textId="2FCDBFE4" w:rsidR="00AC0B84" w:rsidRPr="003F2B5D" w:rsidRDefault="00AC0B84" w:rsidP="00AC0B84">
            <w:pPr>
              <w:jc w:val="center"/>
              <w:rPr>
                <w:rFonts w:ascii="Verdana" w:hAnsi="Verdana" w:cs="Arial"/>
                <w:sz w:val="20"/>
                <w:szCs w:val="20"/>
              </w:rPr>
            </w:pPr>
            <w:r w:rsidRPr="003F2B5D">
              <w:rPr>
                <w:rStyle w:val="normaltextrun"/>
                <w:rFonts w:ascii="Verdana" w:hAnsi="Verdana" w:cs="Arial"/>
                <w:lang w:val="en-US"/>
              </w:rPr>
              <w:t>2</w:t>
            </w:r>
          </w:p>
        </w:tc>
        <w:tc>
          <w:tcPr>
            <w:tcW w:w="512" w:type="dxa"/>
            <w:vAlign w:val="center"/>
          </w:tcPr>
          <w:p w14:paraId="4D36B1F7" w14:textId="0347523E" w:rsidR="00AC0B84" w:rsidRPr="003F2B5D" w:rsidRDefault="00AC0B84" w:rsidP="00AC0B84">
            <w:pPr>
              <w:jc w:val="center"/>
              <w:rPr>
                <w:rFonts w:ascii="Verdana" w:hAnsi="Verdana" w:cs="Arial"/>
                <w:sz w:val="20"/>
                <w:szCs w:val="20"/>
              </w:rPr>
            </w:pPr>
            <w:r w:rsidRPr="003F2B5D">
              <w:rPr>
                <w:rStyle w:val="normaltextrun"/>
                <w:rFonts w:ascii="Verdana" w:hAnsi="Verdana" w:cs="Arial"/>
                <w:lang w:val="en-US"/>
              </w:rPr>
              <w:t>5</w:t>
            </w:r>
          </w:p>
        </w:tc>
        <w:tc>
          <w:tcPr>
            <w:tcW w:w="512" w:type="dxa"/>
            <w:vAlign w:val="center"/>
          </w:tcPr>
          <w:p w14:paraId="465631C3" w14:textId="622AC1C7" w:rsidR="00AC0B84" w:rsidRPr="003F2B5D" w:rsidRDefault="00AC0B84" w:rsidP="00AC0B84">
            <w:pPr>
              <w:jc w:val="center"/>
              <w:rPr>
                <w:rFonts w:ascii="Verdana" w:hAnsi="Verdana" w:cs="Arial"/>
                <w:sz w:val="20"/>
                <w:szCs w:val="20"/>
              </w:rPr>
            </w:pPr>
            <w:r w:rsidRPr="003F2B5D">
              <w:rPr>
                <w:rStyle w:val="normaltextrun"/>
                <w:rFonts w:ascii="Verdana" w:hAnsi="Verdana" w:cs="Arial"/>
                <w:lang w:val="en-US"/>
              </w:rPr>
              <w:t>0</w:t>
            </w:r>
          </w:p>
        </w:tc>
        <w:tc>
          <w:tcPr>
            <w:tcW w:w="512" w:type="dxa"/>
            <w:vAlign w:val="center"/>
          </w:tcPr>
          <w:p w14:paraId="73BFE84B" w14:textId="1D58E469" w:rsidR="00AC0B84" w:rsidRPr="003F2B5D" w:rsidRDefault="00AC0B84" w:rsidP="00AC0B84">
            <w:pPr>
              <w:jc w:val="center"/>
              <w:rPr>
                <w:rFonts w:ascii="Verdana" w:hAnsi="Verdana" w:cs="Arial"/>
                <w:sz w:val="20"/>
                <w:szCs w:val="20"/>
              </w:rPr>
            </w:pPr>
            <w:r w:rsidRPr="003F2B5D">
              <w:rPr>
                <w:rStyle w:val="normaltextrun"/>
                <w:rFonts w:ascii="Verdana" w:hAnsi="Verdana" w:cs="Arial"/>
                <w:lang w:val="en-US"/>
              </w:rPr>
              <w:t>2</w:t>
            </w:r>
          </w:p>
        </w:tc>
        <w:tc>
          <w:tcPr>
            <w:tcW w:w="512" w:type="dxa"/>
            <w:vAlign w:val="center"/>
          </w:tcPr>
          <w:p w14:paraId="243F7903" w14:textId="763F56F3" w:rsidR="00AC0B84" w:rsidRPr="003F2B5D" w:rsidRDefault="00AC0B84" w:rsidP="00AC0B84">
            <w:pPr>
              <w:jc w:val="center"/>
              <w:rPr>
                <w:rFonts w:ascii="Verdana" w:hAnsi="Verdana" w:cs="Arial"/>
                <w:sz w:val="20"/>
                <w:szCs w:val="20"/>
              </w:rPr>
            </w:pPr>
            <w:r w:rsidRPr="003F2B5D">
              <w:rPr>
                <w:rStyle w:val="normaltextrun"/>
                <w:rFonts w:ascii="Verdana" w:hAnsi="Verdana" w:cs="Arial"/>
                <w:lang w:val="en-US"/>
              </w:rPr>
              <w:t>0</w:t>
            </w:r>
          </w:p>
        </w:tc>
        <w:tc>
          <w:tcPr>
            <w:tcW w:w="512" w:type="dxa"/>
            <w:vAlign w:val="center"/>
          </w:tcPr>
          <w:p w14:paraId="321233FE" w14:textId="76F79B11" w:rsidR="00AC0B84" w:rsidRPr="003F2B5D" w:rsidRDefault="00AC0B84" w:rsidP="00AC0B84">
            <w:pPr>
              <w:jc w:val="center"/>
              <w:rPr>
                <w:rFonts w:ascii="Verdana" w:hAnsi="Verdana" w:cs="Arial"/>
                <w:sz w:val="20"/>
                <w:szCs w:val="20"/>
              </w:rPr>
            </w:pPr>
            <w:r w:rsidRPr="003F2B5D">
              <w:rPr>
                <w:rStyle w:val="normaltextrun"/>
                <w:rFonts w:ascii="Verdana" w:hAnsi="Verdana" w:cs="Arial"/>
                <w:lang w:val="en-US"/>
              </w:rPr>
              <w:t>2</w:t>
            </w:r>
          </w:p>
        </w:tc>
        <w:tc>
          <w:tcPr>
            <w:tcW w:w="542" w:type="dxa"/>
            <w:vAlign w:val="center"/>
          </w:tcPr>
          <w:p w14:paraId="34FE08EF" w14:textId="1404BF82" w:rsidR="00AC0B84" w:rsidRPr="003F2B5D" w:rsidRDefault="00AC0B84" w:rsidP="00AC0B84">
            <w:pPr>
              <w:jc w:val="center"/>
              <w:rPr>
                <w:rFonts w:ascii="Verdana" w:hAnsi="Verdana" w:cs="Arial"/>
                <w:sz w:val="20"/>
                <w:szCs w:val="20"/>
              </w:rPr>
            </w:pPr>
            <w:r w:rsidRPr="003F2B5D">
              <w:rPr>
                <w:rStyle w:val="normaltextrun"/>
                <w:rFonts w:ascii="Verdana" w:hAnsi="Verdana" w:cs="Arial"/>
                <w:lang w:val="en-US"/>
              </w:rPr>
              <w:t>0</w:t>
            </w:r>
          </w:p>
        </w:tc>
        <w:tc>
          <w:tcPr>
            <w:tcW w:w="542" w:type="dxa"/>
            <w:vAlign w:val="center"/>
          </w:tcPr>
          <w:p w14:paraId="10A9967D" w14:textId="15339A19" w:rsidR="00AC0B84" w:rsidRPr="003F2B5D" w:rsidRDefault="00AC0B84" w:rsidP="00AC0B84">
            <w:pPr>
              <w:jc w:val="center"/>
              <w:rPr>
                <w:rFonts w:ascii="Verdana" w:hAnsi="Verdana" w:cs="Arial"/>
                <w:sz w:val="20"/>
                <w:szCs w:val="20"/>
              </w:rPr>
            </w:pPr>
            <w:r w:rsidRPr="003F2B5D">
              <w:rPr>
                <w:rStyle w:val="normaltextrun"/>
                <w:rFonts w:ascii="Verdana" w:hAnsi="Verdana" w:cs="Arial"/>
                <w:lang w:val="en-US"/>
              </w:rPr>
              <w:t>4</w:t>
            </w:r>
          </w:p>
        </w:tc>
        <w:tc>
          <w:tcPr>
            <w:tcW w:w="542" w:type="dxa"/>
            <w:vAlign w:val="center"/>
          </w:tcPr>
          <w:p w14:paraId="54FEEED5" w14:textId="77AB6993" w:rsidR="00AC0B84" w:rsidRPr="003F2B5D" w:rsidRDefault="00AC0B84" w:rsidP="00AC0B84">
            <w:pPr>
              <w:jc w:val="center"/>
              <w:rPr>
                <w:rFonts w:ascii="Verdana" w:hAnsi="Verdana" w:cs="Arial"/>
                <w:sz w:val="20"/>
                <w:szCs w:val="20"/>
              </w:rPr>
            </w:pPr>
            <w:r w:rsidRPr="003F2B5D">
              <w:rPr>
                <w:rStyle w:val="normaltextrun"/>
                <w:rFonts w:ascii="Verdana" w:hAnsi="Verdana" w:cs="Arial"/>
                <w:lang w:val="en-US"/>
              </w:rPr>
              <w:t>0</w:t>
            </w:r>
          </w:p>
        </w:tc>
        <w:tc>
          <w:tcPr>
            <w:tcW w:w="542" w:type="dxa"/>
            <w:vAlign w:val="center"/>
          </w:tcPr>
          <w:p w14:paraId="531D4EC6" w14:textId="05FE2AF6" w:rsidR="00AC0B84" w:rsidRPr="003F2B5D" w:rsidRDefault="00AC0B84" w:rsidP="00AC0B84">
            <w:pPr>
              <w:jc w:val="center"/>
              <w:rPr>
                <w:rFonts w:ascii="Verdana" w:hAnsi="Verdana" w:cs="Arial"/>
                <w:sz w:val="20"/>
                <w:szCs w:val="20"/>
              </w:rPr>
            </w:pPr>
            <w:r w:rsidRPr="003F2B5D">
              <w:rPr>
                <w:rStyle w:val="normaltextrun"/>
                <w:rFonts w:ascii="Verdana" w:hAnsi="Verdana" w:cs="Arial"/>
                <w:lang w:val="en-US"/>
              </w:rPr>
              <w:t>0</w:t>
            </w:r>
          </w:p>
        </w:tc>
        <w:tc>
          <w:tcPr>
            <w:tcW w:w="542" w:type="dxa"/>
            <w:vAlign w:val="center"/>
          </w:tcPr>
          <w:p w14:paraId="2663E343" w14:textId="02C2CAE8" w:rsidR="00AC0B84" w:rsidRPr="003F2B5D" w:rsidRDefault="00AC0B84" w:rsidP="00AC0B84">
            <w:pPr>
              <w:jc w:val="center"/>
              <w:rPr>
                <w:rFonts w:ascii="Verdana" w:hAnsi="Verdana" w:cs="Arial"/>
                <w:sz w:val="20"/>
                <w:szCs w:val="20"/>
              </w:rPr>
            </w:pPr>
            <w:r w:rsidRPr="003F2B5D">
              <w:rPr>
                <w:rStyle w:val="normaltextrun"/>
                <w:rFonts w:ascii="Verdana" w:hAnsi="Verdana" w:cs="Arial"/>
                <w:lang w:val="en-US"/>
              </w:rPr>
              <w:t>2</w:t>
            </w:r>
          </w:p>
        </w:tc>
        <w:tc>
          <w:tcPr>
            <w:tcW w:w="542" w:type="dxa"/>
            <w:vAlign w:val="center"/>
          </w:tcPr>
          <w:p w14:paraId="6112594E" w14:textId="05EEC7DA" w:rsidR="00AC0B84" w:rsidRPr="003F2B5D" w:rsidRDefault="00AC0B84" w:rsidP="00AC0B84">
            <w:pPr>
              <w:jc w:val="center"/>
              <w:rPr>
                <w:rFonts w:ascii="Verdana" w:hAnsi="Verdana" w:cs="Arial"/>
                <w:sz w:val="20"/>
                <w:szCs w:val="20"/>
              </w:rPr>
            </w:pPr>
            <w:r w:rsidRPr="003F2B5D">
              <w:rPr>
                <w:rStyle w:val="normaltextrun"/>
                <w:rFonts w:ascii="Verdana" w:hAnsi="Verdana" w:cs="Arial"/>
                <w:lang w:val="en-US"/>
              </w:rPr>
              <w:t>0</w:t>
            </w:r>
          </w:p>
        </w:tc>
      </w:tr>
      <w:tr w:rsidR="002B2CB9" w:rsidRPr="003F2B5D" w14:paraId="316821D5" w14:textId="77777777" w:rsidTr="002B2CB9">
        <w:trPr>
          <w:trHeight w:hRule="exact" w:val="454"/>
        </w:trPr>
        <w:tc>
          <w:tcPr>
            <w:tcW w:w="1163" w:type="dxa"/>
            <w:vAlign w:val="center"/>
          </w:tcPr>
          <w:p w14:paraId="4300C2B9" w14:textId="4356CD07" w:rsidR="00AC0B84" w:rsidRPr="003F2B5D" w:rsidRDefault="00AC0B84" w:rsidP="00955EC0">
            <w:pPr>
              <w:jc w:val="center"/>
              <w:rPr>
                <w:rFonts w:ascii="Verdana" w:hAnsi="Verdana" w:cs="Arial"/>
                <w:b/>
                <w:bCs/>
                <w:sz w:val="20"/>
                <w:szCs w:val="20"/>
              </w:rPr>
            </w:pPr>
            <w:r w:rsidRPr="003F2B5D">
              <w:rPr>
                <w:rFonts w:ascii="Verdana" w:hAnsi="Verdana" w:cs="Arial"/>
                <w:b/>
                <w:bCs/>
                <w:sz w:val="20"/>
                <w:szCs w:val="20"/>
              </w:rPr>
              <w:t>Total</w:t>
            </w:r>
          </w:p>
        </w:tc>
        <w:tc>
          <w:tcPr>
            <w:tcW w:w="509" w:type="dxa"/>
            <w:shd w:val="clear" w:color="auto" w:fill="4CAF50"/>
            <w:vAlign w:val="center"/>
          </w:tcPr>
          <w:p w14:paraId="0F3B1E6F" w14:textId="3475B810" w:rsidR="00AC0B84" w:rsidRPr="003F2B5D" w:rsidRDefault="00AC0B84" w:rsidP="00AC0B84">
            <w:pPr>
              <w:jc w:val="center"/>
              <w:rPr>
                <w:rFonts w:ascii="Verdana" w:hAnsi="Verdana" w:cs="Arial"/>
                <w:b/>
                <w:bCs/>
                <w:sz w:val="20"/>
                <w:szCs w:val="20"/>
              </w:rPr>
            </w:pPr>
            <w:r w:rsidRPr="003F2B5D">
              <w:rPr>
                <w:rStyle w:val="normaltextrun"/>
                <w:rFonts w:ascii="Verdana" w:hAnsi="Verdana" w:cs="Arial"/>
                <w:b/>
                <w:bCs/>
                <w:lang w:val="en-US"/>
              </w:rPr>
              <w:t>4</w:t>
            </w:r>
          </w:p>
        </w:tc>
        <w:tc>
          <w:tcPr>
            <w:tcW w:w="510" w:type="dxa"/>
            <w:shd w:val="clear" w:color="auto" w:fill="4CAF50"/>
            <w:vAlign w:val="center"/>
          </w:tcPr>
          <w:p w14:paraId="6A0B3906" w14:textId="2322FB52" w:rsidR="00AC0B84" w:rsidRPr="003F2B5D" w:rsidRDefault="00AC0B84" w:rsidP="00AC0B84">
            <w:pPr>
              <w:jc w:val="center"/>
              <w:rPr>
                <w:rFonts w:ascii="Verdana" w:hAnsi="Verdana" w:cs="Arial"/>
                <w:b/>
                <w:bCs/>
                <w:sz w:val="20"/>
                <w:szCs w:val="20"/>
              </w:rPr>
            </w:pPr>
            <w:r w:rsidRPr="003F2B5D">
              <w:rPr>
                <w:rStyle w:val="normaltextrun"/>
                <w:rFonts w:ascii="Verdana" w:hAnsi="Verdana" w:cs="Arial"/>
                <w:b/>
                <w:bCs/>
                <w:lang w:val="en-US"/>
              </w:rPr>
              <w:t>21</w:t>
            </w:r>
          </w:p>
        </w:tc>
        <w:tc>
          <w:tcPr>
            <w:tcW w:w="510" w:type="dxa"/>
            <w:shd w:val="clear" w:color="auto" w:fill="4CAF50"/>
            <w:vAlign w:val="center"/>
          </w:tcPr>
          <w:p w14:paraId="4B979DEE" w14:textId="10104841" w:rsidR="00AC0B84" w:rsidRPr="003F2B5D" w:rsidRDefault="00AC0B84" w:rsidP="00AC0B84">
            <w:pPr>
              <w:jc w:val="center"/>
              <w:rPr>
                <w:rFonts w:ascii="Verdana" w:hAnsi="Verdana" w:cs="Arial"/>
                <w:b/>
                <w:bCs/>
                <w:sz w:val="20"/>
                <w:szCs w:val="20"/>
              </w:rPr>
            </w:pPr>
            <w:r w:rsidRPr="003F2B5D">
              <w:rPr>
                <w:rStyle w:val="normaltextrun"/>
                <w:rFonts w:ascii="Verdana" w:hAnsi="Verdana" w:cs="Arial"/>
                <w:b/>
                <w:bCs/>
                <w:lang w:val="en-US"/>
              </w:rPr>
              <w:t>18</w:t>
            </w:r>
          </w:p>
        </w:tc>
        <w:tc>
          <w:tcPr>
            <w:tcW w:w="512" w:type="dxa"/>
            <w:shd w:val="clear" w:color="auto" w:fill="FFEB3B"/>
            <w:vAlign w:val="center"/>
          </w:tcPr>
          <w:p w14:paraId="58401714" w14:textId="5BB09E12" w:rsidR="00AC0B84" w:rsidRPr="003F2B5D" w:rsidRDefault="00AC0B84" w:rsidP="00AC0B84">
            <w:pPr>
              <w:jc w:val="center"/>
              <w:rPr>
                <w:rFonts w:ascii="Verdana" w:hAnsi="Verdana" w:cs="Arial"/>
                <w:b/>
                <w:bCs/>
                <w:sz w:val="20"/>
                <w:szCs w:val="20"/>
              </w:rPr>
            </w:pPr>
            <w:r w:rsidRPr="003F2B5D">
              <w:rPr>
                <w:rStyle w:val="normaltextrun"/>
                <w:rFonts w:ascii="Verdana" w:hAnsi="Verdana" w:cs="Arial"/>
                <w:b/>
                <w:bCs/>
                <w:lang w:val="en-US"/>
              </w:rPr>
              <w:t>3</w:t>
            </w:r>
          </w:p>
        </w:tc>
        <w:tc>
          <w:tcPr>
            <w:tcW w:w="512" w:type="dxa"/>
            <w:shd w:val="clear" w:color="auto" w:fill="FFEB3B"/>
            <w:vAlign w:val="center"/>
          </w:tcPr>
          <w:p w14:paraId="2DC22F9C" w14:textId="21AD006E" w:rsidR="00AC0B84" w:rsidRPr="003F2B5D" w:rsidRDefault="00AC0B84" w:rsidP="00AC0B84">
            <w:pPr>
              <w:jc w:val="center"/>
              <w:rPr>
                <w:rFonts w:ascii="Verdana" w:hAnsi="Verdana" w:cs="Arial"/>
                <w:b/>
                <w:bCs/>
                <w:sz w:val="20"/>
                <w:szCs w:val="20"/>
              </w:rPr>
            </w:pPr>
            <w:r w:rsidRPr="003F2B5D">
              <w:rPr>
                <w:rStyle w:val="normaltextrun"/>
                <w:rFonts w:ascii="Verdana" w:hAnsi="Verdana" w:cs="Arial"/>
                <w:b/>
                <w:bCs/>
                <w:lang w:val="en-US"/>
              </w:rPr>
              <w:t>9</w:t>
            </w:r>
          </w:p>
        </w:tc>
        <w:tc>
          <w:tcPr>
            <w:tcW w:w="512" w:type="dxa"/>
            <w:shd w:val="clear" w:color="auto" w:fill="FFC107"/>
            <w:vAlign w:val="center"/>
          </w:tcPr>
          <w:p w14:paraId="0DA9493E" w14:textId="04F63CB4" w:rsidR="00AC0B84" w:rsidRPr="003F2B5D" w:rsidRDefault="00AC0B84" w:rsidP="00AC0B84">
            <w:pPr>
              <w:jc w:val="center"/>
              <w:rPr>
                <w:rFonts w:ascii="Verdana" w:hAnsi="Verdana" w:cs="Arial"/>
                <w:b/>
                <w:bCs/>
                <w:sz w:val="20"/>
                <w:szCs w:val="20"/>
              </w:rPr>
            </w:pPr>
            <w:r w:rsidRPr="003F2B5D">
              <w:rPr>
                <w:rStyle w:val="normaltextrun"/>
                <w:rFonts w:ascii="Verdana" w:hAnsi="Verdana" w:cs="Arial"/>
                <w:b/>
                <w:bCs/>
                <w:lang w:val="en-US"/>
              </w:rPr>
              <w:t>0</w:t>
            </w:r>
          </w:p>
        </w:tc>
        <w:tc>
          <w:tcPr>
            <w:tcW w:w="512" w:type="dxa"/>
            <w:shd w:val="clear" w:color="auto" w:fill="FFC107"/>
            <w:vAlign w:val="center"/>
          </w:tcPr>
          <w:p w14:paraId="326B93A2" w14:textId="75837677" w:rsidR="00AC0B84" w:rsidRPr="003F2B5D" w:rsidRDefault="00AC0B84" w:rsidP="00AC0B84">
            <w:pPr>
              <w:jc w:val="center"/>
              <w:rPr>
                <w:rFonts w:ascii="Verdana" w:hAnsi="Verdana" w:cs="Arial"/>
                <w:b/>
                <w:bCs/>
                <w:sz w:val="20"/>
                <w:szCs w:val="20"/>
              </w:rPr>
            </w:pPr>
            <w:r w:rsidRPr="003F2B5D">
              <w:rPr>
                <w:rStyle w:val="normaltextrun"/>
                <w:rFonts w:ascii="Verdana" w:hAnsi="Verdana" w:cs="Arial"/>
                <w:b/>
                <w:bCs/>
                <w:lang w:val="en-US"/>
              </w:rPr>
              <w:t>11</w:t>
            </w:r>
          </w:p>
        </w:tc>
        <w:tc>
          <w:tcPr>
            <w:tcW w:w="512" w:type="dxa"/>
            <w:shd w:val="clear" w:color="auto" w:fill="FF9800"/>
            <w:vAlign w:val="center"/>
          </w:tcPr>
          <w:p w14:paraId="640B8BF6" w14:textId="4F64B275" w:rsidR="00AC0B84" w:rsidRPr="003F2B5D" w:rsidRDefault="00AC0B84" w:rsidP="00AC0B84">
            <w:pPr>
              <w:jc w:val="center"/>
              <w:rPr>
                <w:rFonts w:ascii="Verdana" w:hAnsi="Verdana" w:cs="Arial"/>
                <w:b/>
                <w:bCs/>
                <w:sz w:val="20"/>
                <w:szCs w:val="20"/>
              </w:rPr>
            </w:pPr>
            <w:r w:rsidRPr="003F2B5D">
              <w:rPr>
                <w:rStyle w:val="normaltextrun"/>
                <w:rFonts w:ascii="Verdana" w:hAnsi="Verdana" w:cs="Arial"/>
                <w:b/>
                <w:bCs/>
                <w:lang w:val="en-US"/>
              </w:rPr>
              <w:t>2</w:t>
            </w:r>
          </w:p>
        </w:tc>
        <w:tc>
          <w:tcPr>
            <w:tcW w:w="512" w:type="dxa"/>
            <w:shd w:val="clear" w:color="auto" w:fill="FF9800"/>
            <w:vAlign w:val="center"/>
          </w:tcPr>
          <w:p w14:paraId="2A053B9A" w14:textId="651F1CD3" w:rsidR="00AC0B84" w:rsidRPr="003F2B5D" w:rsidRDefault="00AC0B84" w:rsidP="00AC0B84">
            <w:pPr>
              <w:jc w:val="center"/>
              <w:rPr>
                <w:rFonts w:ascii="Verdana" w:hAnsi="Verdana" w:cs="Arial"/>
                <w:b/>
                <w:bCs/>
                <w:sz w:val="20"/>
                <w:szCs w:val="20"/>
              </w:rPr>
            </w:pPr>
            <w:r w:rsidRPr="003F2B5D">
              <w:rPr>
                <w:rStyle w:val="normaltextrun"/>
                <w:rFonts w:ascii="Verdana" w:hAnsi="Verdana" w:cs="Arial"/>
                <w:b/>
                <w:bCs/>
                <w:lang w:val="en-US"/>
              </w:rPr>
              <w:t>12</w:t>
            </w:r>
          </w:p>
        </w:tc>
        <w:tc>
          <w:tcPr>
            <w:tcW w:w="542" w:type="dxa"/>
            <w:shd w:val="clear" w:color="auto" w:fill="F57C00"/>
            <w:vAlign w:val="center"/>
          </w:tcPr>
          <w:p w14:paraId="12928BE1" w14:textId="75A1C130" w:rsidR="00AC0B84" w:rsidRPr="003F2B5D" w:rsidRDefault="00AC0B84" w:rsidP="00AC0B84">
            <w:pPr>
              <w:jc w:val="center"/>
              <w:rPr>
                <w:rFonts w:ascii="Verdana" w:hAnsi="Verdana" w:cs="Arial"/>
                <w:b/>
                <w:bCs/>
                <w:sz w:val="20"/>
                <w:szCs w:val="20"/>
              </w:rPr>
            </w:pPr>
            <w:r w:rsidRPr="003F2B5D">
              <w:rPr>
                <w:rStyle w:val="normaltextrun"/>
                <w:rFonts w:ascii="Verdana" w:hAnsi="Verdana" w:cs="Arial"/>
                <w:b/>
                <w:bCs/>
                <w:lang w:val="en-US"/>
              </w:rPr>
              <w:t>0</w:t>
            </w:r>
          </w:p>
        </w:tc>
        <w:tc>
          <w:tcPr>
            <w:tcW w:w="542" w:type="dxa"/>
            <w:shd w:val="clear" w:color="auto" w:fill="F57C00"/>
            <w:vAlign w:val="center"/>
          </w:tcPr>
          <w:p w14:paraId="1B0CF71B" w14:textId="597D35EA" w:rsidR="00AC0B84" w:rsidRPr="003F2B5D" w:rsidRDefault="00AC0B84" w:rsidP="00AC0B84">
            <w:pPr>
              <w:jc w:val="center"/>
              <w:rPr>
                <w:rFonts w:ascii="Verdana" w:hAnsi="Verdana" w:cs="Arial"/>
                <w:b/>
                <w:bCs/>
                <w:sz w:val="20"/>
                <w:szCs w:val="20"/>
              </w:rPr>
            </w:pPr>
            <w:r w:rsidRPr="003F2B5D">
              <w:rPr>
                <w:rStyle w:val="normaltextrun"/>
                <w:rFonts w:ascii="Verdana" w:hAnsi="Verdana" w:cs="Arial"/>
                <w:b/>
                <w:bCs/>
                <w:lang w:val="en-US"/>
              </w:rPr>
              <w:t>8</w:t>
            </w:r>
          </w:p>
        </w:tc>
        <w:tc>
          <w:tcPr>
            <w:tcW w:w="542" w:type="dxa"/>
            <w:shd w:val="clear" w:color="auto" w:fill="F44336"/>
            <w:vAlign w:val="center"/>
          </w:tcPr>
          <w:p w14:paraId="5B707B68" w14:textId="338A2601" w:rsidR="00AC0B84" w:rsidRPr="003F2B5D" w:rsidRDefault="00AC0B84" w:rsidP="00AC0B84">
            <w:pPr>
              <w:jc w:val="center"/>
              <w:rPr>
                <w:rFonts w:ascii="Verdana" w:hAnsi="Verdana" w:cs="Arial"/>
                <w:b/>
                <w:bCs/>
                <w:sz w:val="20"/>
                <w:szCs w:val="20"/>
              </w:rPr>
            </w:pPr>
            <w:r w:rsidRPr="003F2B5D">
              <w:rPr>
                <w:rStyle w:val="normaltextrun"/>
                <w:rFonts w:ascii="Verdana" w:hAnsi="Verdana" w:cs="Arial"/>
                <w:b/>
                <w:bCs/>
                <w:lang w:val="en-US"/>
              </w:rPr>
              <w:t>0</w:t>
            </w:r>
          </w:p>
        </w:tc>
        <w:tc>
          <w:tcPr>
            <w:tcW w:w="542" w:type="dxa"/>
            <w:shd w:val="clear" w:color="auto" w:fill="F44336"/>
            <w:vAlign w:val="center"/>
          </w:tcPr>
          <w:p w14:paraId="053B3241" w14:textId="55E0BF97" w:rsidR="00AC0B84" w:rsidRPr="003F2B5D" w:rsidRDefault="00AC0B84" w:rsidP="00AC0B84">
            <w:pPr>
              <w:jc w:val="center"/>
              <w:rPr>
                <w:rFonts w:ascii="Verdana" w:hAnsi="Verdana" w:cs="Arial"/>
                <w:b/>
                <w:bCs/>
                <w:sz w:val="20"/>
                <w:szCs w:val="20"/>
              </w:rPr>
            </w:pPr>
            <w:r w:rsidRPr="003F2B5D">
              <w:rPr>
                <w:rStyle w:val="normaltextrun"/>
                <w:rFonts w:ascii="Verdana" w:hAnsi="Verdana" w:cs="Arial"/>
                <w:b/>
                <w:bCs/>
                <w:lang w:val="en-US"/>
              </w:rPr>
              <w:t>3</w:t>
            </w:r>
          </w:p>
        </w:tc>
        <w:tc>
          <w:tcPr>
            <w:tcW w:w="542" w:type="dxa"/>
            <w:shd w:val="clear" w:color="auto" w:fill="D32F2F"/>
            <w:vAlign w:val="center"/>
          </w:tcPr>
          <w:p w14:paraId="4B03A98D" w14:textId="2A22EBC8" w:rsidR="00AC0B84" w:rsidRPr="003F2B5D" w:rsidRDefault="00AC0B84" w:rsidP="00AC0B84">
            <w:pPr>
              <w:jc w:val="center"/>
              <w:rPr>
                <w:rFonts w:ascii="Verdana" w:hAnsi="Verdana" w:cs="Arial"/>
                <w:b/>
                <w:bCs/>
                <w:sz w:val="20"/>
                <w:szCs w:val="20"/>
              </w:rPr>
            </w:pPr>
            <w:r w:rsidRPr="003F2B5D">
              <w:rPr>
                <w:rFonts w:ascii="Verdana" w:hAnsi="Verdana" w:cs="Arial"/>
                <w:b/>
                <w:bCs/>
              </w:rPr>
              <w:t>3</w:t>
            </w:r>
          </w:p>
        </w:tc>
        <w:tc>
          <w:tcPr>
            <w:tcW w:w="542" w:type="dxa"/>
            <w:shd w:val="clear" w:color="auto" w:fill="B71C1C"/>
            <w:vAlign w:val="center"/>
          </w:tcPr>
          <w:p w14:paraId="668C5A11" w14:textId="18BC2F06" w:rsidR="00AC0B84" w:rsidRPr="003F2B5D" w:rsidRDefault="00AC0B84" w:rsidP="00AC0B84">
            <w:pPr>
              <w:jc w:val="center"/>
              <w:rPr>
                <w:rFonts w:ascii="Verdana" w:hAnsi="Verdana" w:cs="Arial"/>
                <w:b/>
                <w:bCs/>
                <w:sz w:val="20"/>
                <w:szCs w:val="20"/>
              </w:rPr>
            </w:pPr>
            <w:r w:rsidRPr="003F2B5D">
              <w:rPr>
                <w:rFonts w:ascii="Verdana" w:hAnsi="Verdana" w:cs="Arial"/>
                <w:b/>
                <w:bCs/>
              </w:rPr>
              <w:t>0</w:t>
            </w:r>
          </w:p>
        </w:tc>
      </w:tr>
    </w:tbl>
    <w:p w14:paraId="08CC7A50" w14:textId="7DF47E29" w:rsidR="00AC0B84" w:rsidRDefault="00CD66DD" w:rsidP="00AC0B84">
      <w:pPr>
        <w:spacing w:after="120" w:line="240" w:lineRule="auto"/>
        <w:jc w:val="right"/>
        <w:rPr>
          <w:rFonts w:ascii="Verdana" w:hAnsi="Verdana" w:cs="Arial"/>
          <w:sz w:val="16"/>
          <w:szCs w:val="16"/>
        </w:rPr>
      </w:pPr>
      <w:r>
        <w:rPr>
          <w:rFonts w:ascii="Verdana" w:hAnsi="Verdana" w:cs="Arial"/>
          <w:sz w:val="16"/>
          <w:szCs w:val="16"/>
        </w:rPr>
        <w:t>Table 1</w:t>
      </w:r>
      <w:r w:rsidR="00AC0B84">
        <w:rPr>
          <w:rFonts w:ascii="Verdana" w:hAnsi="Verdana" w:cs="Arial"/>
          <w:sz w:val="16"/>
          <w:szCs w:val="16"/>
        </w:rPr>
        <w:t>. Combined Consequence and Likelihood Scores, by Service Group</w:t>
      </w:r>
    </w:p>
    <w:p w14:paraId="1D7B7DFF" w14:textId="77777777" w:rsidR="00637D5F" w:rsidRDefault="00637D5F" w:rsidP="00637D5F">
      <w:pPr>
        <w:spacing w:after="120" w:line="80" w:lineRule="exact"/>
        <w:rPr>
          <w:rFonts w:ascii="Verdana" w:hAnsi="Verdana" w:cs="Arial"/>
          <w:b/>
          <w:bCs/>
          <w:sz w:val="28"/>
          <w:szCs w:val="28"/>
        </w:rPr>
      </w:pPr>
    </w:p>
    <w:p w14:paraId="3FC6D3DD" w14:textId="15ACB3D4" w:rsidR="00680184" w:rsidRDefault="00680184" w:rsidP="00287ED9">
      <w:pPr>
        <w:spacing w:after="120" w:line="240" w:lineRule="auto"/>
        <w:rPr>
          <w:rFonts w:ascii="Verdana" w:hAnsi="Verdana" w:cs="Arial"/>
          <w:b/>
          <w:bCs/>
          <w:sz w:val="28"/>
          <w:szCs w:val="28"/>
        </w:rPr>
      </w:pPr>
      <w:r w:rsidRPr="00501F0F">
        <w:rPr>
          <w:rFonts w:ascii="Verdana" w:hAnsi="Verdana" w:cs="Arial"/>
          <w:b/>
          <w:bCs/>
          <w:sz w:val="28"/>
          <w:szCs w:val="28"/>
        </w:rPr>
        <w:t xml:space="preserve">3.  </w:t>
      </w:r>
      <w:r w:rsidR="00D07CD1">
        <w:rPr>
          <w:rFonts w:ascii="Verdana" w:hAnsi="Verdana" w:cs="Arial"/>
          <w:b/>
          <w:bCs/>
          <w:sz w:val="28"/>
          <w:szCs w:val="28"/>
        </w:rPr>
        <w:t xml:space="preserve">  Audit </w:t>
      </w:r>
      <w:r w:rsidR="00E91466">
        <w:rPr>
          <w:rFonts w:ascii="Verdana" w:hAnsi="Verdana" w:cs="Arial"/>
          <w:b/>
          <w:bCs/>
          <w:sz w:val="28"/>
          <w:szCs w:val="28"/>
        </w:rPr>
        <w:t>Programme</w:t>
      </w:r>
      <w:r w:rsidR="00D07CD1">
        <w:rPr>
          <w:rFonts w:ascii="Verdana" w:hAnsi="Verdana" w:cs="Arial"/>
          <w:b/>
          <w:bCs/>
          <w:sz w:val="28"/>
          <w:szCs w:val="28"/>
        </w:rPr>
        <w:t xml:space="preserve"> 2026-28</w:t>
      </w:r>
    </w:p>
    <w:p w14:paraId="4A4BC0BF" w14:textId="3785F55A" w:rsidR="00D07CD1" w:rsidRDefault="00D07CD1" w:rsidP="00287ED9">
      <w:pPr>
        <w:spacing w:after="120" w:line="240" w:lineRule="auto"/>
        <w:rPr>
          <w:rFonts w:ascii="Verdana" w:hAnsi="Verdana" w:cs="Arial"/>
          <w:b/>
          <w:bCs/>
          <w:sz w:val="24"/>
          <w:szCs w:val="24"/>
        </w:rPr>
      </w:pPr>
      <w:r>
        <w:rPr>
          <w:rFonts w:ascii="Verdana" w:hAnsi="Verdana" w:cs="Arial"/>
          <w:b/>
          <w:bCs/>
          <w:sz w:val="24"/>
          <w:szCs w:val="24"/>
        </w:rPr>
        <w:t xml:space="preserve">3.1   </w:t>
      </w:r>
      <w:r w:rsidR="00E91466">
        <w:rPr>
          <w:rFonts w:ascii="Verdana" w:hAnsi="Verdana" w:cs="Arial"/>
          <w:b/>
          <w:bCs/>
          <w:sz w:val="24"/>
          <w:szCs w:val="24"/>
        </w:rPr>
        <w:t>Audit Plan</w:t>
      </w:r>
      <w:r w:rsidR="008560F5">
        <w:rPr>
          <w:rFonts w:ascii="Verdana" w:hAnsi="Verdana" w:cs="Arial"/>
          <w:b/>
          <w:bCs/>
          <w:sz w:val="24"/>
          <w:szCs w:val="24"/>
        </w:rPr>
        <w:t xml:space="preserve"> 2026-28</w:t>
      </w:r>
    </w:p>
    <w:p w14:paraId="56BA2512" w14:textId="7678A241" w:rsidR="00FD06A3" w:rsidRPr="00FD06A3" w:rsidRDefault="00FD06A3" w:rsidP="00287ED9">
      <w:pPr>
        <w:spacing w:after="0" w:line="240" w:lineRule="auto"/>
        <w:rPr>
          <w:rFonts w:ascii="Verdana" w:eastAsia="Times New Roman" w:hAnsi="Verdana" w:cs="Segoe UI"/>
          <w:sz w:val="24"/>
          <w:szCs w:val="24"/>
          <w:lang w:eastAsia="en-GB"/>
        </w:rPr>
      </w:pPr>
      <w:r w:rsidRPr="00FD06A3">
        <w:rPr>
          <w:rFonts w:ascii="Verdana" w:eastAsia="Times New Roman" w:hAnsi="Verdana" w:cs="Segoe UI"/>
          <w:sz w:val="24"/>
          <w:szCs w:val="24"/>
          <w:lang w:eastAsia="en-GB"/>
        </w:rPr>
        <w:t xml:space="preserve">Preparatory communications were issued in November and December 2025, with the official planning round opening in January 2026. Audit Leads were supported through written guidance and video demonstrations to help them navigate and utilise the new Clinical Audit App to record known audit requirements for the 2026–2028 period. Where required, members of the Clinical Audit Team met directly with </w:t>
      </w:r>
      <w:r w:rsidR="004A3AC4">
        <w:rPr>
          <w:rFonts w:ascii="Verdana" w:eastAsia="Times New Roman" w:hAnsi="Verdana" w:cs="Segoe UI"/>
          <w:sz w:val="24"/>
          <w:szCs w:val="24"/>
          <w:lang w:eastAsia="en-GB"/>
        </w:rPr>
        <w:t xml:space="preserve">any </w:t>
      </w:r>
      <w:r w:rsidRPr="00FD06A3">
        <w:rPr>
          <w:rFonts w:ascii="Verdana" w:eastAsia="Times New Roman" w:hAnsi="Verdana" w:cs="Segoe UI"/>
          <w:sz w:val="24"/>
          <w:szCs w:val="24"/>
          <w:lang w:eastAsia="en-GB"/>
        </w:rPr>
        <w:t xml:space="preserve">Audit Leads who preferred an onscreen demonstration, providing additional </w:t>
      </w:r>
      <w:r w:rsidR="004A3AC4">
        <w:rPr>
          <w:rFonts w:ascii="Verdana" w:eastAsia="Times New Roman" w:hAnsi="Verdana" w:cs="Segoe UI"/>
          <w:sz w:val="24"/>
          <w:szCs w:val="24"/>
          <w:lang w:eastAsia="en-GB"/>
        </w:rPr>
        <w:t>assistance</w:t>
      </w:r>
      <w:r w:rsidRPr="00FD06A3">
        <w:rPr>
          <w:rFonts w:ascii="Verdana" w:eastAsia="Times New Roman" w:hAnsi="Verdana" w:cs="Segoe UI"/>
          <w:sz w:val="24"/>
          <w:szCs w:val="24"/>
          <w:lang w:eastAsia="en-GB"/>
        </w:rPr>
        <w:t xml:space="preserve"> to resolve outstanding actions and to populate new audit topics</w:t>
      </w:r>
      <w:r w:rsidR="004A3AC4">
        <w:rPr>
          <w:rFonts w:ascii="Verdana" w:eastAsia="Times New Roman" w:hAnsi="Verdana" w:cs="Segoe UI"/>
          <w:sz w:val="24"/>
          <w:szCs w:val="24"/>
          <w:lang w:eastAsia="en-GB"/>
        </w:rPr>
        <w:t>.</w:t>
      </w:r>
    </w:p>
    <w:p w14:paraId="54538F41" w14:textId="77777777" w:rsidR="00FD06A3" w:rsidRDefault="00FD06A3" w:rsidP="00E95747">
      <w:pPr>
        <w:spacing w:after="120" w:line="160" w:lineRule="exact"/>
        <w:rPr>
          <w:rFonts w:ascii="Verdana" w:hAnsi="Verdana" w:cs="Arial"/>
          <w:sz w:val="24"/>
          <w:szCs w:val="24"/>
        </w:rPr>
      </w:pPr>
    </w:p>
    <w:p w14:paraId="2FB44FA6" w14:textId="6C8C2CE4" w:rsidR="00577309" w:rsidRDefault="00577309" w:rsidP="00287ED9">
      <w:pPr>
        <w:spacing w:after="120" w:line="240" w:lineRule="auto"/>
        <w:rPr>
          <w:rFonts w:ascii="Verdana" w:hAnsi="Verdana" w:cs="Arial"/>
          <w:sz w:val="24"/>
          <w:szCs w:val="24"/>
        </w:rPr>
      </w:pPr>
      <w:r>
        <w:rPr>
          <w:rFonts w:ascii="Verdana" w:hAnsi="Verdana" w:cs="Arial"/>
          <w:sz w:val="24"/>
          <w:szCs w:val="24"/>
        </w:rPr>
        <w:t>Deferred 2024-26 projects and r</w:t>
      </w:r>
      <w:r w:rsidR="00D07CD1">
        <w:rPr>
          <w:rFonts w:ascii="Verdana" w:hAnsi="Verdana" w:cs="Arial"/>
          <w:sz w:val="24"/>
          <w:szCs w:val="24"/>
        </w:rPr>
        <w:t xml:space="preserve">isk </w:t>
      </w:r>
      <w:r>
        <w:rPr>
          <w:rFonts w:ascii="Verdana" w:hAnsi="Verdana" w:cs="Arial"/>
          <w:sz w:val="24"/>
          <w:szCs w:val="24"/>
        </w:rPr>
        <w:t xml:space="preserve">assurance </w:t>
      </w:r>
      <w:r w:rsidR="00D07CD1">
        <w:rPr>
          <w:rFonts w:ascii="Verdana" w:hAnsi="Verdana" w:cs="Arial"/>
          <w:sz w:val="24"/>
          <w:szCs w:val="24"/>
        </w:rPr>
        <w:t>triggered (Level 3) topics were pre-populated by the Clinical Audit Team</w:t>
      </w:r>
      <w:r w:rsidR="00CD66DD">
        <w:rPr>
          <w:rFonts w:ascii="Verdana" w:hAnsi="Verdana" w:cs="Arial"/>
          <w:sz w:val="24"/>
          <w:szCs w:val="24"/>
        </w:rPr>
        <w:t>, Figure 7.</w:t>
      </w:r>
      <w:r>
        <w:rPr>
          <w:rFonts w:ascii="Verdana" w:hAnsi="Verdana" w:cs="Arial"/>
          <w:sz w:val="24"/>
          <w:szCs w:val="24"/>
        </w:rPr>
        <w:t>;</w:t>
      </w:r>
    </w:p>
    <w:p w14:paraId="1FEEBA7D" w14:textId="77777777" w:rsidR="00637D5F" w:rsidRDefault="007C3598" w:rsidP="00637D5F">
      <w:pPr>
        <w:spacing w:after="120" w:line="240" w:lineRule="auto"/>
        <w:jc w:val="center"/>
        <w:rPr>
          <w:rFonts w:ascii="Verdana" w:hAnsi="Verdana" w:cs="Arial"/>
          <w:sz w:val="16"/>
          <w:szCs w:val="16"/>
        </w:rPr>
      </w:pPr>
      <w:r>
        <w:rPr>
          <w:rFonts w:ascii="Verdana" w:hAnsi="Verdana" w:cs="Arial"/>
          <w:noProof/>
          <w:sz w:val="16"/>
          <w:szCs w:val="16"/>
          <w14:ligatures w14:val="standardContextual"/>
        </w:rPr>
        <w:drawing>
          <wp:inline distT="0" distB="0" distL="0" distR="0" wp14:anchorId="6BD38544" wp14:editId="39087F33">
            <wp:extent cx="5808417" cy="3531476"/>
            <wp:effectExtent l="0" t="0" r="190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rotWithShape="1">
                    <a:blip r:embed="rId18">
                      <a:extLst>
                        <a:ext uri="{28A0092B-C50C-407E-A947-70E740481C1C}">
                          <a14:useLocalDpi xmlns:a14="http://schemas.microsoft.com/office/drawing/2010/main" val="0"/>
                        </a:ext>
                      </a:extLst>
                    </a:blip>
                    <a:srcRect l="1651" t="5380" r="3344" b="17608"/>
                    <a:stretch/>
                  </pic:blipFill>
                  <pic:spPr bwMode="auto">
                    <a:xfrm>
                      <a:off x="0" y="0"/>
                      <a:ext cx="6007208" cy="3652339"/>
                    </a:xfrm>
                    <a:prstGeom prst="rect">
                      <a:avLst/>
                    </a:prstGeom>
                    <a:ln>
                      <a:noFill/>
                    </a:ln>
                    <a:extLst>
                      <a:ext uri="{53640926-AAD7-44D8-BBD7-CCE9431645EC}">
                        <a14:shadowObscured xmlns:a14="http://schemas.microsoft.com/office/drawing/2010/main"/>
                      </a:ext>
                    </a:extLst>
                  </pic:spPr>
                </pic:pic>
              </a:graphicData>
            </a:graphic>
          </wp:inline>
        </w:drawing>
      </w:r>
    </w:p>
    <w:p w14:paraId="1AA72464" w14:textId="592C9F79" w:rsidR="00577309" w:rsidRPr="0095511E" w:rsidRDefault="0095511E" w:rsidP="00E95747">
      <w:pPr>
        <w:spacing w:after="120" w:line="240" w:lineRule="auto"/>
        <w:jc w:val="right"/>
        <w:rPr>
          <w:rFonts w:ascii="Verdana" w:hAnsi="Verdana" w:cs="Arial"/>
          <w:sz w:val="16"/>
          <w:szCs w:val="16"/>
        </w:rPr>
      </w:pPr>
      <w:r>
        <w:rPr>
          <w:rFonts w:ascii="Verdana" w:hAnsi="Verdana" w:cs="Arial"/>
          <w:sz w:val="16"/>
          <w:szCs w:val="16"/>
        </w:rPr>
        <w:t xml:space="preserve">Figure </w:t>
      </w:r>
      <w:r w:rsidR="00CD66DD">
        <w:rPr>
          <w:rFonts w:ascii="Verdana" w:hAnsi="Verdana" w:cs="Arial"/>
          <w:sz w:val="16"/>
          <w:szCs w:val="16"/>
        </w:rPr>
        <w:t>7</w:t>
      </w:r>
      <w:r>
        <w:rPr>
          <w:rFonts w:ascii="Verdana" w:hAnsi="Verdana" w:cs="Arial"/>
          <w:sz w:val="16"/>
          <w:szCs w:val="16"/>
        </w:rPr>
        <w:t xml:space="preserve">. </w:t>
      </w:r>
      <w:r w:rsidR="00D655B4">
        <w:rPr>
          <w:rFonts w:ascii="Verdana" w:hAnsi="Verdana" w:cs="Arial"/>
          <w:sz w:val="16"/>
          <w:szCs w:val="16"/>
        </w:rPr>
        <w:t>Planned element of the 2026-28 Audit Programme, 1</w:t>
      </w:r>
      <w:r w:rsidR="00D655B4" w:rsidRPr="00D655B4">
        <w:rPr>
          <w:rFonts w:ascii="Verdana" w:hAnsi="Verdana" w:cs="Arial"/>
          <w:sz w:val="16"/>
          <w:szCs w:val="16"/>
          <w:vertAlign w:val="superscript"/>
        </w:rPr>
        <w:t>st</w:t>
      </w:r>
      <w:r w:rsidR="00D655B4">
        <w:rPr>
          <w:rFonts w:ascii="Verdana" w:hAnsi="Verdana" w:cs="Arial"/>
          <w:sz w:val="16"/>
          <w:szCs w:val="16"/>
        </w:rPr>
        <w:t xml:space="preserve"> April 2026</w:t>
      </w:r>
    </w:p>
    <w:p w14:paraId="6DB104BF" w14:textId="53164F90" w:rsidR="00791680" w:rsidRPr="00791680" w:rsidRDefault="00791680" w:rsidP="00791680">
      <w:pPr>
        <w:spacing w:after="0" w:line="300" w:lineRule="atLeast"/>
        <w:rPr>
          <w:rFonts w:ascii="Verdana" w:eastAsia="Times New Roman" w:hAnsi="Verdana" w:cs="Segoe UI"/>
          <w:sz w:val="24"/>
          <w:szCs w:val="24"/>
          <w:lang w:eastAsia="en-GB"/>
        </w:rPr>
      </w:pPr>
      <w:r w:rsidRPr="007C3598">
        <w:rPr>
          <w:rFonts w:ascii="Verdana" w:eastAsia="Times New Roman" w:hAnsi="Verdana" w:cs="Segoe UI"/>
          <w:sz w:val="24"/>
          <w:szCs w:val="24"/>
          <w:lang w:eastAsia="en-GB"/>
        </w:rPr>
        <w:lastRenderedPageBreak/>
        <w:t xml:space="preserve">The Audit Plan (Appendix 5) was reviewed and approved at the COEG meeting </w:t>
      </w:r>
      <w:r w:rsidR="008560F5" w:rsidRPr="007C3598">
        <w:rPr>
          <w:rFonts w:ascii="Verdana" w:eastAsia="Times New Roman" w:hAnsi="Verdana" w:cs="Segoe UI"/>
          <w:sz w:val="24"/>
          <w:szCs w:val="24"/>
          <w:lang w:eastAsia="en-GB"/>
        </w:rPr>
        <w:t>in</w:t>
      </w:r>
      <w:r w:rsidR="00E95747" w:rsidRPr="007C3598">
        <w:rPr>
          <w:rFonts w:ascii="Verdana" w:eastAsia="Times New Roman" w:hAnsi="Verdana" w:cs="Segoe UI"/>
          <w:sz w:val="24"/>
          <w:szCs w:val="24"/>
          <w:lang w:eastAsia="en-GB"/>
        </w:rPr>
        <w:t xml:space="preserve"> </w:t>
      </w:r>
      <w:r w:rsidRPr="007C3598">
        <w:rPr>
          <w:rFonts w:ascii="Verdana" w:eastAsia="Times New Roman" w:hAnsi="Verdana" w:cs="Segoe UI"/>
          <w:sz w:val="24"/>
          <w:szCs w:val="24"/>
          <w:lang w:eastAsia="en-GB"/>
        </w:rPr>
        <w:t>March 2026. This followed a two</w:t>
      </w:r>
      <w:r w:rsidRPr="007C3598">
        <w:rPr>
          <w:rFonts w:ascii="Verdana" w:eastAsia="Times New Roman" w:hAnsi="Verdana" w:cs="Segoe UI"/>
          <w:sz w:val="24"/>
          <w:szCs w:val="24"/>
          <w:lang w:eastAsia="en-GB"/>
        </w:rPr>
        <w:noBreakHyphen/>
        <w:t xml:space="preserve">month period during which </w:t>
      </w:r>
      <w:r w:rsidR="00E95747" w:rsidRPr="007C3598">
        <w:rPr>
          <w:rFonts w:ascii="Verdana" w:eastAsia="Times New Roman" w:hAnsi="Verdana" w:cs="Segoe UI"/>
          <w:sz w:val="24"/>
          <w:szCs w:val="24"/>
          <w:lang w:eastAsia="en-GB"/>
        </w:rPr>
        <w:t xml:space="preserve">specialty </w:t>
      </w:r>
      <w:r w:rsidRPr="007C3598">
        <w:rPr>
          <w:rFonts w:ascii="Verdana" w:eastAsia="Times New Roman" w:hAnsi="Verdana" w:cs="Segoe UI"/>
          <w:sz w:val="24"/>
          <w:szCs w:val="24"/>
          <w:lang w:eastAsia="en-GB"/>
        </w:rPr>
        <w:t xml:space="preserve">Audit Leads were invited to </w:t>
      </w:r>
      <w:r w:rsidR="00E95747" w:rsidRPr="007C3598">
        <w:rPr>
          <w:rFonts w:ascii="Verdana" w:eastAsia="Times New Roman" w:hAnsi="Verdana" w:cs="Segoe UI"/>
          <w:sz w:val="24"/>
          <w:szCs w:val="24"/>
          <w:lang w:eastAsia="en-GB"/>
        </w:rPr>
        <w:t xml:space="preserve">list </w:t>
      </w:r>
      <w:r w:rsidRPr="007C3598">
        <w:rPr>
          <w:rFonts w:ascii="Verdana" w:eastAsia="Times New Roman" w:hAnsi="Verdana" w:cs="Segoe UI"/>
          <w:sz w:val="24"/>
          <w:szCs w:val="24"/>
          <w:lang w:eastAsia="en-GB"/>
        </w:rPr>
        <w:t>known requirements</w:t>
      </w:r>
      <w:r w:rsidR="00E95747" w:rsidRPr="007C3598">
        <w:rPr>
          <w:rFonts w:ascii="Verdana" w:eastAsia="Times New Roman" w:hAnsi="Verdana" w:cs="Segoe UI"/>
          <w:sz w:val="24"/>
          <w:szCs w:val="24"/>
          <w:lang w:eastAsia="en-GB"/>
        </w:rPr>
        <w:t>.  101 topics were confirmed by 1</w:t>
      </w:r>
      <w:r w:rsidR="00E95747" w:rsidRPr="007C3598">
        <w:rPr>
          <w:rFonts w:ascii="Verdana" w:eastAsia="Times New Roman" w:hAnsi="Verdana" w:cs="Segoe UI"/>
          <w:sz w:val="24"/>
          <w:szCs w:val="24"/>
          <w:vertAlign w:val="superscript"/>
          <w:lang w:eastAsia="en-GB"/>
        </w:rPr>
        <w:t>st</w:t>
      </w:r>
      <w:r w:rsidR="00E95747" w:rsidRPr="007C3598">
        <w:rPr>
          <w:rFonts w:ascii="Verdana" w:eastAsia="Times New Roman" w:hAnsi="Verdana" w:cs="Segoe UI"/>
          <w:sz w:val="24"/>
          <w:szCs w:val="24"/>
          <w:lang w:eastAsia="en-GB"/>
        </w:rPr>
        <w:t xml:space="preserve"> April 2026.  7 further topics </w:t>
      </w:r>
      <w:r w:rsidR="008560F5" w:rsidRPr="007C3598">
        <w:rPr>
          <w:rFonts w:ascii="Verdana" w:eastAsia="Times New Roman" w:hAnsi="Verdana" w:cs="Segoe UI"/>
          <w:sz w:val="24"/>
          <w:szCs w:val="24"/>
          <w:lang w:eastAsia="en-GB"/>
        </w:rPr>
        <w:t xml:space="preserve">submitted during the planning round are yet to be reviewed and </w:t>
      </w:r>
      <w:r w:rsidR="00E95747" w:rsidRPr="007C3598">
        <w:rPr>
          <w:rFonts w:ascii="Verdana" w:eastAsia="Times New Roman" w:hAnsi="Verdana" w:cs="Segoe UI"/>
          <w:sz w:val="24"/>
          <w:szCs w:val="24"/>
          <w:lang w:eastAsia="en-GB"/>
        </w:rPr>
        <w:t xml:space="preserve">will be added to the </w:t>
      </w:r>
      <w:r w:rsidR="008560F5" w:rsidRPr="007C3598">
        <w:rPr>
          <w:rFonts w:ascii="Verdana" w:eastAsia="Times New Roman" w:hAnsi="Verdana" w:cs="Segoe UI"/>
          <w:sz w:val="24"/>
          <w:szCs w:val="24"/>
          <w:lang w:eastAsia="en-GB"/>
        </w:rPr>
        <w:t xml:space="preserve">wider </w:t>
      </w:r>
      <w:r w:rsidR="00E95747" w:rsidRPr="007C3598">
        <w:rPr>
          <w:rFonts w:ascii="Verdana" w:eastAsia="Times New Roman" w:hAnsi="Verdana" w:cs="Segoe UI"/>
          <w:sz w:val="24"/>
          <w:szCs w:val="24"/>
          <w:lang w:eastAsia="en-GB"/>
        </w:rPr>
        <w:t>Audit Programme</w:t>
      </w:r>
      <w:r w:rsidR="008560F5" w:rsidRPr="007C3598">
        <w:rPr>
          <w:rFonts w:ascii="Verdana" w:eastAsia="Times New Roman" w:hAnsi="Verdana" w:cs="Segoe UI"/>
          <w:sz w:val="24"/>
          <w:szCs w:val="24"/>
          <w:lang w:eastAsia="en-GB"/>
        </w:rPr>
        <w:t>,</w:t>
      </w:r>
      <w:r w:rsidR="00E95747" w:rsidRPr="007C3598">
        <w:rPr>
          <w:rFonts w:ascii="Verdana" w:eastAsia="Times New Roman" w:hAnsi="Verdana" w:cs="Segoe UI"/>
          <w:sz w:val="24"/>
          <w:szCs w:val="24"/>
          <w:lang w:eastAsia="en-GB"/>
        </w:rPr>
        <w:t xml:space="preserve"> if approved by the designated Audit Leads.</w:t>
      </w:r>
    </w:p>
    <w:p w14:paraId="770A097D" w14:textId="7B191A37" w:rsidR="001B7F43" w:rsidRDefault="002B2CB9" w:rsidP="00287ED9">
      <w:pPr>
        <w:spacing w:after="120" w:line="240" w:lineRule="auto"/>
        <w:rPr>
          <w:rFonts w:ascii="Verdana" w:hAnsi="Verdana" w:cs="Arial"/>
          <w:b/>
          <w:bCs/>
          <w:sz w:val="24"/>
          <w:szCs w:val="24"/>
        </w:rPr>
      </w:pPr>
      <w:r>
        <w:rPr>
          <w:rFonts w:ascii="Verdana" w:hAnsi="Verdana" w:cs="Arial"/>
          <w:b/>
          <w:bCs/>
          <w:sz w:val="24"/>
          <w:szCs w:val="24"/>
        </w:rPr>
        <w:t xml:space="preserve">                                                                                                           </w:t>
      </w:r>
      <w:r w:rsidR="001B7F43">
        <w:rPr>
          <w:rFonts w:ascii="Verdana" w:hAnsi="Verdana" w:cs="Arial"/>
          <w:b/>
          <w:bCs/>
          <w:sz w:val="24"/>
          <w:szCs w:val="24"/>
        </w:rPr>
        <w:t>3.2   A</w:t>
      </w:r>
      <w:r w:rsidR="00E91466">
        <w:rPr>
          <w:rFonts w:ascii="Verdana" w:hAnsi="Verdana" w:cs="Arial"/>
          <w:b/>
          <w:bCs/>
          <w:sz w:val="24"/>
          <w:szCs w:val="24"/>
        </w:rPr>
        <w:t xml:space="preserve">dditions to the </w:t>
      </w:r>
      <w:r w:rsidR="003E6B6F">
        <w:rPr>
          <w:rFonts w:ascii="Verdana" w:hAnsi="Verdana" w:cs="Arial"/>
          <w:b/>
          <w:bCs/>
          <w:sz w:val="24"/>
          <w:szCs w:val="24"/>
        </w:rPr>
        <w:t xml:space="preserve">2026-28 </w:t>
      </w:r>
      <w:r w:rsidR="00E91466">
        <w:rPr>
          <w:rFonts w:ascii="Verdana" w:hAnsi="Verdana" w:cs="Arial"/>
          <w:b/>
          <w:bCs/>
          <w:sz w:val="24"/>
          <w:szCs w:val="24"/>
        </w:rPr>
        <w:t>A</w:t>
      </w:r>
      <w:r w:rsidR="001B7F43">
        <w:rPr>
          <w:rFonts w:ascii="Verdana" w:hAnsi="Verdana" w:cs="Arial"/>
          <w:b/>
          <w:bCs/>
          <w:sz w:val="24"/>
          <w:szCs w:val="24"/>
        </w:rPr>
        <w:t>udit Programme</w:t>
      </w:r>
    </w:p>
    <w:p w14:paraId="128F2F40" w14:textId="2756E070" w:rsidR="000B544E" w:rsidRDefault="008560F5" w:rsidP="0000537F">
      <w:pPr>
        <w:spacing w:after="120" w:line="240" w:lineRule="auto"/>
        <w:rPr>
          <w:rFonts w:ascii="Verdana" w:hAnsi="Verdana" w:cs="Arial"/>
          <w:sz w:val="24"/>
          <w:szCs w:val="24"/>
        </w:rPr>
      </w:pPr>
      <w:r>
        <w:rPr>
          <w:rFonts w:ascii="Verdana" w:hAnsi="Verdana" w:cs="Arial"/>
          <w:sz w:val="24"/>
          <w:szCs w:val="24"/>
        </w:rPr>
        <w:t xml:space="preserve">Risk score </w:t>
      </w:r>
      <w:r w:rsidR="00D07CD1" w:rsidRPr="001B7F43">
        <w:rPr>
          <w:rFonts w:ascii="Verdana" w:hAnsi="Verdana" w:cs="Arial"/>
          <w:sz w:val="24"/>
          <w:szCs w:val="24"/>
        </w:rPr>
        <w:t xml:space="preserve">triggered re-audit cycles, Audit Lead </w:t>
      </w:r>
      <w:r>
        <w:rPr>
          <w:rFonts w:ascii="Verdana" w:hAnsi="Verdana" w:cs="Arial"/>
          <w:sz w:val="24"/>
          <w:szCs w:val="24"/>
        </w:rPr>
        <w:t xml:space="preserve">approved </w:t>
      </w:r>
      <w:r w:rsidR="00D07CD1" w:rsidRPr="001B7F43">
        <w:rPr>
          <w:rFonts w:ascii="Verdana" w:hAnsi="Verdana" w:cs="Arial"/>
          <w:sz w:val="24"/>
          <w:szCs w:val="24"/>
        </w:rPr>
        <w:t xml:space="preserve">emergent </w:t>
      </w:r>
      <w:r w:rsidR="00F24549">
        <w:rPr>
          <w:rFonts w:ascii="Verdana" w:hAnsi="Verdana" w:cs="Arial"/>
          <w:sz w:val="24"/>
          <w:szCs w:val="24"/>
        </w:rPr>
        <w:t xml:space="preserve">topics </w:t>
      </w:r>
      <w:r w:rsidR="00F24549" w:rsidRPr="001B7F43">
        <w:rPr>
          <w:rFonts w:ascii="Verdana" w:hAnsi="Verdana" w:cs="Arial"/>
          <w:sz w:val="24"/>
          <w:szCs w:val="24"/>
        </w:rPr>
        <w:t>and</w:t>
      </w:r>
      <w:r w:rsidR="00D07CD1" w:rsidRPr="001B7F43">
        <w:rPr>
          <w:rFonts w:ascii="Verdana" w:hAnsi="Verdana" w:cs="Arial"/>
          <w:sz w:val="24"/>
          <w:szCs w:val="24"/>
        </w:rPr>
        <w:t xml:space="preserve"> new regional/national projects </w:t>
      </w:r>
      <w:r w:rsidR="001B7F43" w:rsidRPr="001B7F43">
        <w:rPr>
          <w:rFonts w:ascii="Verdana" w:hAnsi="Verdana" w:cs="Arial"/>
          <w:sz w:val="24"/>
          <w:szCs w:val="24"/>
        </w:rPr>
        <w:t xml:space="preserve">(not listed on the mandated list at Level 1) meeting Information Governance requirements, </w:t>
      </w:r>
      <w:r>
        <w:rPr>
          <w:rFonts w:ascii="Verdana" w:hAnsi="Verdana" w:cs="Arial"/>
          <w:sz w:val="24"/>
          <w:szCs w:val="24"/>
        </w:rPr>
        <w:t>will be</w:t>
      </w:r>
      <w:r w:rsidR="001B7F43" w:rsidRPr="001B7F43">
        <w:rPr>
          <w:rFonts w:ascii="Verdana" w:hAnsi="Verdana" w:cs="Arial"/>
          <w:sz w:val="24"/>
          <w:szCs w:val="24"/>
        </w:rPr>
        <w:t xml:space="preserve"> incorporated into the wider Audit Programme for 2026-28.</w:t>
      </w:r>
      <w:r w:rsidR="0000537F">
        <w:rPr>
          <w:rFonts w:ascii="Verdana" w:hAnsi="Verdana" w:cs="Arial"/>
          <w:sz w:val="24"/>
          <w:szCs w:val="24"/>
        </w:rPr>
        <w:t xml:space="preserve"> </w:t>
      </w:r>
    </w:p>
    <w:p w14:paraId="356EA3A0" w14:textId="77777777" w:rsidR="00637D5F" w:rsidRDefault="00637D5F" w:rsidP="00637D5F">
      <w:pPr>
        <w:spacing w:after="120" w:line="160" w:lineRule="exact"/>
        <w:rPr>
          <w:rFonts w:ascii="Verdana" w:hAnsi="Verdana" w:cs="Segoe UI"/>
          <w:b/>
          <w:bCs/>
          <w:sz w:val="24"/>
          <w:szCs w:val="24"/>
        </w:rPr>
      </w:pPr>
    </w:p>
    <w:p w14:paraId="55474E93" w14:textId="30B546EC" w:rsidR="00DC2136" w:rsidRPr="00DC2136" w:rsidRDefault="00DC2136" w:rsidP="0000537F">
      <w:pPr>
        <w:spacing w:after="120" w:line="240" w:lineRule="auto"/>
        <w:rPr>
          <w:rFonts w:ascii="Verdana" w:hAnsi="Verdana" w:cs="Segoe UI"/>
          <w:b/>
          <w:bCs/>
          <w:sz w:val="24"/>
          <w:szCs w:val="24"/>
        </w:rPr>
      </w:pPr>
      <w:r w:rsidRPr="00DC2136">
        <w:rPr>
          <w:rFonts w:ascii="Verdana" w:hAnsi="Verdana" w:cs="Segoe UI"/>
          <w:b/>
          <w:bCs/>
          <w:sz w:val="24"/>
          <w:szCs w:val="24"/>
        </w:rPr>
        <w:t>4. Mortality</w:t>
      </w:r>
    </w:p>
    <w:p w14:paraId="2B9E409C" w14:textId="77777777" w:rsidR="00DC2136" w:rsidRPr="00DC2136" w:rsidRDefault="00DC2136" w:rsidP="00287ED9">
      <w:pPr>
        <w:pStyle w:val="Heading3"/>
        <w:spacing w:line="240" w:lineRule="auto"/>
        <w:rPr>
          <w:rFonts w:ascii="Verdana" w:hAnsi="Verdana" w:cs="Segoe UI"/>
          <w:b/>
          <w:bCs/>
          <w:color w:val="auto"/>
          <w:sz w:val="24"/>
          <w:szCs w:val="24"/>
        </w:rPr>
      </w:pPr>
      <w:r w:rsidRPr="00DC2136">
        <w:rPr>
          <w:rFonts w:ascii="Verdana" w:hAnsi="Verdana" w:cs="Segoe UI"/>
          <w:b/>
          <w:bCs/>
          <w:color w:val="auto"/>
          <w:sz w:val="24"/>
          <w:szCs w:val="24"/>
        </w:rPr>
        <w:t>4.1 Medical Examiner Service and Mortality Reviews</w:t>
      </w:r>
    </w:p>
    <w:p w14:paraId="71216707" w14:textId="77777777" w:rsidR="00DC2136" w:rsidRPr="00DC2136" w:rsidRDefault="00DC2136" w:rsidP="00287ED9">
      <w:pPr>
        <w:pStyle w:val="NormalWeb"/>
        <w:rPr>
          <w:rFonts w:ascii="Verdana" w:hAnsi="Verdana" w:cs="Segoe UI"/>
        </w:rPr>
      </w:pPr>
      <w:r w:rsidRPr="00DC2136">
        <w:rPr>
          <w:rFonts w:ascii="Verdana" w:hAnsi="Verdana" w:cs="Segoe UI"/>
        </w:rPr>
        <w:t xml:space="preserve">The Health Board has adopted the </w:t>
      </w:r>
      <w:r w:rsidRPr="00DC2136">
        <w:rPr>
          <w:rStyle w:val="Emphasis"/>
          <w:rFonts w:ascii="Verdana" w:eastAsiaTheme="majorEastAsia" w:hAnsi="Verdana" w:cs="Segoe UI"/>
        </w:rPr>
        <w:t>National Learning from Deaths Framework</w:t>
      </w:r>
      <w:r w:rsidRPr="00DC2136">
        <w:rPr>
          <w:rFonts w:ascii="Verdana" w:hAnsi="Verdana" w:cs="Segoe UI"/>
        </w:rPr>
        <w:t>, published by the NHS Delivery Unit and Welsh Government, as the overarching approach for delivering its learning-from-deaths system.</w:t>
      </w:r>
    </w:p>
    <w:p w14:paraId="297A66E3" w14:textId="1C02EB13" w:rsidR="00DC2136" w:rsidRPr="00DC2136" w:rsidRDefault="00DC2136" w:rsidP="00287ED9">
      <w:pPr>
        <w:pStyle w:val="NormalWeb"/>
        <w:rPr>
          <w:rFonts w:ascii="Verdana" w:hAnsi="Verdana" w:cs="Segoe UI"/>
        </w:rPr>
      </w:pPr>
      <w:r w:rsidRPr="00DC2136">
        <w:rPr>
          <w:rFonts w:ascii="Verdana" w:hAnsi="Verdana" w:cs="Segoe UI"/>
        </w:rPr>
        <w:t xml:space="preserve">All deaths where the Medical Examiner (ME) Service identifies an issue or query are referred to the Executive Medical Directorate. An initial screening process is undertaken to exclude cases that are already subject to an established redress or investigation process. Cases requiring further scrutiny are escalated to the Swansea Bay University Health Board (SBUHB) Learning from Deaths </w:t>
      </w:r>
      <w:r w:rsidR="00A4105B">
        <w:rPr>
          <w:rFonts w:ascii="Verdana" w:hAnsi="Verdana" w:cs="Segoe UI"/>
        </w:rPr>
        <w:t xml:space="preserve">(LfD) </w:t>
      </w:r>
      <w:r w:rsidRPr="00DC2136">
        <w:rPr>
          <w:rFonts w:ascii="Verdana" w:hAnsi="Verdana" w:cs="Segoe UI"/>
        </w:rPr>
        <w:t>Scrutiny Panel, which was established in May 2021.</w:t>
      </w:r>
    </w:p>
    <w:p w14:paraId="57C9E94E" w14:textId="193395D2" w:rsidR="00DC2136" w:rsidRPr="00DC2136" w:rsidRDefault="00DC2136" w:rsidP="00287ED9">
      <w:pPr>
        <w:pStyle w:val="NormalWeb"/>
        <w:rPr>
          <w:rFonts w:ascii="Verdana" w:hAnsi="Verdana" w:cs="Segoe UI"/>
        </w:rPr>
      </w:pPr>
      <w:r w:rsidRPr="00DC2136">
        <w:rPr>
          <w:rFonts w:ascii="Verdana" w:hAnsi="Verdana" w:cs="Segoe UI"/>
        </w:rPr>
        <w:t>The multidisciplinary Panel meets weekly and operates a rota system to allocate cases for review and discussion. The Deputy Executive Medical Director, supported by colleagues from the Learning from Deaths (LfD) Panel, ensures a structured and consistent approach to responding to ME reviews across the Health Board. This includes oversight of formal mortality reviews and ME cases, alongside triangulation with crude mortality data and condition-specific outcomes.</w:t>
      </w:r>
    </w:p>
    <w:p w14:paraId="7808432D" w14:textId="77777777" w:rsidR="00DC2136" w:rsidRPr="00DC2136" w:rsidRDefault="00DC2136" w:rsidP="00287ED9">
      <w:pPr>
        <w:pStyle w:val="NormalWeb"/>
        <w:rPr>
          <w:rFonts w:ascii="Verdana" w:hAnsi="Verdana" w:cs="Segoe UI"/>
        </w:rPr>
      </w:pPr>
      <w:r w:rsidRPr="00DC2136">
        <w:rPr>
          <w:rFonts w:ascii="Verdana" w:hAnsi="Verdana" w:cs="Segoe UI"/>
        </w:rPr>
        <w:t>Work is ongoing to complete a bespoke mortality dashboard, being developed by the Business Intelligence team. Once implemented, this dashboard will support the identification of outliers, trends, and areas of concern, enabling the development and monitoring of improvement plans where required.</w:t>
      </w:r>
    </w:p>
    <w:p w14:paraId="65423A7B" w14:textId="09B8AC36" w:rsidR="00460DF0" w:rsidRDefault="00460DF0" w:rsidP="00287ED9">
      <w:pPr>
        <w:pStyle w:val="ListParagraph"/>
        <w:spacing w:line="240" w:lineRule="auto"/>
        <w:ind w:left="0"/>
        <w:rPr>
          <w:rFonts w:ascii="Verdana" w:hAnsi="Verdana" w:cs="Arial"/>
          <w:sz w:val="24"/>
          <w:szCs w:val="24"/>
        </w:rPr>
      </w:pPr>
      <w:r w:rsidRPr="00FC2C90">
        <w:rPr>
          <w:rFonts w:ascii="Verdana" w:hAnsi="Verdana" w:cs="Arial"/>
          <w:sz w:val="24"/>
          <w:szCs w:val="24"/>
        </w:rPr>
        <w:t xml:space="preserve">The </w:t>
      </w:r>
      <w:r w:rsidR="002B2CB9">
        <w:rPr>
          <w:rFonts w:ascii="Verdana" w:hAnsi="Verdana" w:cs="Arial"/>
          <w:sz w:val="24"/>
          <w:szCs w:val="24"/>
        </w:rPr>
        <w:t xml:space="preserve">LfD </w:t>
      </w:r>
      <w:r w:rsidR="00CA350A">
        <w:rPr>
          <w:rFonts w:ascii="Verdana" w:hAnsi="Verdana" w:cs="Arial"/>
          <w:sz w:val="24"/>
          <w:szCs w:val="24"/>
        </w:rPr>
        <w:t xml:space="preserve">Panel </w:t>
      </w:r>
      <w:r w:rsidRPr="00FC2C90">
        <w:rPr>
          <w:rFonts w:ascii="Verdana" w:hAnsi="Verdana" w:cs="Arial"/>
          <w:sz w:val="24"/>
          <w:szCs w:val="24"/>
        </w:rPr>
        <w:t xml:space="preserve">have started to identify themes from the ME reviews and improvement work will commence on these once the dashboards are fully </w:t>
      </w:r>
      <w:r w:rsidRPr="00460DF0">
        <w:rPr>
          <w:rFonts w:ascii="Verdana" w:hAnsi="Verdana" w:cs="Arial"/>
          <w:sz w:val="24"/>
          <w:szCs w:val="24"/>
        </w:rPr>
        <w:t>developed.</w:t>
      </w:r>
    </w:p>
    <w:p w14:paraId="73E0B1ED" w14:textId="77777777" w:rsidR="00460DF0" w:rsidRDefault="00460DF0" w:rsidP="00287ED9">
      <w:pPr>
        <w:pStyle w:val="ListParagraph"/>
        <w:spacing w:line="240" w:lineRule="auto"/>
        <w:ind w:left="0"/>
        <w:rPr>
          <w:rFonts w:ascii="Verdana" w:hAnsi="Verdana" w:cs="Arial"/>
          <w:sz w:val="24"/>
          <w:szCs w:val="24"/>
        </w:rPr>
      </w:pPr>
    </w:p>
    <w:p w14:paraId="6D9D63F5" w14:textId="0CF2C67F" w:rsidR="00123B76" w:rsidRPr="00FC2C90" w:rsidRDefault="00EB44F0" w:rsidP="00287ED9">
      <w:pPr>
        <w:pStyle w:val="ListParagraph"/>
        <w:spacing w:line="240" w:lineRule="auto"/>
        <w:ind w:left="0"/>
        <w:rPr>
          <w:rFonts w:ascii="Verdana" w:hAnsi="Verdana" w:cs="Arial"/>
          <w:b/>
          <w:sz w:val="24"/>
          <w:szCs w:val="24"/>
        </w:rPr>
      </w:pPr>
      <w:r>
        <w:rPr>
          <w:rFonts w:ascii="Verdana" w:hAnsi="Verdana" w:cs="Arial"/>
          <w:b/>
          <w:sz w:val="24"/>
          <w:szCs w:val="24"/>
        </w:rPr>
        <w:lastRenderedPageBreak/>
        <w:t>4</w:t>
      </w:r>
      <w:r w:rsidR="00123B76" w:rsidRPr="00FC2C90">
        <w:rPr>
          <w:rFonts w:ascii="Verdana" w:hAnsi="Verdana" w:cs="Arial"/>
          <w:b/>
          <w:sz w:val="24"/>
          <w:szCs w:val="24"/>
        </w:rPr>
        <w:t>.1.1 Status of Referrals</w:t>
      </w:r>
    </w:p>
    <w:p w14:paraId="3A228DBF" w14:textId="4B4BB501" w:rsidR="00A96314" w:rsidRDefault="00123B76" w:rsidP="00287ED9">
      <w:pPr>
        <w:spacing w:line="240" w:lineRule="auto"/>
        <w:rPr>
          <w:rFonts w:ascii="Verdana" w:hAnsi="Verdana" w:cs="Arial"/>
          <w:sz w:val="24"/>
          <w:szCs w:val="24"/>
        </w:rPr>
      </w:pPr>
      <w:r w:rsidRPr="00FC2C90">
        <w:rPr>
          <w:rFonts w:ascii="Verdana" w:hAnsi="Verdana" w:cs="Arial"/>
          <w:sz w:val="24"/>
          <w:szCs w:val="24"/>
        </w:rPr>
        <w:t>There are different levels (1-5) for the ME reviews</w:t>
      </w:r>
      <w:r w:rsidR="00A96314">
        <w:rPr>
          <w:rFonts w:ascii="Verdana" w:hAnsi="Verdana" w:cs="Arial"/>
          <w:sz w:val="24"/>
          <w:szCs w:val="24"/>
        </w:rPr>
        <w:t xml:space="preserve"> process.  The </w:t>
      </w:r>
      <w:r w:rsidR="002B2CB9">
        <w:rPr>
          <w:rFonts w:ascii="Verdana" w:hAnsi="Verdana" w:cs="Arial"/>
          <w:sz w:val="24"/>
          <w:szCs w:val="24"/>
        </w:rPr>
        <w:t xml:space="preserve">LfD </w:t>
      </w:r>
      <w:r w:rsidR="00A96314">
        <w:rPr>
          <w:rFonts w:ascii="Verdana" w:hAnsi="Verdana" w:cs="Arial"/>
          <w:sz w:val="24"/>
          <w:szCs w:val="24"/>
        </w:rPr>
        <w:t>Panel are supported by members of the Clinical Audit and Effectiveness Department with initial sifting and signposting of referrals received and with facilitation of the Panel meetings where there is multidisciplinary screening and discussion to agree any actions for the clinical teams.</w:t>
      </w:r>
    </w:p>
    <w:p w14:paraId="6C1BEB56" w14:textId="6B94999B" w:rsidR="00A96314" w:rsidRDefault="00A96314" w:rsidP="00287ED9">
      <w:pPr>
        <w:spacing w:line="240" w:lineRule="auto"/>
        <w:rPr>
          <w:rFonts w:ascii="Verdana" w:hAnsi="Verdana" w:cs="Arial"/>
          <w:sz w:val="24"/>
          <w:szCs w:val="24"/>
        </w:rPr>
      </w:pPr>
      <w:r>
        <w:rPr>
          <w:rFonts w:ascii="Verdana" w:hAnsi="Verdana" w:cs="Arial"/>
          <w:sz w:val="24"/>
          <w:szCs w:val="24"/>
        </w:rPr>
        <w:t xml:space="preserve">Since </w:t>
      </w:r>
      <w:r w:rsidR="00123B76" w:rsidRPr="00FC2C90">
        <w:rPr>
          <w:rFonts w:ascii="Verdana" w:hAnsi="Verdana" w:cs="Arial"/>
          <w:sz w:val="24"/>
          <w:szCs w:val="24"/>
        </w:rPr>
        <w:t xml:space="preserve">January 2023, the Panel </w:t>
      </w:r>
      <w:r>
        <w:rPr>
          <w:rFonts w:ascii="Verdana" w:hAnsi="Verdana" w:cs="Arial"/>
          <w:sz w:val="24"/>
          <w:szCs w:val="24"/>
        </w:rPr>
        <w:t xml:space="preserve">have </w:t>
      </w:r>
      <w:r w:rsidR="00123B76" w:rsidRPr="00FC2C90">
        <w:rPr>
          <w:rFonts w:ascii="Verdana" w:hAnsi="Verdana" w:cs="Arial"/>
          <w:sz w:val="24"/>
          <w:szCs w:val="24"/>
        </w:rPr>
        <w:t>divided the Level 3 Proportionate Investigation</w:t>
      </w:r>
      <w:r>
        <w:rPr>
          <w:rFonts w:ascii="Verdana" w:hAnsi="Verdana" w:cs="Arial"/>
          <w:sz w:val="24"/>
          <w:szCs w:val="24"/>
        </w:rPr>
        <w:t xml:space="preserve"> section into three subsections as illustrated in </w:t>
      </w:r>
      <w:r w:rsidR="00A4105B">
        <w:rPr>
          <w:rFonts w:ascii="Verdana" w:hAnsi="Verdana" w:cs="Arial"/>
          <w:sz w:val="24"/>
          <w:szCs w:val="24"/>
        </w:rPr>
        <w:t>F</w:t>
      </w:r>
      <w:r>
        <w:rPr>
          <w:rFonts w:ascii="Verdana" w:hAnsi="Verdana" w:cs="Arial"/>
          <w:sz w:val="24"/>
          <w:szCs w:val="24"/>
        </w:rPr>
        <w:t xml:space="preserve">igure </w:t>
      </w:r>
      <w:r w:rsidR="00637D5F">
        <w:rPr>
          <w:rFonts w:ascii="Verdana" w:hAnsi="Verdana" w:cs="Arial"/>
          <w:sz w:val="24"/>
          <w:szCs w:val="24"/>
        </w:rPr>
        <w:t>8</w:t>
      </w:r>
      <w:r w:rsidR="00CD66DD">
        <w:rPr>
          <w:rFonts w:ascii="Verdana" w:hAnsi="Verdana" w:cs="Arial"/>
          <w:sz w:val="24"/>
          <w:szCs w:val="24"/>
        </w:rPr>
        <w:t>.</w:t>
      </w:r>
      <w:r>
        <w:rPr>
          <w:rFonts w:ascii="Verdana" w:hAnsi="Verdana" w:cs="Arial"/>
          <w:sz w:val="24"/>
          <w:szCs w:val="24"/>
        </w:rPr>
        <w:t>;</w:t>
      </w:r>
    </w:p>
    <w:p w14:paraId="2AB0A6DA" w14:textId="77777777" w:rsidR="00A96314" w:rsidRDefault="00A96314" w:rsidP="00287ED9">
      <w:pPr>
        <w:spacing w:line="240" w:lineRule="auto"/>
        <w:jc w:val="center"/>
        <w:rPr>
          <w:rFonts w:ascii="Verdana" w:hAnsi="Verdana" w:cs="Arial"/>
          <w:sz w:val="24"/>
          <w:szCs w:val="24"/>
        </w:rPr>
      </w:pPr>
      <w:r>
        <w:rPr>
          <w:rFonts w:ascii="Verdana" w:hAnsi="Verdana" w:cs="Arial"/>
          <w:noProof/>
          <w:sz w:val="24"/>
          <w:szCs w:val="24"/>
          <w14:ligatures w14:val="standardContextual"/>
        </w:rPr>
        <w:drawing>
          <wp:inline distT="0" distB="0" distL="0" distR="0" wp14:anchorId="3CB8EA9B" wp14:editId="52503F2E">
            <wp:extent cx="3930869" cy="5663734"/>
            <wp:effectExtent l="0" t="0" r="0" b="0"/>
            <wp:docPr id="21" name="Picture 21" descr="A diagram of a diagram of a medical procedu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A diagram of a diagram of a medical procedure&#10;&#10;AI-generated content may be incorrect."/>
                    <pic:cNvPicPr/>
                  </pic:nvPicPr>
                  <pic:blipFill rotWithShape="1">
                    <a:blip r:embed="rId19">
                      <a:extLst>
                        <a:ext uri="{28A0092B-C50C-407E-A947-70E740481C1C}">
                          <a14:useLocalDpi xmlns:a14="http://schemas.microsoft.com/office/drawing/2010/main" val="0"/>
                        </a:ext>
                      </a:extLst>
                    </a:blip>
                    <a:srcRect l="46939" t="4920" r="6575" b="6143"/>
                    <a:stretch/>
                  </pic:blipFill>
                  <pic:spPr bwMode="auto">
                    <a:xfrm>
                      <a:off x="0" y="0"/>
                      <a:ext cx="4055276" cy="5842984"/>
                    </a:xfrm>
                    <a:prstGeom prst="rect">
                      <a:avLst/>
                    </a:prstGeom>
                    <a:ln>
                      <a:noFill/>
                    </a:ln>
                    <a:effectLst>
                      <a:innerShdw blurRad="114300">
                        <a:prstClr val="black"/>
                      </a:innerShdw>
                    </a:effectLst>
                    <a:extLst>
                      <a:ext uri="{53640926-AAD7-44D8-BBD7-CCE9431645EC}">
                        <a14:shadowObscured xmlns:a14="http://schemas.microsoft.com/office/drawing/2010/main"/>
                      </a:ext>
                    </a:extLst>
                  </pic:spPr>
                </pic:pic>
              </a:graphicData>
            </a:graphic>
          </wp:inline>
        </w:drawing>
      </w:r>
    </w:p>
    <w:p w14:paraId="663CCD65" w14:textId="77777777" w:rsidR="00A96314" w:rsidRDefault="00B60A09" w:rsidP="00782C21">
      <w:pPr>
        <w:spacing w:line="240" w:lineRule="auto"/>
        <w:jc w:val="right"/>
        <w:rPr>
          <w:rFonts w:ascii="Verdana" w:hAnsi="Verdana" w:cs="Arial"/>
          <w:sz w:val="16"/>
          <w:szCs w:val="16"/>
        </w:rPr>
      </w:pPr>
      <w:r w:rsidRPr="00B60A09">
        <w:rPr>
          <w:rFonts w:ascii="Verdana" w:hAnsi="Verdana" w:cs="Arial"/>
          <w:sz w:val="16"/>
          <w:szCs w:val="16"/>
        </w:rPr>
        <w:t xml:space="preserve">Figure </w:t>
      </w:r>
      <w:r w:rsidR="00637D5F">
        <w:rPr>
          <w:rFonts w:ascii="Verdana" w:hAnsi="Verdana" w:cs="Arial"/>
          <w:sz w:val="16"/>
          <w:szCs w:val="16"/>
        </w:rPr>
        <w:t>8</w:t>
      </w:r>
      <w:r w:rsidRPr="00B60A09">
        <w:rPr>
          <w:rFonts w:ascii="Verdana" w:hAnsi="Verdana" w:cs="Arial"/>
          <w:sz w:val="16"/>
          <w:szCs w:val="16"/>
        </w:rPr>
        <w:t xml:space="preserve">.  </w:t>
      </w:r>
      <w:r w:rsidR="002B2CB9">
        <w:rPr>
          <w:rFonts w:ascii="Verdana" w:hAnsi="Verdana" w:cs="Arial"/>
          <w:sz w:val="16"/>
          <w:szCs w:val="16"/>
        </w:rPr>
        <w:t xml:space="preserve">SBUHB </w:t>
      </w:r>
      <w:r w:rsidRPr="00B60A09">
        <w:rPr>
          <w:rFonts w:ascii="Verdana" w:hAnsi="Verdana" w:cs="Arial"/>
          <w:sz w:val="16"/>
          <w:szCs w:val="16"/>
        </w:rPr>
        <w:t>Mortality Reviews Process</w:t>
      </w:r>
    </w:p>
    <w:p w14:paraId="12C62219" w14:textId="77777777" w:rsidR="00782C21" w:rsidRDefault="00782C21" w:rsidP="00782C21">
      <w:pPr>
        <w:spacing w:line="240" w:lineRule="auto"/>
        <w:jc w:val="right"/>
        <w:rPr>
          <w:rFonts w:ascii="Verdana" w:hAnsi="Verdana" w:cs="Arial"/>
          <w:sz w:val="16"/>
          <w:szCs w:val="16"/>
        </w:rPr>
      </w:pPr>
    </w:p>
    <w:p w14:paraId="73CDC59B" w14:textId="4B478BAC" w:rsidR="00782C21" w:rsidRDefault="00782C21" w:rsidP="00782C21">
      <w:pPr>
        <w:spacing w:line="240" w:lineRule="auto"/>
        <w:jc w:val="right"/>
        <w:rPr>
          <w:rFonts w:ascii="Verdana" w:hAnsi="Verdana" w:cs="Arial"/>
          <w:sz w:val="24"/>
          <w:szCs w:val="24"/>
        </w:rPr>
        <w:sectPr w:rsidR="00782C21" w:rsidSect="0086055E">
          <w:headerReference w:type="even" r:id="rId20"/>
          <w:headerReference w:type="default" r:id="rId21"/>
          <w:footerReference w:type="even" r:id="rId22"/>
          <w:footerReference w:type="default" r:id="rId23"/>
          <w:headerReference w:type="first" r:id="rId24"/>
          <w:footerReference w:type="first" r:id="rId25"/>
          <w:type w:val="continuous"/>
          <w:pgSz w:w="11906" w:h="16838"/>
          <w:pgMar w:top="1276" w:right="1440" w:bottom="1276" w:left="1440" w:header="709" w:footer="709" w:gutter="0"/>
          <w:pgNumType w:start="0"/>
          <w:cols w:space="708"/>
          <w:docGrid w:linePitch="360"/>
        </w:sectPr>
      </w:pPr>
    </w:p>
    <w:p w14:paraId="181C538A" w14:textId="3781A9F2" w:rsidR="00460DF0" w:rsidRPr="002B654B" w:rsidRDefault="00460DF0" w:rsidP="00287ED9">
      <w:pPr>
        <w:pStyle w:val="ListParagraph"/>
        <w:spacing w:line="240" w:lineRule="auto"/>
        <w:ind w:left="0"/>
        <w:rPr>
          <w:rFonts w:ascii="Verdana" w:hAnsi="Verdana" w:cs="Arial"/>
          <w:sz w:val="24"/>
          <w:szCs w:val="24"/>
        </w:rPr>
      </w:pPr>
      <w:r w:rsidRPr="00326A85">
        <w:rPr>
          <w:rFonts w:ascii="Verdana" w:hAnsi="Verdana" w:cs="Arial"/>
          <w:b/>
          <w:sz w:val="24"/>
          <w:szCs w:val="24"/>
        </w:rPr>
        <w:t xml:space="preserve">4.2  Deaths and </w:t>
      </w:r>
      <w:r w:rsidR="00EB1E64">
        <w:rPr>
          <w:rFonts w:ascii="Verdana" w:hAnsi="Verdana" w:cs="Arial"/>
          <w:b/>
          <w:sz w:val="24"/>
          <w:szCs w:val="24"/>
        </w:rPr>
        <w:t xml:space="preserve">Medical Examiner </w:t>
      </w:r>
      <w:r w:rsidRPr="00326A85">
        <w:rPr>
          <w:rFonts w:ascii="Verdana" w:hAnsi="Verdana" w:cs="Arial"/>
          <w:b/>
          <w:sz w:val="24"/>
          <w:szCs w:val="24"/>
        </w:rPr>
        <w:t xml:space="preserve">Referrals </w:t>
      </w:r>
      <w:r w:rsidR="004924C3">
        <w:rPr>
          <w:rFonts w:ascii="Verdana" w:hAnsi="Verdana" w:cs="Arial"/>
          <w:b/>
          <w:sz w:val="24"/>
          <w:szCs w:val="24"/>
        </w:rPr>
        <w:t>2025/26</w:t>
      </w:r>
    </w:p>
    <w:p w14:paraId="389035D7" w14:textId="08C3E1BC" w:rsidR="00FC767C" w:rsidRPr="00FC767C" w:rsidRDefault="000F2438" w:rsidP="00287ED9">
      <w:pPr>
        <w:pStyle w:val="ListParagraph"/>
        <w:spacing w:line="240" w:lineRule="auto"/>
        <w:ind w:left="0"/>
        <w:rPr>
          <w:rFonts w:ascii="Verdana" w:hAnsi="Verdana" w:cs="Arial"/>
          <w:sz w:val="24"/>
          <w:szCs w:val="24"/>
        </w:rPr>
      </w:pPr>
      <w:r>
        <w:rPr>
          <w:rFonts w:ascii="Verdana" w:hAnsi="Verdana" w:cs="Arial"/>
          <w:sz w:val="24"/>
          <w:szCs w:val="24"/>
        </w:rPr>
        <w:t xml:space="preserve">                                                                                                                    </w:t>
      </w:r>
      <w:r w:rsidR="0034768B" w:rsidRPr="0034768B">
        <w:rPr>
          <w:rFonts w:ascii="Verdana" w:hAnsi="Verdana" w:cs="Arial"/>
          <w:sz w:val="24"/>
          <w:szCs w:val="24"/>
        </w:rPr>
        <w:t xml:space="preserve">During the report period there were 2,731 deaths across Swansea Bay services, of which 1,046 (38%) were referred to the Medical Examiner service. </w:t>
      </w:r>
      <w:r w:rsidR="00FC767C">
        <w:rPr>
          <w:rFonts w:ascii="Verdana" w:hAnsi="Verdana" w:cs="Arial"/>
          <w:sz w:val="24"/>
          <w:szCs w:val="24"/>
        </w:rPr>
        <w:t xml:space="preserve">Figure </w:t>
      </w:r>
      <w:r w:rsidR="00637D5F">
        <w:rPr>
          <w:rFonts w:ascii="Verdana" w:hAnsi="Verdana" w:cs="Arial"/>
          <w:sz w:val="24"/>
          <w:szCs w:val="24"/>
        </w:rPr>
        <w:t>9</w:t>
      </w:r>
      <w:r w:rsidR="00FC767C">
        <w:rPr>
          <w:rFonts w:ascii="Verdana" w:hAnsi="Verdana" w:cs="Arial"/>
          <w:sz w:val="24"/>
          <w:szCs w:val="24"/>
        </w:rPr>
        <w:t xml:space="preserve"> illustrates the p</w:t>
      </w:r>
      <w:r w:rsidR="00FC767C" w:rsidRPr="00FC767C">
        <w:rPr>
          <w:rFonts w:ascii="Verdana" w:hAnsi="Verdana" w:cs="Arial"/>
          <w:sz w:val="24"/>
          <w:szCs w:val="24"/>
        </w:rPr>
        <w:t xml:space="preserve">roportion of deaths referred to the </w:t>
      </w:r>
      <w:r w:rsidR="00FC767C" w:rsidRPr="00FC767C">
        <w:rPr>
          <w:rFonts w:ascii="Verdana" w:hAnsi="Verdana" w:cs="Arial"/>
          <w:sz w:val="24"/>
          <w:szCs w:val="24"/>
        </w:rPr>
        <w:lastRenderedPageBreak/>
        <w:t>Medical Examiner by service. Each row uses a 10</w:t>
      </w:r>
      <w:r w:rsidR="00FC767C" w:rsidRPr="00FC767C">
        <w:rPr>
          <w:rFonts w:ascii="Verdana" w:hAnsi="Verdana" w:cs="Arial"/>
          <w:sz w:val="24"/>
          <w:szCs w:val="24"/>
        </w:rPr>
        <w:noBreakHyphen/>
        <w:t>box visual scale (≈10% per box, rounded), with exact referral numbers shown</w:t>
      </w:r>
      <w:r w:rsidR="00FC767C">
        <w:rPr>
          <w:rFonts w:ascii="Verdana" w:hAnsi="Verdana" w:cs="Arial"/>
          <w:sz w:val="24"/>
          <w:szCs w:val="24"/>
        </w:rPr>
        <w:t xml:space="preserve"> for accuracy</w:t>
      </w:r>
      <w:r w:rsidR="00FC767C" w:rsidRPr="00FC767C">
        <w:rPr>
          <w:rFonts w:ascii="Verdana" w:hAnsi="Verdana" w:cs="Arial"/>
          <w:sz w:val="24"/>
          <w:szCs w:val="24"/>
        </w:rPr>
        <w:t>.</w:t>
      </w:r>
    </w:p>
    <w:p w14:paraId="7A8FA99B" w14:textId="77777777" w:rsidR="002B654B" w:rsidRDefault="002B654B" w:rsidP="00287ED9">
      <w:pPr>
        <w:pStyle w:val="ListParagraph"/>
        <w:spacing w:line="240" w:lineRule="auto"/>
        <w:ind w:left="0"/>
        <w:rPr>
          <w:rFonts w:ascii="Verdana" w:hAnsi="Verdana" w:cs="Arial"/>
          <w:sz w:val="24"/>
          <w:szCs w:val="24"/>
        </w:rPr>
      </w:pPr>
    </w:p>
    <w:tbl>
      <w:tblPr>
        <w:tblStyle w:val="TableGrid"/>
        <w:tblW w:w="0" w:type="auto"/>
        <w:shd w:val="clear" w:color="auto" w:fill="C1E4F5" w:themeFill="accent1" w:themeFillTint="33"/>
        <w:tblLook w:val="04A0" w:firstRow="1" w:lastRow="0" w:firstColumn="1" w:lastColumn="0" w:noHBand="0" w:noVBand="1"/>
      </w:tblPr>
      <w:tblGrid>
        <w:gridCol w:w="2263"/>
        <w:gridCol w:w="284"/>
        <w:gridCol w:w="4252"/>
        <w:gridCol w:w="284"/>
        <w:gridCol w:w="1701"/>
      </w:tblGrid>
      <w:tr w:rsidR="007318DB" w14:paraId="363BF012" w14:textId="77777777" w:rsidTr="00A4105B">
        <w:trPr>
          <w:trHeight w:hRule="exact" w:val="482"/>
        </w:trPr>
        <w:tc>
          <w:tcPr>
            <w:tcW w:w="2263" w:type="dxa"/>
            <w:shd w:val="clear" w:color="auto" w:fill="C1E4F5" w:themeFill="accent1" w:themeFillTint="33"/>
            <w:vAlign w:val="center"/>
          </w:tcPr>
          <w:p w14:paraId="0E4E54A9" w14:textId="785ED75A" w:rsidR="007318DB" w:rsidRDefault="007318DB" w:rsidP="00287ED9">
            <w:pPr>
              <w:pStyle w:val="ListParagraph"/>
              <w:ind w:left="0"/>
              <w:jc w:val="center"/>
              <w:rPr>
                <w:rFonts w:ascii="Verdana" w:hAnsi="Verdana" w:cs="Arial"/>
                <w:sz w:val="24"/>
                <w:szCs w:val="24"/>
              </w:rPr>
            </w:pPr>
            <w:r w:rsidRPr="00414447">
              <w:rPr>
                <w:rFonts w:ascii="Verdana" w:hAnsi="Verdana" w:cs="Arial"/>
                <w:sz w:val="24"/>
                <w:szCs w:val="24"/>
              </w:rPr>
              <w:t>Morriston</w:t>
            </w:r>
          </w:p>
        </w:tc>
        <w:tc>
          <w:tcPr>
            <w:tcW w:w="284" w:type="dxa"/>
            <w:shd w:val="clear" w:color="auto" w:fill="C1E4F5" w:themeFill="accent1" w:themeFillTint="33"/>
            <w:vAlign w:val="center"/>
          </w:tcPr>
          <w:p w14:paraId="6E128D57" w14:textId="77777777" w:rsidR="007318DB" w:rsidRDefault="007318DB" w:rsidP="00287ED9">
            <w:pPr>
              <w:pStyle w:val="ListParagraph"/>
              <w:ind w:left="0"/>
              <w:jc w:val="center"/>
              <w:rPr>
                <w:rFonts w:ascii="Verdana" w:hAnsi="Verdana" w:cs="Arial"/>
                <w:sz w:val="24"/>
                <w:szCs w:val="24"/>
              </w:rPr>
            </w:pPr>
          </w:p>
        </w:tc>
        <w:tc>
          <w:tcPr>
            <w:tcW w:w="4252" w:type="dxa"/>
            <w:shd w:val="clear" w:color="auto" w:fill="C1E4F5" w:themeFill="accent1" w:themeFillTint="33"/>
            <w:vAlign w:val="center"/>
          </w:tcPr>
          <w:p w14:paraId="58C53A6A" w14:textId="5E77DE0C" w:rsidR="007318DB" w:rsidRDefault="007318DB" w:rsidP="00287ED9">
            <w:pPr>
              <w:pStyle w:val="ListParagraph"/>
              <w:ind w:left="0"/>
              <w:jc w:val="center"/>
              <w:rPr>
                <w:rFonts w:ascii="Verdana" w:hAnsi="Verdana" w:cs="Arial"/>
                <w:sz w:val="24"/>
                <w:szCs w:val="24"/>
              </w:rPr>
            </w:pPr>
            <w:r w:rsidRPr="00414447">
              <w:rPr>
                <w:rFonts w:ascii="Verdana" w:hAnsi="Verdana" w:cs="Arial"/>
                <w:sz w:val="24"/>
                <w:szCs w:val="24"/>
              </w:rPr>
              <w:t>|</w:t>
            </w:r>
            <w:r w:rsidRPr="00414447">
              <w:rPr>
                <w:rFonts w:ascii="Segoe UI Emoji" w:hAnsi="Segoe UI Emoji" w:cs="Segoe UI Emoji"/>
                <w:sz w:val="24"/>
                <w:szCs w:val="24"/>
              </w:rPr>
              <w:t>🟦🟦🟦⬜⬜⬜⬜⬜⬜⬜</w:t>
            </w:r>
            <w:r w:rsidRPr="00414447">
              <w:rPr>
                <w:rFonts w:ascii="Verdana" w:hAnsi="Verdana" w:cs="Arial"/>
                <w:sz w:val="24"/>
                <w:szCs w:val="24"/>
              </w:rPr>
              <w:t>|</w:t>
            </w:r>
          </w:p>
        </w:tc>
        <w:tc>
          <w:tcPr>
            <w:tcW w:w="284" w:type="dxa"/>
            <w:shd w:val="clear" w:color="auto" w:fill="C1E4F5" w:themeFill="accent1" w:themeFillTint="33"/>
            <w:vAlign w:val="center"/>
          </w:tcPr>
          <w:p w14:paraId="215EDF6F" w14:textId="77777777" w:rsidR="007318DB" w:rsidRDefault="007318DB" w:rsidP="00287ED9">
            <w:pPr>
              <w:pStyle w:val="ListParagraph"/>
              <w:ind w:left="0"/>
              <w:jc w:val="center"/>
              <w:rPr>
                <w:rFonts w:ascii="Verdana" w:hAnsi="Verdana" w:cs="Arial"/>
                <w:sz w:val="24"/>
                <w:szCs w:val="24"/>
              </w:rPr>
            </w:pPr>
          </w:p>
        </w:tc>
        <w:tc>
          <w:tcPr>
            <w:tcW w:w="1701" w:type="dxa"/>
            <w:shd w:val="clear" w:color="auto" w:fill="C1E4F5" w:themeFill="accent1" w:themeFillTint="33"/>
            <w:vAlign w:val="center"/>
          </w:tcPr>
          <w:p w14:paraId="4FAE6084" w14:textId="02DCBA8C" w:rsidR="007318DB" w:rsidRDefault="007318DB" w:rsidP="00287ED9">
            <w:pPr>
              <w:pStyle w:val="ListParagraph"/>
              <w:ind w:left="0"/>
              <w:jc w:val="center"/>
              <w:rPr>
                <w:rFonts w:ascii="Verdana" w:hAnsi="Verdana" w:cs="Arial"/>
                <w:sz w:val="24"/>
                <w:szCs w:val="24"/>
              </w:rPr>
            </w:pPr>
            <w:r w:rsidRPr="00414447">
              <w:rPr>
                <w:rFonts w:ascii="Verdana" w:hAnsi="Verdana" w:cs="Arial"/>
                <w:sz w:val="24"/>
                <w:szCs w:val="24"/>
              </w:rPr>
              <w:t>596 / 1945</w:t>
            </w:r>
          </w:p>
        </w:tc>
      </w:tr>
      <w:tr w:rsidR="007318DB" w14:paraId="30BEE830" w14:textId="77777777" w:rsidTr="00A4105B">
        <w:tc>
          <w:tcPr>
            <w:tcW w:w="2263" w:type="dxa"/>
            <w:shd w:val="clear" w:color="auto" w:fill="C1E4F5" w:themeFill="accent1" w:themeFillTint="33"/>
            <w:vAlign w:val="center"/>
          </w:tcPr>
          <w:p w14:paraId="17283E09" w14:textId="378E6AB2" w:rsidR="007318DB" w:rsidRDefault="007318DB" w:rsidP="00287ED9">
            <w:pPr>
              <w:pStyle w:val="ListParagraph"/>
              <w:ind w:left="0"/>
              <w:jc w:val="center"/>
              <w:rPr>
                <w:rFonts w:ascii="Verdana" w:hAnsi="Verdana" w:cs="Arial"/>
                <w:sz w:val="24"/>
                <w:szCs w:val="24"/>
              </w:rPr>
            </w:pPr>
            <w:r w:rsidRPr="00414447">
              <w:rPr>
                <w:rFonts w:ascii="Verdana" w:hAnsi="Verdana" w:cs="Arial"/>
                <w:sz w:val="24"/>
                <w:szCs w:val="24"/>
              </w:rPr>
              <w:t>Primary Care</w:t>
            </w:r>
          </w:p>
          <w:p w14:paraId="3475A227" w14:textId="2A2B696A" w:rsidR="007318DB" w:rsidRDefault="007318DB" w:rsidP="00287ED9">
            <w:pPr>
              <w:pStyle w:val="ListParagraph"/>
              <w:ind w:left="0"/>
              <w:jc w:val="center"/>
              <w:rPr>
                <w:rFonts w:ascii="Verdana" w:hAnsi="Verdana" w:cs="Arial"/>
                <w:sz w:val="24"/>
                <w:szCs w:val="24"/>
              </w:rPr>
            </w:pPr>
            <w:r w:rsidRPr="00414447">
              <w:rPr>
                <w:rFonts w:ascii="Verdana" w:hAnsi="Verdana" w:cs="Arial"/>
                <w:sz w:val="24"/>
                <w:szCs w:val="24"/>
              </w:rPr>
              <w:t>(Community</w:t>
            </w:r>
            <w:r>
              <w:rPr>
                <w:rFonts w:ascii="Verdana" w:hAnsi="Verdana" w:cs="Arial"/>
                <w:sz w:val="24"/>
                <w:szCs w:val="24"/>
              </w:rPr>
              <w:t>)</w:t>
            </w:r>
          </w:p>
        </w:tc>
        <w:tc>
          <w:tcPr>
            <w:tcW w:w="284" w:type="dxa"/>
            <w:shd w:val="clear" w:color="auto" w:fill="C1E4F5" w:themeFill="accent1" w:themeFillTint="33"/>
            <w:vAlign w:val="center"/>
          </w:tcPr>
          <w:p w14:paraId="1FDA942D" w14:textId="77777777" w:rsidR="007318DB" w:rsidRDefault="007318DB" w:rsidP="00287ED9">
            <w:pPr>
              <w:pStyle w:val="ListParagraph"/>
              <w:ind w:left="0"/>
              <w:jc w:val="center"/>
              <w:rPr>
                <w:rFonts w:ascii="Verdana" w:hAnsi="Verdana" w:cs="Arial"/>
                <w:sz w:val="24"/>
                <w:szCs w:val="24"/>
              </w:rPr>
            </w:pPr>
          </w:p>
        </w:tc>
        <w:tc>
          <w:tcPr>
            <w:tcW w:w="4252" w:type="dxa"/>
            <w:shd w:val="clear" w:color="auto" w:fill="C1E4F5" w:themeFill="accent1" w:themeFillTint="33"/>
            <w:vAlign w:val="center"/>
          </w:tcPr>
          <w:p w14:paraId="1F734C4E" w14:textId="5C1BA626" w:rsidR="007318DB" w:rsidRDefault="007318DB" w:rsidP="00287ED9">
            <w:pPr>
              <w:pStyle w:val="ListParagraph"/>
              <w:ind w:left="0"/>
              <w:jc w:val="center"/>
              <w:rPr>
                <w:rFonts w:ascii="Verdana" w:hAnsi="Verdana" w:cs="Arial"/>
                <w:sz w:val="24"/>
                <w:szCs w:val="24"/>
              </w:rPr>
            </w:pPr>
            <w:r w:rsidRPr="00414447">
              <w:rPr>
                <w:rFonts w:ascii="Verdana" w:hAnsi="Verdana" w:cs="Arial"/>
                <w:sz w:val="24"/>
                <w:szCs w:val="24"/>
              </w:rPr>
              <w:t>|</w:t>
            </w:r>
            <w:r w:rsidRPr="00414447">
              <w:rPr>
                <w:rFonts w:ascii="Segoe UI Emoji" w:hAnsi="Segoe UI Emoji" w:cs="Segoe UI Emoji"/>
                <w:sz w:val="24"/>
                <w:szCs w:val="24"/>
              </w:rPr>
              <w:t>🟦🟦🟦🟦🟦🟦⬜⬜⬜⬜</w:t>
            </w:r>
            <w:r w:rsidRPr="00414447">
              <w:rPr>
                <w:rFonts w:ascii="Verdana" w:hAnsi="Verdana" w:cs="Arial"/>
                <w:sz w:val="24"/>
                <w:szCs w:val="24"/>
              </w:rPr>
              <w:t>|</w:t>
            </w:r>
          </w:p>
        </w:tc>
        <w:tc>
          <w:tcPr>
            <w:tcW w:w="284" w:type="dxa"/>
            <w:shd w:val="clear" w:color="auto" w:fill="C1E4F5" w:themeFill="accent1" w:themeFillTint="33"/>
            <w:vAlign w:val="center"/>
          </w:tcPr>
          <w:p w14:paraId="25430A87" w14:textId="77777777" w:rsidR="007318DB" w:rsidRDefault="007318DB" w:rsidP="00287ED9">
            <w:pPr>
              <w:pStyle w:val="ListParagraph"/>
              <w:ind w:left="0"/>
              <w:jc w:val="center"/>
              <w:rPr>
                <w:rFonts w:ascii="Verdana" w:hAnsi="Verdana" w:cs="Arial"/>
                <w:sz w:val="24"/>
                <w:szCs w:val="24"/>
              </w:rPr>
            </w:pPr>
          </w:p>
        </w:tc>
        <w:tc>
          <w:tcPr>
            <w:tcW w:w="1701" w:type="dxa"/>
            <w:shd w:val="clear" w:color="auto" w:fill="C1E4F5" w:themeFill="accent1" w:themeFillTint="33"/>
            <w:vAlign w:val="center"/>
          </w:tcPr>
          <w:p w14:paraId="17F7ADBE" w14:textId="155C398F" w:rsidR="007318DB" w:rsidRDefault="007318DB" w:rsidP="00287ED9">
            <w:pPr>
              <w:pStyle w:val="ListParagraph"/>
              <w:ind w:left="0"/>
              <w:jc w:val="center"/>
              <w:rPr>
                <w:rFonts w:ascii="Verdana" w:hAnsi="Verdana" w:cs="Arial"/>
                <w:sz w:val="24"/>
                <w:szCs w:val="24"/>
              </w:rPr>
            </w:pPr>
            <w:r w:rsidRPr="00414447">
              <w:rPr>
                <w:rFonts w:ascii="Verdana" w:hAnsi="Verdana" w:cs="Arial"/>
                <w:sz w:val="24"/>
                <w:szCs w:val="24"/>
              </w:rPr>
              <w:t>355 / 569</w:t>
            </w:r>
          </w:p>
        </w:tc>
      </w:tr>
      <w:tr w:rsidR="007318DB" w14:paraId="19A858E5" w14:textId="77777777" w:rsidTr="00A4105B">
        <w:tc>
          <w:tcPr>
            <w:tcW w:w="2263" w:type="dxa"/>
            <w:shd w:val="clear" w:color="auto" w:fill="C1E4F5" w:themeFill="accent1" w:themeFillTint="33"/>
            <w:vAlign w:val="center"/>
          </w:tcPr>
          <w:p w14:paraId="26DE59A6" w14:textId="6E363AC2" w:rsidR="007318DB" w:rsidRDefault="007318DB" w:rsidP="00287ED9">
            <w:pPr>
              <w:pStyle w:val="ListParagraph"/>
              <w:ind w:left="0"/>
              <w:jc w:val="center"/>
              <w:rPr>
                <w:rFonts w:ascii="Verdana" w:hAnsi="Verdana" w:cs="Arial"/>
                <w:sz w:val="24"/>
                <w:szCs w:val="24"/>
              </w:rPr>
            </w:pPr>
            <w:r w:rsidRPr="00414447">
              <w:rPr>
                <w:rFonts w:ascii="Verdana" w:hAnsi="Verdana" w:cs="Arial"/>
                <w:sz w:val="24"/>
                <w:szCs w:val="24"/>
              </w:rPr>
              <w:t xml:space="preserve">Singleton/Neath </w:t>
            </w:r>
            <w:r>
              <w:rPr>
                <w:rFonts w:ascii="Verdana" w:hAnsi="Verdana" w:cs="Arial"/>
                <w:sz w:val="24"/>
                <w:szCs w:val="24"/>
              </w:rPr>
              <w:t xml:space="preserve">          </w:t>
            </w:r>
            <w:r w:rsidRPr="00414447">
              <w:rPr>
                <w:rFonts w:ascii="Verdana" w:hAnsi="Verdana" w:cs="Arial"/>
                <w:sz w:val="24"/>
                <w:szCs w:val="24"/>
              </w:rPr>
              <w:t>Port Talbot</w:t>
            </w:r>
          </w:p>
        </w:tc>
        <w:tc>
          <w:tcPr>
            <w:tcW w:w="284" w:type="dxa"/>
            <w:shd w:val="clear" w:color="auto" w:fill="C1E4F5" w:themeFill="accent1" w:themeFillTint="33"/>
            <w:vAlign w:val="center"/>
          </w:tcPr>
          <w:p w14:paraId="3B21F179" w14:textId="77777777" w:rsidR="007318DB" w:rsidRDefault="007318DB" w:rsidP="00287ED9">
            <w:pPr>
              <w:pStyle w:val="ListParagraph"/>
              <w:ind w:left="0"/>
              <w:jc w:val="center"/>
              <w:rPr>
                <w:rFonts w:ascii="Verdana" w:hAnsi="Verdana" w:cs="Arial"/>
                <w:sz w:val="24"/>
                <w:szCs w:val="24"/>
              </w:rPr>
            </w:pPr>
          </w:p>
        </w:tc>
        <w:tc>
          <w:tcPr>
            <w:tcW w:w="4252" w:type="dxa"/>
            <w:shd w:val="clear" w:color="auto" w:fill="C1E4F5" w:themeFill="accent1" w:themeFillTint="33"/>
            <w:vAlign w:val="center"/>
          </w:tcPr>
          <w:p w14:paraId="20398354" w14:textId="6B7E34D0" w:rsidR="007318DB" w:rsidRDefault="007318DB" w:rsidP="00287ED9">
            <w:pPr>
              <w:pStyle w:val="ListParagraph"/>
              <w:ind w:left="0"/>
              <w:jc w:val="center"/>
              <w:rPr>
                <w:rFonts w:ascii="Verdana" w:hAnsi="Verdana" w:cs="Arial"/>
                <w:sz w:val="24"/>
                <w:szCs w:val="24"/>
              </w:rPr>
            </w:pPr>
            <w:r w:rsidRPr="00414447">
              <w:rPr>
                <w:rFonts w:ascii="Verdana" w:hAnsi="Verdana" w:cs="Arial"/>
                <w:sz w:val="24"/>
                <w:szCs w:val="24"/>
              </w:rPr>
              <w:t>|</w:t>
            </w:r>
            <w:r w:rsidRPr="00414447">
              <w:rPr>
                <w:rFonts w:ascii="Segoe UI Emoji" w:hAnsi="Segoe UI Emoji" w:cs="Segoe UI Emoji"/>
                <w:sz w:val="24"/>
                <w:szCs w:val="24"/>
              </w:rPr>
              <w:t>🟦🟦🟦🟦⬜⬜⬜⬜⬜⬜</w:t>
            </w:r>
            <w:r w:rsidRPr="00414447">
              <w:rPr>
                <w:rFonts w:ascii="Verdana" w:hAnsi="Verdana" w:cs="Arial"/>
                <w:sz w:val="24"/>
                <w:szCs w:val="24"/>
              </w:rPr>
              <w:t>|</w:t>
            </w:r>
          </w:p>
        </w:tc>
        <w:tc>
          <w:tcPr>
            <w:tcW w:w="284" w:type="dxa"/>
            <w:shd w:val="clear" w:color="auto" w:fill="C1E4F5" w:themeFill="accent1" w:themeFillTint="33"/>
            <w:vAlign w:val="center"/>
          </w:tcPr>
          <w:p w14:paraId="596FF539" w14:textId="77777777" w:rsidR="007318DB" w:rsidRDefault="007318DB" w:rsidP="00287ED9">
            <w:pPr>
              <w:pStyle w:val="ListParagraph"/>
              <w:ind w:left="0"/>
              <w:jc w:val="center"/>
              <w:rPr>
                <w:rFonts w:ascii="Verdana" w:hAnsi="Verdana" w:cs="Arial"/>
                <w:sz w:val="24"/>
                <w:szCs w:val="24"/>
              </w:rPr>
            </w:pPr>
          </w:p>
        </w:tc>
        <w:tc>
          <w:tcPr>
            <w:tcW w:w="1701" w:type="dxa"/>
            <w:shd w:val="clear" w:color="auto" w:fill="C1E4F5" w:themeFill="accent1" w:themeFillTint="33"/>
            <w:vAlign w:val="center"/>
          </w:tcPr>
          <w:p w14:paraId="371F5F07" w14:textId="1EF4DA42" w:rsidR="007318DB" w:rsidRDefault="007318DB" w:rsidP="00287ED9">
            <w:pPr>
              <w:pStyle w:val="ListParagraph"/>
              <w:ind w:left="0"/>
              <w:jc w:val="center"/>
              <w:rPr>
                <w:rFonts w:ascii="Verdana" w:hAnsi="Verdana" w:cs="Arial"/>
                <w:sz w:val="24"/>
                <w:szCs w:val="24"/>
              </w:rPr>
            </w:pPr>
            <w:r w:rsidRPr="00414447">
              <w:rPr>
                <w:rFonts w:ascii="Verdana" w:hAnsi="Verdana" w:cs="Arial"/>
                <w:sz w:val="24"/>
                <w:szCs w:val="24"/>
              </w:rPr>
              <w:t>64 / 175</w:t>
            </w:r>
          </w:p>
        </w:tc>
      </w:tr>
      <w:tr w:rsidR="007318DB" w14:paraId="2EABB5F6" w14:textId="77777777" w:rsidTr="00A4105B">
        <w:trPr>
          <w:trHeight w:hRule="exact" w:val="482"/>
        </w:trPr>
        <w:tc>
          <w:tcPr>
            <w:tcW w:w="2263" w:type="dxa"/>
            <w:shd w:val="clear" w:color="auto" w:fill="C1E4F5" w:themeFill="accent1" w:themeFillTint="33"/>
            <w:vAlign w:val="center"/>
          </w:tcPr>
          <w:p w14:paraId="6A670AC0" w14:textId="2800D358" w:rsidR="007318DB" w:rsidRDefault="007318DB" w:rsidP="00287ED9">
            <w:pPr>
              <w:pStyle w:val="ListParagraph"/>
              <w:ind w:left="0"/>
              <w:jc w:val="center"/>
              <w:rPr>
                <w:rFonts w:ascii="Verdana" w:hAnsi="Verdana" w:cs="Arial"/>
                <w:sz w:val="24"/>
                <w:szCs w:val="24"/>
              </w:rPr>
            </w:pPr>
            <w:r w:rsidRPr="00414447">
              <w:rPr>
                <w:rFonts w:ascii="Verdana" w:hAnsi="Verdana" w:cs="Arial"/>
                <w:sz w:val="24"/>
                <w:szCs w:val="24"/>
              </w:rPr>
              <w:t xml:space="preserve">Mental Health </w:t>
            </w:r>
            <w:r>
              <w:rPr>
                <w:rFonts w:ascii="Verdana" w:hAnsi="Verdana" w:cs="Arial"/>
                <w:sz w:val="24"/>
                <w:szCs w:val="24"/>
              </w:rPr>
              <w:t xml:space="preserve">     </w:t>
            </w:r>
          </w:p>
        </w:tc>
        <w:tc>
          <w:tcPr>
            <w:tcW w:w="284" w:type="dxa"/>
            <w:shd w:val="clear" w:color="auto" w:fill="C1E4F5" w:themeFill="accent1" w:themeFillTint="33"/>
            <w:vAlign w:val="center"/>
          </w:tcPr>
          <w:p w14:paraId="0E14657C" w14:textId="77777777" w:rsidR="007318DB" w:rsidRDefault="007318DB" w:rsidP="00287ED9">
            <w:pPr>
              <w:pStyle w:val="ListParagraph"/>
              <w:ind w:left="0"/>
              <w:jc w:val="center"/>
              <w:rPr>
                <w:rFonts w:ascii="Verdana" w:hAnsi="Verdana" w:cs="Arial"/>
                <w:sz w:val="24"/>
                <w:szCs w:val="24"/>
              </w:rPr>
            </w:pPr>
          </w:p>
        </w:tc>
        <w:tc>
          <w:tcPr>
            <w:tcW w:w="4252" w:type="dxa"/>
            <w:shd w:val="clear" w:color="auto" w:fill="C1E4F5" w:themeFill="accent1" w:themeFillTint="33"/>
            <w:vAlign w:val="center"/>
          </w:tcPr>
          <w:p w14:paraId="3F85F195" w14:textId="46937000" w:rsidR="007318DB" w:rsidRDefault="007318DB" w:rsidP="00287ED9">
            <w:pPr>
              <w:pStyle w:val="ListParagraph"/>
              <w:ind w:left="0"/>
              <w:jc w:val="center"/>
              <w:rPr>
                <w:rFonts w:ascii="Verdana" w:hAnsi="Verdana" w:cs="Arial"/>
                <w:sz w:val="24"/>
                <w:szCs w:val="24"/>
              </w:rPr>
            </w:pPr>
            <w:r w:rsidRPr="00414447">
              <w:rPr>
                <w:rFonts w:ascii="Verdana" w:hAnsi="Verdana" w:cs="Arial"/>
                <w:sz w:val="24"/>
                <w:szCs w:val="24"/>
              </w:rPr>
              <w:t>|</w:t>
            </w:r>
            <w:r w:rsidRPr="00414447">
              <w:rPr>
                <w:rFonts w:ascii="Segoe UI Emoji" w:hAnsi="Segoe UI Emoji" w:cs="Segoe UI Emoji"/>
                <w:sz w:val="24"/>
                <w:szCs w:val="24"/>
              </w:rPr>
              <w:t>🟦🟦🟦🟦⬜⬜⬜⬜⬜⬜</w:t>
            </w:r>
            <w:r w:rsidRPr="00414447">
              <w:rPr>
                <w:rFonts w:ascii="Verdana" w:hAnsi="Verdana" w:cs="Arial"/>
                <w:sz w:val="24"/>
                <w:szCs w:val="24"/>
              </w:rPr>
              <w:t>|</w:t>
            </w:r>
          </w:p>
        </w:tc>
        <w:tc>
          <w:tcPr>
            <w:tcW w:w="284" w:type="dxa"/>
            <w:shd w:val="clear" w:color="auto" w:fill="C1E4F5" w:themeFill="accent1" w:themeFillTint="33"/>
            <w:vAlign w:val="center"/>
          </w:tcPr>
          <w:p w14:paraId="1091A910" w14:textId="77777777" w:rsidR="007318DB" w:rsidRDefault="007318DB" w:rsidP="00287ED9">
            <w:pPr>
              <w:pStyle w:val="ListParagraph"/>
              <w:ind w:left="0"/>
              <w:jc w:val="center"/>
              <w:rPr>
                <w:rFonts w:ascii="Verdana" w:hAnsi="Verdana" w:cs="Arial"/>
                <w:sz w:val="24"/>
                <w:szCs w:val="24"/>
              </w:rPr>
            </w:pPr>
          </w:p>
        </w:tc>
        <w:tc>
          <w:tcPr>
            <w:tcW w:w="1701" w:type="dxa"/>
            <w:shd w:val="clear" w:color="auto" w:fill="C1E4F5" w:themeFill="accent1" w:themeFillTint="33"/>
            <w:vAlign w:val="center"/>
          </w:tcPr>
          <w:p w14:paraId="3F0F8CAD" w14:textId="20D3120C" w:rsidR="007318DB" w:rsidRDefault="007318DB" w:rsidP="00287ED9">
            <w:pPr>
              <w:pStyle w:val="ListParagraph"/>
              <w:ind w:left="0"/>
              <w:jc w:val="center"/>
              <w:rPr>
                <w:rFonts w:ascii="Verdana" w:hAnsi="Verdana" w:cs="Arial"/>
                <w:sz w:val="24"/>
                <w:szCs w:val="24"/>
              </w:rPr>
            </w:pPr>
            <w:r w:rsidRPr="00414447">
              <w:rPr>
                <w:rFonts w:ascii="Verdana" w:hAnsi="Verdana" w:cs="Arial"/>
                <w:sz w:val="24"/>
                <w:szCs w:val="24"/>
              </w:rPr>
              <w:t>4 / 10</w:t>
            </w:r>
          </w:p>
        </w:tc>
      </w:tr>
      <w:tr w:rsidR="007318DB" w14:paraId="29449219" w14:textId="77777777" w:rsidTr="00A4105B">
        <w:trPr>
          <w:trHeight w:hRule="exact" w:val="482"/>
        </w:trPr>
        <w:tc>
          <w:tcPr>
            <w:tcW w:w="2263" w:type="dxa"/>
            <w:shd w:val="clear" w:color="auto" w:fill="C1E4F5" w:themeFill="accent1" w:themeFillTint="33"/>
            <w:vAlign w:val="center"/>
          </w:tcPr>
          <w:p w14:paraId="0C70658D" w14:textId="5C9A1032" w:rsidR="007318DB" w:rsidRDefault="007318DB" w:rsidP="00287ED9">
            <w:pPr>
              <w:pStyle w:val="ListParagraph"/>
              <w:ind w:left="0"/>
              <w:jc w:val="center"/>
              <w:rPr>
                <w:rFonts w:ascii="Verdana" w:hAnsi="Verdana" w:cs="Arial"/>
                <w:sz w:val="24"/>
                <w:szCs w:val="24"/>
              </w:rPr>
            </w:pPr>
            <w:r w:rsidRPr="00414447">
              <w:rPr>
                <w:rFonts w:ascii="Verdana" w:hAnsi="Verdana" w:cs="Arial"/>
                <w:sz w:val="24"/>
                <w:szCs w:val="24"/>
              </w:rPr>
              <w:t>Tonna</w:t>
            </w:r>
          </w:p>
        </w:tc>
        <w:tc>
          <w:tcPr>
            <w:tcW w:w="284" w:type="dxa"/>
            <w:shd w:val="clear" w:color="auto" w:fill="C1E4F5" w:themeFill="accent1" w:themeFillTint="33"/>
            <w:vAlign w:val="center"/>
          </w:tcPr>
          <w:p w14:paraId="4EF49B21" w14:textId="77777777" w:rsidR="007318DB" w:rsidRDefault="007318DB" w:rsidP="00287ED9">
            <w:pPr>
              <w:pStyle w:val="ListParagraph"/>
              <w:ind w:left="0"/>
              <w:jc w:val="center"/>
              <w:rPr>
                <w:rFonts w:ascii="Verdana" w:hAnsi="Verdana" w:cs="Arial"/>
                <w:sz w:val="24"/>
                <w:szCs w:val="24"/>
              </w:rPr>
            </w:pPr>
          </w:p>
        </w:tc>
        <w:tc>
          <w:tcPr>
            <w:tcW w:w="4252" w:type="dxa"/>
            <w:shd w:val="clear" w:color="auto" w:fill="C1E4F5" w:themeFill="accent1" w:themeFillTint="33"/>
            <w:vAlign w:val="center"/>
          </w:tcPr>
          <w:p w14:paraId="18F010B7" w14:textId="49471232" w:rsidR="007318DB" w:rsidRDefault="007318DB" w:rsidP="00287ED9">
            <w:pPr>
              <w:pStyle w:val="ListParagraph"/>
              <w:ind w:left="0"/>
              <w:jc w:val="center"/>
              <w:rPr>
                <w:rFonts w:ascii="Verdana" w:hAnsi="Verdana" w:cs="Arial"/>
                <w:sz w:val="24"/>
                <w:szCs w:val="24"/>
              </w:rPr>
            </w:pPr>
            <w:r w:rsidRPr="00414447">
              <w:rPr>
                <w:rFonts w:ascii="Verdana" w:hAnsi="Verdana" w:cs="Arial"/>
                <w:sz w:val="24"/>
                <w:szCs w:val="24"/>
              </w:rPr>
              <w:t>|</w:t>
            </w:r>
            <w:r w:rsidRPr="00414447">
              <w:rPr>
                <w:rFonts w:ascii="Segoe UI Emoji" w:hAnsi="Segoe UI Emoji" w:cs="Segoe UI Emoji"/>
                <w:sz w:val="24"/>
                <w:szCs w:val="24"/>
              </w:rPr>
              <w:t>🟦🟦🟦⬜⬜⬜⬜⬜⬜⬜</w:t>
            </w:r>
            <w:r w:rsidRPr="00414447">
              <w:rPr>
                <w:rFonts w:ascii="Verdana" w:hAnsi="Verdana" w:cs="Arial"/>
                <w:sz w:val="24"/>
                <w:szCs w:val="24"/>
              </w:rPr>
              <w:t>|</w:t>
            </w:r>
          </w:p>
        </w:tc>
        <w:tc>
          <w:tcPr>
            <w:tcW w:w="284" w:type="dxa"/>
            <w:shd w:val="clear" w:color="auto" w:fill="C1E4F5" w:themeFill="accent1" w:themeFillTint="33"/>
            <w:vAlign w:val="center"/>
          </w:tcPr>
          <w:p w14:paraId="4CBDFA25" w14:textId="77777777" w:rsidR="007318DB" w:rsidRDefault="007318DB" w:rsidP="00287ED9">
            <w:pPr>
              <w:pStyle w:val="ListParagraph"/>
              <w:ind w:left="0"/>
              <w:jc w:val="center"/>
              <w:rPr>
                <w:rFonts w:ascii="Verdana" w:hAnsi="Verdana" w:cs="Arial"/>
                <w:sz w:val="24"/>
                <w:szCs w:val="24"/>
              </w:rPr>
            </w:pPr>
          </w:p>
        </w:tc>
        <w:tc>
          <w:tcPr>
            <w:tcW w:w="1701" w:type="dxa"/>
            <w:shd w:val="clear" w:color="auto" w:fill="C1E4F5" w:themeFill="accent1" w:themeFillTint="33"/>
            <w:vAlign w:val="center"/>
          </w:tcPr>
          <w:p w14:paraId="2F324A17" w14:textId="10A65914" w:rsidR="007318DB" w:rsidRDefault="007318DB" w:rsidP="00287ED9">
            <w:pPr>
              <w:pStyle w:val="ListParagraph"/>
              <w:ind w:left="0"/>
              <w:jc w:val="center"/>
              <w:rPr>
                <w:rFonts w:ascii="Verdana" w:hAnsi="Verdana" w:cs="Arial"/>
                <w:sz w:val="24"/>
                <w:szCs w:val="24"/>
              </w:rPr>
            </w:pPr>
            <w:r w:rsidRPr="00414447">
              <w:rPr>
                <w:rFonts w:ascii="Verdana" w:hAnsi="Verdana" w:cs="Arial"/>
                <w:sz w:val="24"/>
                <w:szCs w:val="24"/>
              </w:rPr>
              <w:t>3 / 9</w:t>
            </w:r>
          </w:p>
        </w:tc>
      </w:tr>
      <w:tr w:rsidR="007318DB" w14:paraId="52523FC7" w14:textId="77777777" w:rsidTr="00A4105B">
        <w:trPr>
          <w:trHeight w:hRule="exact" w:val="482"/>
        </w:trPr>
        <w:tc>
          <w:tcPr>
            <w:tcW w:w="2263" w:type="dxa"/>
            <w:shd w:val="clear" w:color="auto" w:fill="C1E4F5" w:themeFill="accent1" w:themeFillTint="33"/>
            <w:vAlign w:val="center"/>
          </w:tcPr>
          <w:p w14:paraId="46A59C2D" w14:textId="2864587B" w:rsidR="007318DB" w:rsidRDefault="007318DB" w:rsidP="00287ED9">
            <w:pPr>
              <w:pStyle w:val="ListParagraph"/>
              <w:ind w:left="0"/>
              <w:jc w:val="center"/>
              <w:rPr>
                <w:rFonts w:ascii="Verdana" w:hAnsi="Verdana" w:cs="Arial"/>
                <w:sz w:val="24"/>
                <w:szCs w:val="24"/>
              </w:rPr>
            </w:pPr>
            <w:r w:rsidRPr="00414447">
              <w:rPr>
                <w:rFonts w:ascii="Verdana" w:hAnsi="Verdana" w:cs="Arial"/>
                <w:sz w:val="24"/>
                <w:szCs w:val="24"/>
              </w:rPr>
              <w:t xml:space="preserve">Gorseinon </w:t>
            </w:r>
            <w:r>
              <w:rPr>
                <w:rFonts w:ascii="Verdana" w:hAnsi="Verdana" w:cs="Arial"/>
                <w:sz w:val="24"/>
                <w:szCs w:val="24"/>
              </w:rPr>
              <w:t xml:space="preserve"> </w:t>
            </w:r>
          </w:p>
        </w:tc>
        <w:tc>
          <w:tcPr>
            <w:tcW w:w="284" w:type="dxa"/>
            <w:shd w:val="clear" w:color="auto" w:fill="C1E4F5" w:themeFill="accent1" w:themeFillTint="33"/>
            <w:vAlign w:val="center"/>
          </w:tcPr>
          <w:p w14:paraId="5A65550B" w14:textId="77777777" w:rsidR="007318DB" w:rsidRDefault="007318DB" w:rsidP="00287ED9">
            <w:pPr>
              <w:pStyle w:val="ListParagraph"/>
              <w:ind w:left="0"/>
              <w:jc w:val="center"/>
              <w:rPr>
                <w:rFonts w:ascii="Verdana" w:hAnsi="Verdana" w:cs="Arial"/>
                <w:sz w:val="24"/>
                <w:szCs w:val="24"/>
              </w:rPr>
            </w:pPr>
          </w:p>
        </w:tc>
        <w:tc>
          <w:tcPr>
            <w:tcW w:w="4252" w:type="dxa"/>
            <w:shd w:val="clear" w:color="auto" w:fill="C1E4F5" w:themeFill="accent1" w:themeFillTint="33"/>
            <w:vAlign w:val="center"/>
          </w:tcPr>
          <w:p w14:paraId="7C7C7A02" w14:textId="1C161C26" w:rsidR="007318DB" w:rsidRDefault="007318DB" w:rsidP="00287ED9">
            <w:pPr>
              <w:pStyle w:val="ListParagraph"/>
              <w:ind w:left="0"/>
              <w:jc w:val="center"/>
              <w:rPr>
                <w:rFonts w:ascii="Verdana" w:hAnsi="Verdana" w:cs="Arial"/>
                <w:sz w:val="24"/>
                <w:szCs w:val="24"/>
              </w:rPr>
            </w:pPr>
            <w:r w:rsidRPr="00414447">
              <w:rPr>
                <w:rFonts w:ascii="Verdana" w:hAnsi="Verdana" w:cs="Arial"/>
                <w:sz w:val="24"/>
                <w:szCs w:val="24"/>
              </w:rPr>
              <w:t>|</w:t>
            </w:r>
            <w:r w:rsidRPr="00414447">
              <w:rPr>
                <w:rFonts w:ascii="Segoe UI Emoji" w:hAnsi="Segoe UI Emoji" w:cs="Segoe UI Emoji"/>
                <w:sz w:val="24"/>
                <w:szCs w:val="24"/>
              </w:rPr>
              <w:t>🟦🟦🟦🟦🟦⬜⬜⬜⬜⬜</w:t>
            </w:r>
            <w:r w:rsidRPr="00414447">
              <w:rPr>
                <w:rFonts w:ascii="Verdana" w:hAnsi="Verdana" w:cs="Arial"/>
                <w:sz w:val="24"/>
                <w:szCs w:val="24"/>
              </w:rPr>
              <w:t>|</w:t>
            </w:r>
          </w:p>
        </w:tc>
        <w:tc>
          <w:tcPr>
            <w:tcW w:w="284" w:type="dxa"/>
            <w:shd w:val="clear" w:color="auto" w:fill="C1E4F5" w:themeFill="accent1" w:themeFillTint="33"/>
            <w:vAlign w:val="center"/>
          </w:tcPr>
          <w:p w14:paraId="4E6197F6" w14:textId="77777777" w:rsidR="007318DB" w:rsidRDefault="007318DB" w:rsidP="00287ED9">
            <w:pPr>
              <w:pStyle w:val="ListParagraph"/>
              <w:ind w:left="0"/>
              <w:jc w:val="center"/>
              <w:rPr>
                <w:rFonts w:ascii="Verdana" w:hAnsi="Verdana" w:cs="Arial"/>
                <w:sz w:val="24"/>
                <w:szCs w:val="24"/>
              </w:rPr>
            </w:pPr>
          </w:p>
        </w:tc>
        <w:tc>
          <w:tcPr>
            <w:tcW w:w="1701" w:type="dxa"/>
            <w:shd w:val="clear" w:color="auto" w:fill="C1E4F5" w:themeFill="accent1" w:themeFillTint="33"/>
            <w:vAlign w:val="center"/>
          </w:tcPr>
          <w:p w14:paraId="110F8E50" w14:textId="1B4896BD" w:rsidR="007318DB" w:rsidRDefault="007318DB" w:rsidP="00287ED9">
            <w:pPr>
              <w:pStyle w:val="ListParagraph"/>
              <w:ind w:left="0"/>
              <w:jc w:val="center"/>
              <w:rPr>
                <w:rFonts w:ascii="Verdana" w:hAnsi="Verdana" w:cs="Arial"/>
                <w:sz w:val="24"/>
                <w:szCs w:val="24"/>
              </w:rPr>
            </w:pPr>
            <w:r w:rsidRPr="00414447">
              <w:rPr>
                <w:rFonts w:ascii="Verdana" w:hAnsi="Verdana" w:cs="Arial"/>
                <w:sz w:val="24"/>
                <w:szCs w:val="24"/>
              </w:rPr>
              <w:t>3 / 6</w:t>
            </w:r>
          </w:p>
        </w:tc>
      </w:tr>
      <w:tr w:rsidR="007318DB" w14:paraId="2919AFFA" w14:textId="77777777" w:rsidTr="00A4105B">
        <w:tc>
          <w:tcPr>
            <w:tcW w:w="2263" w:type="dxa"/>
            <w:shd w:val="clear" w:color="auto" w:fill="C1E4F5" w:themeFill="accent1" w:themeFillTint="33"/>
            <w:vAlign w:val="center"/>
          </w:tcPr>
          <w:p w14:paraId="4C6DDE88" w14:textId="43C76EA0" w:rsidR="007318DB" w:rsidRDefault="007318DB" w:rsidP="00287ED9">
            <w:pPr>
              <w:pStyle w:val="ListParagraph"/>
              <w:ind w:left="0"/>
              <w:jc w:val="center"/>
              <w:rPr>
                <w:rFonts w:ascii="Verdana" w:hAnsi="Verdana" w:cs="Arial"/>
                <w:sz w:val="24"/>
                <w:szCs w:val="24"/>
              </w:rPr>
            </w:pPr>
            <w:r w:rsidRPr="00414447">
              <w:rPr>
                <w:rFonts w:ascii="Verdana" w:hAnsi="Verdana" w:cs="Arial"/>
                <w:sz w:val="24"/>
                <w:szCs w:val="24"/>
              </w:rPr>
              <w:t>Other Health</w:t>
            </w:r>
          </w:p>
          <w:p w14:paraId="3865A4F0" w14:textId="54EBCCBC" w:rsidR="007318DB" w:rsidRDefault="007318DB" w:rsidP="00287ED9">
            <w:pPr>
              <w:pStyle w:val="ListParagraph"/>
              <w:ind w:left="0"/>
              <w:jc w:val="center"/>
              <w:rPr>
                <w:rFonts w:ascii="Verdana" w:hAnsi="Verdana" w:cs="Arial"/>
                <w:sz w:val="24"/>
                <w:szCs w:val="24"/>
              </w:rPr>
            </w:pPr>
            <w:r w:rsidRPr="00414447">
              <w:rPr>
                <w:rFonts w:ascii="Verdana" w:hAnsi="Verdana" w:cs="Arial"/>
                <w:sz w:val="24"/>
                <w:szCs w:val="24"/>
              </w:rPr>
              <w:t>Boards*</w:t>
            </w:r>
          </w:p>
        </w:tc>
        <w:tc>
          <w:tcPr>
            <w:tcW w:w="284" w:type="dxa"/>
            <w:shd w:val="clear" w:color="auto" w:fill="C1E4F5" w:themeFill="accent1" w:themeFillTint="33"/>
            <w:vAlign w:val="center"/>
          </w:tcPr>
          <w:p w14:paraId="2E755764" w14:textId="77777777" w:rsidR="007318DB" w:rsidRDefault="007318DB" w:rsidP="00287ED9">
            <w:pPr>
              <w:pStyle w:val="ListParagraph"/>
              <w:ind w:left="0"/>
              <w:jc w:val="center"/>
              <w:rPr>
                <w:rFonts w:ascii="Verdana" w:hAnsi="Verdana" w:cs="Arial"/>
                <w:sz w:val="24"/>
                <w:szCs w:val="24"/>
              </w:rPr>
            </w:pPr>
          </w:p>
        </w:tc>
        <w:tc>
          <w:tcPr>
            <w:tcW w:w="4252" w:type="dxa"/>
            <w:shd w:val="clear" w:color="auto" w:fill="C1E4F5" w:themeFill="accent1" w:themeFillTint="33"/>
            <w:vAlign w:val="center"/>
          </w:tcPr>
          <w:p w14:paraId="66A666C0" w14:textId="17671DA2" w:rsidR="007318DB" w:rsidRDefault="007318DB" w:rsidP="00287ED9">
            <w:pPr>
              <w:pStyle w:val="ListParagraph"/>
              <w:ind w:left="0"/>
              <w:jc w:val="center"/>
              <w:rPr>
                <w:rFonts w:ascii="Verdana" w:hAnsi="Verdana" w:cs="Arial"/>
                <w:sz w:val="24"/>
                <w:szCs w:val="24"/>
              </w:rPr>
            </w:pPr>
            <w:r w:rsidRPr="00414447">
              <w:rPr>
                <w:rFonts w:ascii="Verdana" w:hAnsi="Verdana" w:cs="Arial"/>
                <w:sz w:val="24"/>
                <w:szCs w:val="24"/>
              </w:rPr>
              <w:t>|</w:t>
            </w:r>
            <w:r w:rsidRPr="00414447">
              <w:rPr>
                <w:rFonts w:ascii="Segoe UI Emoji" w:hAnsi="Segoe UI Emoji" w:cs="Segoe UI Emoji"/>
                <w:sz w:val="24"/>
                <w:szCs w:val="24"/>
              </w:rPr>
              <w:t>🟦🟦🟦🟦🟦🟦🟦🟦🟦🟦</w:t>
            </w:r>
            <w:r w:rsidRPr="00414447">
              <w:rPr>
                <w:rFonts w:ascii="Verdana" w:hAnsi="Verdana" w:cs="Arial"/>
                <w:sz w:val="24"/>
                <w:szCs w:val="24"/>
              </w:rPr>
              <w:t>|</w:t>
            </w:r>
          </w:p>
        </w:tc>
        <w:tc>
          <w:tcPr>
            <w:tcW w:w="284" w:type="dxa"/>
            <w:shd w:val="clear" w:color="auto" w:fill="C1E4F5" w:themeFill="accent1" w:themeFillTint="33"/>
            <w:vAlign w:val="center"/>
          </w:tcPr>
          <w:p w14:paraId="18C0C246" w14:textId="77777777" w:rsidR="007318DB" w:rsidRDefault="007318DB" w:rsidP="00287ED9">
            <w:pPr>
              <w:pStyle w:val="ListParagraph"/>
              <w:ind w:left="0"/>
              <w:jc w:val="center"/>
              <w:rPr>
                <w:rFonts w:ascii="Verdana" w:hAnsi="Verdana" w:cs="Arial"/>
                <w:sz w:val="24"/>
                <w:szCs w:val="24"/>
              </w:rPr>
            </w:pPr>
          </w:p>
        </w:tc>
        <w:tc>
          <w:tcPr>
            <w:tcW w:w="1701" w:type="dxa"/>
            <w:shd w:val="clear" w:color="auto" w:fill="C1E4F5" w:themeFill="accent1" w:themeFillTint="33"/>
            <w:vAlign w:val="center"/>
          </w:tcPr>
          <w:p w14:paraId="35E9A7D6" w14:textId="1D14E2B7" w:rsidR="007318DB" w:rsidRDefault="007318DB" w:rsidP="00287ED9">
            <w:pPr>
              <w:pStyle w:val="ListParagraph"/>
              <w:ind w:left="0"/>
              <w:jc w:val="center"/>
              <w:rPr>
                <w:rFonts w:ascii="Verdana" w:hAnsi="Verdana" w:cs="Arial"/>
                <w:sz w:val="24"/>
                <w:szCs w:val="24"/>
              </w:rPr>
            </w:pPr>
            <w:r w:rsidRPr="00414447">
              <w:rPr>
                <w:rFonts w:ascii="Verdana" w:hAnsi="Verdana" w:cs="Arial"/>
                <w:sz w:val="24"/>
                <w:szCs w:val="24"/>
              </w:rPr>
              <w:t>21 / 17</w:t>
            </w:r>
            <w:r>
              <w:rPr>
                <w:rFonts w:ascii="Verdana" w:hAnsi="Verdana" w:cs="Arial"/>
                <w:sz w:val="24"/>
                <w:szCs w:val="24"/>
              </w:rPr>
              <w:t>*</w:t>
            </w:r>
          </w:p>
        </w:tc>
      </w:tr>
    </w:tbl>
    <w:p w14:paraId="40C4D630" w14:textId="77777777" w:rsidR="00414447" w:rsidRDefault="00414447" w:rsidP="00287ED9">
      <w:pPr>
        <w:pStyle w:val="ListParagraph"/>
        <w:spacing w:line="240" w:lineRule="auto"/>
        <w:ind w:left="0"/>
        <w:rPr>
          <w:rFonts w:ascii="Verdana" w:hAnsi="Verdana" w:cs="Arial"/>
          <w:sz w:val="24"/>
          <w:szCs w:val="24"/>
        </w:rPr>
      </w:pPr>
    </w:p>
    <w:p w14:paraId="44D10DB0" w14:textId="4F61A2E9" w:rsidR="00FC767C" w:rsidRPr="00B60A09" w:rsidRDefault="00B60A09" w:rsidP="00287ED9">
      <w:pPr>
        <w:pStyle w:val="ListParagraph"/>
        <w:spacing w:line="240" w:lineRule="auto"/>
        <w:ind w:left="0"/>
        <w:jc w:val="right"/>
        <w:rPr>
          <w:rFonts w:ascii="Verdana" w:hAnsi="Verdana" w:cs="Arial"/>
          <w:sz w:val="16"/>
          <w:szCs w:val="16"/>
        </w:rPr>
      </w:pPr>
      <w:r w:rsidRPr="00B60A09">
        <w:rPr>
          <w:rFonts w:ascii="Verdana" w:hAnsi="Verdana" w:cs="Arial"/>
          <w:sz w:val="16"/>
          <w:szCs w:val="16"/>
        </w:rPr>
        <w:t xml:space="preserve">Figure </w:t>
      </w:r>
      <w:r w:rsidR="00637D5F">
        <w:rPr>
          <w:rFonts w:ascii="Verdana" w:hAnsi="Verdana" w:cs="Arial"/>
          <w:sz w:val="16"/>
          <w:szCs w:val="16"/>
        </w:rPr>
        <w:t>9</w:t>
      </w:r>
      <w:r w:rsidRPr="00B60A09">
        <w:rPr>
          <w:rFonts w:ascii="Verdana" w:hAnsi="Verdana" w:cs="Arial"/>
          <w:sz w:val="16"/>
          <w:szCs w:val="16"/>
        </w:rPr>
        <w:t>. Proportion of Referrals from Medical Examiner</w:t>
      </w:r>
      <w:r w:rsidR="00D54791">
        <w:rPr>
          <w:rFonts w:ascii="Verdana" w:hAnsi="Verdana" w:cs="Arial"/>
          <w:sz w:val="16"/>
          <w:szCs w:val="16"/>
        </w:rPr>
        <w:t>’</w:t>
      </w:r>
      <w:r w:rsidRPr="00B60A09">
        <w:rPr>
          <w:rFonts w:ascii="Verdana" w:hAnsi="Verdana" w:cs="Arial"/>
          <w:sz w:val="16"/>
          <w:szCs w:val="16"/>
        </w:rPr>
        <w:t>s Office, by Service Group</w:t>
      </w:r>
    </w:p>
    <w:p w14:paraId="1D7484C7" w14:textId="77777777" w:rsidR="00B60A09" w:rsidRDefault="00B60A09" w:rsidP="00287ED9">
      <w:pPr>
        <w:pStyle w:val="ListParagraph"/>
        <w:spacing w:line="240" w:lineRule="auto"/>
        <w:ind w:left="0"/>
        <w:rPr>
          <w:rFonts w:ascii="Verdana" w:hAnsi="Verdana" w:cs="Arial"/>
          <w:sz w:val="24"/>
          <w:szCs w:val="24"/>
        </w:rPr>
      </w:pPr>
    </w:p>
    <w:p w14:paraId="624BB67E" w14:textId="77777777" w:rsidR="000F2438" w:rsidRDefault="00FC767C" w:rsidP="00287ED9">
      <w:pPr>
        <w:pStyle w:val="ListParagraph"/>
        <w:spacing w:line="240" w:lineRule="auto"/>
        <w:ind w:left="0"/>
        <w:rPr>
          <w:rFonts w:ascii="Verdana" w:hAnsi="Verdana" w:cs="Arial"/>
          <w:sz w:val="24"/>
          <w:szCs w:val="24"/>
        </w:rPr>
      </w:pPr>
      <w:r w:rsidRPr="0034768B">
        <w:rPr>
          <w:rFonts w:ascii="Verdana" w:hAnsi="Verdana" w:cs="Arial"/>
          <w:sz w:val="24"/>
          <w:szCs w:val="24"/>
        </w:rPr>
        <w:t>Activity is concentrated in acute hospital settings, with Morriston Hospital accounting for the highest absolute numbers of both deaths and referrals. However, the relationship between deaths and referrals varies by care setting. Primary Care (Community) accounts for a smaller share of total deaths but a comparatively higher proportion of Medical Examiner referrals</w:t>
      </w:r>
      <w:r>
        <w:rPr>
          <w:rFonts w:ascii="Verdana" w:hAnsi="Verdana" w:cs="Arial"/>
          <w:sz w:val="24"/>
          <w:szCs w:val="24"/>
        </w:rPr>
        <w:t>.</w:t>
      </w:r>
      <w:r w:rsidR="000F2438">
        <w:rPr>
          <w:rFonts w:ascii="Verdana" w:hAnsi="Verdana" w:cs="Arial"/>
          <w:sz w:val="24"/>
          <w:szCs w:val="24"/>
        </w:rPr>
        <w:t xml:space="preserve">                                                                                                                         </w:t>
      </w:r>
    </w:p>
    <w:p w14:paraId="2804BDDD" w14:textId="1FBD6CF8" w:rsidR="00EB1E64" w:rsidRPr="00EB1E64" w:rsidRDefault="000F2438" w:rsidP="00287ED9">
      <w:pPr>
        <w:pStyle w:val="ListParagraph"/>
        <w:spacing w:line="240" w:lineRule="auto"/>
        <w:ind w:left="0"/>
        <w:rPr>
          <w:rFonts w:ascii="Verdana" w:hAnsi="Verdana" w:cs="Arial"/>
          <w:sz w:val="24"/>
          <w:szCs w:val="24"/>
        </w:rPr>
      </w:pPr>
      <w:r>
        <w:rPr>
          <w:rFonts w:ascii="Verdana" w:hAnsi="Verdana" w:cs="Arial"/>
          <w:sz w:val="24"/>
          <w:szCs w:val="24"/>
        </w:rPr>
        <w:t xml:space="preserve">                                                                                                                  </w:t>
      </w:r>
      <w:r w:rsidR="00EB1E64" w:rsidRPr="00EB1E64">
        <w:rPr>
          <w:rFonts w:ascii="Verdana" w:hAnsi="Verdana" w:cs="Arial"/>
          <w:sz w:val="24"/>
          <w:szCs w:val="24"/>
        </w:rPr>
        <w:t>*Other Health Boards refers to cases where the Medical Examiner service received referrals for deaths that occurred outside Swansea Bay University Health Board, typically where Swansea Bay clinicians were involved in the individual’s care or where the Medical Examiner function was requested cross</w:t>
      </w:r>
      <w:r w:rsidR="00EB1E64" w:rsidRPr="00EB1E64">
        <w:rPr>
          <w:rFonts w:ascii="Verdana" w:hAnsi="Verdana" w:cs="Arial"/>
          <w:sz w:val="24"/>
          <w:szCs w:val="24"/>
        </w:rPr>
        <w:noBreakHyphen/>
        <w:t>boundary. As a result, the number of referrals recorded in this category can exceed the number of local deaths and should not be interpreted as a referral rate greater than 100% within Swansea Bay services. This category reflects cross</w:t>
      </w:r>
      <w:r w:rsidR="00EB1E64" w:rsidRPr="00EB1E64">
        <w:rPr>
          <w:rFonts w:ascii="Verdana" w:hAnsi="Verdana" w:cs="Arial"/>
          <w:sz w:val="24"/>
          <w:szCs w:val="24"/>
        </w:rPr>
        <w:noBreakHyphen/>
        <w:t>boundary working arrangements rather than local service performance or quality concerns.</w:t>
      </w:r>
    </w:p>
    <w:p w14:paraId="1C1F4EBE" w14:textId="58F4839A" w:rsidR="00EB1E64" w:rsidRDefault="00EB1E64" w:rsidP="00287ED9">
      <w:pPr>
        <w:pStyle w:val="ListParagraph"/>
        <w:spacing w:line="240" w:lineRule="auto"/>
        <w:ind w:left="0"/>
        <w:rPr>
          <w:rFonts w:ascii="Verdana" w:hAnsi="Verdana" w:cs="Arial"/>
          <w:sz w:val="24"/>
          <w:szCs w:val="24"/>
        </w:rPr>
      </w:pPr>
    </w:p>
    <w:p w14:paraId="0E25B4BD" w14:textId="26C60274" w:rsidR="005F6B74" w:rsidRDefault="002B654B" w:rsidP="00287ED9">
      <w:pPr>
        <w:pStyle w:val="ListParagraph"/>
        <w:spacing w:line="240" w:lineRule="auto"/>
        <w:ind w:left="0"/>
        <w:rPr>
          <w:rFonts w:ascii="Verdana" w:hAnsi="Verdana" w:cs="Arial"/>
          <w:sz w:val="24"/>
          <w:szCs w:val="24"/>
        </w:rPr>
      </w:pPr>
      <w:r w:rsidRPr="002B654B">
        <w:rPr>
          <w:rFonts w:ascii="Verdana" w:hAnsi="Verdana" w:cs="Arial"/>
          <w:sz w:val="24"/>
          <w:szCs w:val="24"/>
        </w:rPr>
        <w:t>It should be noted that the number of referrals received within any given month may not directly correspond to deaths occurring in the same period, as referrals can be subject to delays within the Medical Examiner Service. In addition, referrals may relate to deaths that occurred within other Health Boards where there are queries regarding care provided by Swansea Bay University Health Board (SBUHB).</w:t>
      </w:r>
    </w:p>
    <w:p w14:paraId="1558E007" w14:textId="77777777" w:rsidR="00A4105B" w:rsidRPr="00326A85" w:rsidRDefault="00A4105B" w:rsidP="00287ED9">
      <w:pPr>
        <w:pStyle w:val="ListParagraph"/>
        <w:spacing w:line="240" w:lineRule="auto"/>
        <w:ind w:left="0"/>
        <w:rPr>
          <w:rFonts w:ascii="Verdana" w:hAnsi="Verdana" w:cs="Arial"/>
          <w:sz w:val="24"/>
          <w:szCs w:val="24"/>
        </w:rPr>
      </w:pPr>
    </w:p>
    <w:p w14:paraId="069C54C1" w14:textId="26759095" w:rsidR="005F6B74" w:rsidRPr="00326A85" w:rsidRDefault="005F6B74" w:rsidP="00287ED9">
      <w:pPr>
        <w:pStyle w:val="ListParagraph"/>
        <w:tabs>
          <w:tab w:val="left" w:pos="6300"/>
          <w:tab w:val="left" w:pos="6825"/>
        </w:tabs>
        <w:spacing w:line="240" w:lineRule="auto"/>
        <w:ind w:left="0"/>
        <w:rPr>
          <w:rFonts w:ascii="Verdana" w:hAnsi="Verdana" w:cs="Arial"/>
          <w:sz w:val="24"/>
          <w:szCs w:val="24"/>
        </w:rPr>
        <w:sectPr w:rsidR="005F6B74" w:rsidRPr="00326A85" w:rsidSect="0086055E">
          <w:type w:val="continuous"/>
          <w:pgSz w:w="11906" w:h="16838"/>
          <w:pgMar w:top="1276" w:right="1440" w:bottom="1276" w:left="1440" w:header="709" w:footer="709" w:gutter="0"/>
          <w:cols w:space="708"/>
          <w:docGrid w:linePitch="360"/>
        </w:sectPr>
      </w:pPr>
    </w:p>
    <w:p w14:paraId="13D74CD8" w14:textId="1FFB8737" w:rsidR="00460DF0" w:rsidRPr="00326A85" w:rsidRDefault="00460DF0" w:rsidP="00287ED9">
      <w:pPr>
        <w:pStyle w:val="ListParagraph"/>
        <w:spacing w:line="240" w:lineRule="auto"/>
        <w:ind w:left="0"/>
        <w:rPr>
          <w:rFonts w:ascii="Verdana" w:hAnsi="Verdana" w:cs="Arial"/>
          <w:sz w:val="24"/>
          <w:szCs w:val="24"/>
        </w:rPr>
      </w:pPr>
      <w:r w:rsidRPr="00326A85">
        <w:rPr>
          <w:rFonts w:ascii="Verdana" w:hAnsi="Verdana" w:cs="Arial"/>
          <w:sz w:val="24"/>
          <w:szCs w:val="24"/>
        </w:rPr>
        <w:t xml:space="preserve">The </w:t>
      </w:r>
      <w:r w:rsidR="004924C3">
        <w:rPr>
          <w:rFonts w:ascii="Verdana" w:hAnsi="Verdana" w:cs="Arial"/>
          <w:sz w:val="24"/>
          <w:szCs w:val="24"/>
        </w:rPr>
        <w:t xml:space="preserve">Panel </w:t>
      </w:r>
      <w:r w:rsidRPr="00326A85">
        <w:rPr>
          <w:rFonts w:ascii="Verdana" w:hAnsi="Verdana" w:cs="Arial"/>
          <w:sz w:val="24"/>
          <w:szCs w:val="24"/>
        </w:rPr>
        <w:t xml:space="preserve">review </w:t>
      </w:r>
      <w:r w:rsidR="00166DB0" w:rsidRPr="00326A85">
        <w:rPr>
          <w:rFonts w:ascii="Verdana" w:hAnsi="Verdana" w:cs="Arial"/>
          <w:sz w:val="24"/>
          <w:szCs w:val="24"/>
        </w:rPr>
        <w:t>details and</w:t>
      </w:r>
      <w:r w:rsidRPr="00326A85">
        <w:rPr>
          <w:rFonts w:ascii="Verdana" w:hAnsi="Verdana" w:cs="Arial"/>
          <w:sz w:val="24"/>
          <w:szCs w:val="24"/>
        </w:rPr>
        <w:t xml:space="preserve"> themes generated and report them to the </w:t>
      </w:r>
      <w:r w:rsidR="00CE2398">
        <w:rPr>
          <w:rFonts w:ascii="Verdana" w:hAnsi="Verdana" w:cs="Arial"/>
          <w:sz w:val="24"/>
          <w:szCs w:val="24"/>
        </w:rPr>
        <w:t xml:space="preserve">monthly </w:t>
      </w:r>
      <w:r w:rsidRPr="00326A85">
        <w:rPr>
          <w:rFonts w:ascii="Verdana" w:hAnsi="Verdana" w:cs="Arial"/>
          <w:sz w:val="24"/>
          <w:szCs w:val="24"/>
        </w:rPr>
        <w:t>COEG meetings</w:t>
      </w:r>
      <w:r w:rsidR="004924C3">
        <w:rPr>
          <w:rFonts w:ascii="Verdana" w:hAnsi="Verdana" w:cs="Arial"/>
          <w:sz w:val="24"/>
          <w:szCs w:val="24"/>
        </w:rPr>
        <w:t xml:space="preserve"> through shared membership</w:t>
      </w:r>
      <w:r w:rsidRPr="00326A85">
        <w:rPr>
          <w:rFonts w:ascii="Verdana" w:hAnsi="Verdana" w:cs="Arial"/>
          <w:sz w:val="24"/>
          <w:szCs w:val="24"/>
        </w:rPr>
        <w:t xml:space="preserve">. </w:t>
      </w:r>
      <w:r w:rsidR="00166DB0" w:rsidRPr="00326A85">
        <w:rPr>
          <w:rFonts w:ascii="Verdana" w:hAnsi="Verdana" w:cs="Arial"/>
          <w:sz w:val="24"/>
          <w:szCs w:val="24"/>
        </w:rPr>
        <w:t>Fig</w:t>
      </w:r>
      <w:r w:rsidR="004E201D" w:rsidRPr="00326A85">
        <w:rPr>
          <w:rFonts w:ascii="Verdana" w:hAnsi="Verdana" w:cs="Arial"/>
          <w:sz w:val="24"/>
          <w:szCs w:val="24"/>
        </w:rPr>
        <w:t>ure</w:t>
      </w:r>
      <w:r w:rsidR="009207DE">
        <w:rPr>
          <w:rFonts w:ascii="Verdana" w:hAnsi="Verdana" w:cs="Arial"/>
          <w:sz w:val="24"/>
          <w:szCs w:val="24"/>
        </w:rPr>
        <w:t xml:space="preserve"> </w:t>
      </w:r>
      <w:r w:rsidR="00CD66DD">
        <w:rPr>
          <w:rFonts w:ascii="Verdana" w:hAnsi="Verdana" w:cs="Arial"/>
          <w:sz w:val="24"/>
          <w:szCs w:val="24"/>
        </w:rPr>
        <w:t>1</w:t>
      </w:r>
      <w:r w:rsidR="00F47BCC">
        <w:rPr>
          <w:rFonts w:ascii="Verdana" w:hAnsi="Verdana" w:cs="Arial"/>
          <w:sz w:val="24"/>
          <w:szCs w:val="24"/>
        </w:rPr>
        <w:t>0</w:t>
      </w:r>
      <w:r w:rsidR="008409E9">
        <w:rPr>
          <w:rFonts w:ascii="Verdana" w:hAnsi="Verdana" w:cs="Arial"/>
          <w:sz w:val="24"/>
          <w:szCs w:val="24"/>
        </w:rPr>
        <w:t xml:space="preserve"> </w:t>
      </w:r>
      <w:r w:rsidR="00F24549">
        <w:rPr>
          <w:rFonts w:ascii="Verdana" w:hAnsi="Verdana" w:cs="Arial"/>
          <w:sz w:val="24"/>
          <w:szCs w:val="24"/>
        </w:rPr>
        <w:t xml:space="preserve">overleaf </w:t>
      </w:r>
      <w:r w:rsidR="004E201D" w:rsidRPr="00326A85">
        <w:rPr>
          <w:rFonts w:ascii="Verdana" w:hAnsi="Verdana" w:cs="Arial"/>
          <w:sz w:val="24"/>
          <w:szCs w:val="24"/>
        </w:rPr>
        <w:t>illustrates</w:t>
      </w:r>
      <w:r w:rsidRPr="00326A85">
        <w:rPr>
          <w:rFonts w:ascii="Verdana" w:hAnsi="Verdana" w:cs="Arial"/>
          <w:sz w:val="24"/>
          <w:szCs w:val="24"/>
        </w:rPr>
        <w:t xml:space="preserve"> the top</w:t>
      </w:r>
      <w:r w:rsidR="00CE2398">
        <w:rPr>
          <w:rFonts w:ascii="Verdana" w:hAnsi="Verdana" w:cs="Arial"/>
          <w:sz w:val="24"/>
          <w:szCs w:val="24"/>
        </w:rPr>
        <w:t xml:space="preserve"> </w:t>
      </w:r>
      <w:r w:rsidRPr="00326A85">
        <w:rPr>
          <w:rFonts w:ascii="Verdana" w:hAnsi="Verdana" w:cs="Arial"/>
          <w:sz w:val="24"/>
          <w:szCs w:val="24"/>
        </w:rPr>
        <w:t xml:space="preserve">five themes </w:t>
      </w:r>
      <w:r w:rsidR="004E201D" w:rsidRPr="00326A85">
        <w:rPr>
          <w:rFonts w:ascii="Verdana" w:hAnsi="Verdana" w:cs="Arial"/>
          <w:sz w:val="24"/>
          <w:szCs w:val="24"/>
        </w:rPr>
        <w:t xml:space="preserve">generated </w:t>
      </w:r>
      <w:r w:rsidR="004924C3">
        <w:rPr>
          <w:rFonts w:ascii="Verdana" w:hAnsi="Verdana" w:cs="Arial"/>
          <w:sz w:val="24"/>
          <w:szCs w:val="24"/>
        </w:rPr>
        <w:t xml:space="preserve">from the dashboard </w:t>
      </w:r>
      <w:r w:rsidRPr="00326A85">
        <w:rPr>
          <w:rFonts w:ascii="Verdana" w:hAnsi="Verdana" w:cs="Arial"/>
          <w:sz w:val="24"/>
          <w:szCs w:val="24"/>
        </w:rPr>
        <w:t>for the report period</w:t>
      </w:r>
      <w:r w:rsidR="008409E9">
        <w:rPr>
          <w:rFonts w:ascii="Verdana" w:hAnsi="Verdana" w:cs="Arial"/>
          <w:sz w:val="24"/>
          <w:szCs w:val="24"/>
        </w:rPr>
        <w:t>;</w:t>
      </w:r>
    </w:p>
    <w:p w14:paraId="45ABC77F" w14:textId="77777777" w:rsidR="00460DF0" w:rsidRPr="00326A85" w:rsidRDefault="00460DF0" w:rsidP="00287ED9">
      <w:pPr>
        <w:pStyle w:val="ListParagraph"/>
        <w:spacing w:line="240" w:lineRule="auto"/>
        <w:ind w:left="0"/>
        <w:rPr>
          <w:rFonts w:ascii="Verdana" w:hAnsi="Verdana" w:cs="Arial"/>
          <w:sz w:val="24"/>
          <w:szCs w:val="24"/>
        </w:rPr>
      </w:pPr>
    </w:p>
    <w:p w14:paraId="3DE3D613" w14:textId="77777777" w:rsidR="00B60A09" w:rsidRDefault="00B60A09" w:rsidP="00287ED9">
      <w:pPr>
        <w:pStyle w:val="ListParagraph"/>
        <w:spacing w:line="240" w:lineRule="auto"/>
        <w:ind w:left="0" w:right="-461"/>
        <w:rPr>
          <w:rFonts w:ascii="Verdana" w:hAnsi="Verdana" w:cs="Arial"/>
          <w:sz w:val="24"/>
          <w:szCs w:val="24"/>
        </w:rPr>
        <w:sectPr w:rsidR="00B60A09" w:rsidSect="00997321">
          <w:type w:val="continuous"/>
          <w:pgSz w:w="11906" w:h="16838"/>
          <w:pgMar w:top="1276" w:right="1440" w:bottom="1276" w:left="1440" w:header="708" w:footer="708" w:gutter="0"/>
          <w:pgNumType w:start="17"/>
          <w:cols w:space="720"/>
          <w:docGrid w:linePitch="360"/>
        </w:sectPr>
      </w:pPr>
    </w:p>
    <w:p w14:paraId="583FA5EF" w14:textId="42C94188" w:rsidR="006460EA" w:rsidRPr="00326A85" w:rsidRDefault="00C04A93" w:rsidP="00287ED9">
      <w:pPr>
        <w:pStyle w:val="ListParagraph"/>
        <w:spacing w:line="240" w:lineRule="auto"/>
        <w:ind w:left="0" w:right="-461"/>
        <w:rPr>
          <w:rFonts w:ascii="Verdana" w:hAnsi="Verdana" w:cs="Arial"/>
          <w:sz w:val="24"/>
          <w:szCs w:val="24"/>
        </w:rPr>
      </w:pPr>
      <w:r>
        <w:rPr>
          <w:rFonts w:ascii="Verdana" w:hAnsi="Verdana" w:cs="Arial"/>
          <w:noProof/>
          <w:sz w:val="24"/>
          <w:szCs w:val="24"/>
          <w14:ligatures w14:val="standardContextual"/>
        </w:rPr>
        <w:lastRenderedPageBreak/>
        <w:drawing>
          <wp:inline distT="0" distB="0" distL="0" distR="0" wp14:anchorId="0EDF1303" wp14:editId="742042F2">
            <wp:extent cx="5923005" cy="1935336"/>
            <wp:effectExtent l="0" t="0" r="1905" b="8255"/>
            <wp:docPr id="22" name="Picture 22" descr="A close-up of a diagra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A close-up of a diagram&#10;&#10;AI-generated content may be incorrect."/>
                    <pic:cNvPicPr/>
                  </pic:nvPicPr>
                  <pic:blipFill rotWithShape="1">
                    <a:blip r:embed="rId26">
                      <a:duotone>
                        <a:prstClr val="black"/>
                        <a:schemeClr val="tx2">
                          <a:tint val="45000"/>
                          <a:satMod val="400000"/>
                        </a:schemeClr>
                      </a:duotone>
                      <a:alphaModFix/>
                      <a:extLst>
                        <a:ext uri="{BEBA8EAE-BF5A-486C-A8C5-ECC9F3942E4B}">
                          <a14:imgProps xmlns:a14="http://schemas.microsoft.com/office/drawing/2010/main">
                            <a14:imgLayer r:embed="rId27">
                              <a14:imgEffect>
                                <a14:saturation sat="46000"/>
                              </a14:imgEffect>
                            </a14:imgLayer>
                          </a14:imgProps>
                        </a:ext>
                        <a:ext uri="{28A0092B-C50C-407E-A947-70E740481C1C}">
                          <a14:useLocalDpi xmlns:a14="http://schemas.microsoft.com/office/drawing/2010/main" val="0"/>
                        </a:ext>
                      </a:extLst>
                    </a:blip>
                    <a:srcRect l="2279" r="11506" b="49917"/>
                    <a:stretch/>
                  </pic:blipFill>
                  <pic:spPr bwMode="auto">
                    <a:xfrm>
                      <a:off x="0" y="0"/>
                      <a:ext cx="5993532" cy="1958381"/>
                    </a:xfrm>
                    <a:prstGeom prst="rect">
                      <a:avLst/>
                    </a:prstGeom>
                    <a:solidFill>
                      <a:schemeClr val="bg2">
                        <a:lumMod val="75000"/>
                      </a:schemeClr>
                    </a:solidFill>
                    <a:ln>
                      <a:noFill/>
                    </a:ln>
                    <a:effectLst/>
                    <a:extLst>
                      <a:ext uri="{53640926-AAD7-44D8-BBD7-CCE9431645EC}">
                        <a14:shadowObscured xmlns:a14="http://schemas.microsoft.com/office/drawing/2010/main"/>
                      </a:ext>
                    </a:extLst>
                  </pic:spPr>
                </pic:pic>
              </a:graphicData>
            </a:graphic>
          </wp:inline>
        </w:drawing>
      </w:r>
    </w:p>
    <w:p w14:paraId="4BDACC91" w14:textId="77777777" w:rsidR="00EB4D54" w:rsidRDefault="00EB4D54" w:rsidP="00287ED9">
      <w:pPr>
        <w:pStyle w:val="ListParagraph"/>
        <w:spacing w:line="240" w:lineRule="auto"/>
        <w:ind w:left="0"/>
        <w:jc w:val="right"/>
        <w:rPr>
          <w:rFonts w:ascii="Verdana" w:hAnsi="Verdana" w:cs="Arial"/>
          <w:sz w:val="16"/>
          <w:szCs w:val="16"/>
        </w:rPr>
        <w:sectPr w:rsidR="00EB4D54" w:rsidSect="00BA00B1">
          <w:type w:val="continuous"/>
          <w:pgSz w:w="11906" w:h="16838"/>
          <w:pgMar w:top="1276" w:right="1440" w:bottom="1276" w:left="1440" w:header="708" w:footer="708" w:gutter="0"/>
          <w:pgNumType w:start="17"/>
          <w:cols w:space="720"/>
          <w:docGrid w:linePitch="360"/>
        </w:sectPr>
      </w:pPr>
    </w:p>
    <w:p w14:paraId="3B41F27B" w14:textId="77777777" w:rsidR="005F6B74" w:rsidRDefault="005F6B74" w:rsidP="00287ED9">
      <w:pPr>
        <w:pStyle w:val="ListParagraph"/>
        <w:spacing w:line="240" w:lineRule="auto"/>
        <w:ind w:left="0"/>
        <w:jc w:val="right"/>
        <w:rPr>
          <w:rFonts w:ascii="Verdana" w:hAnsi="Verdana" w:cs="Arial"/>
          <w:sz w:val="16"/>
          <w:szCs w:val="16"/>
        </w:rPr>
      </w:pPr>
    </w:p>
    <w:p w14:paraId="20EE4D93" w14:textId="4BA12009" w:rsidR="00B60A09" w:rsidRDefault="00B60A09" w:rsidP="00287ED9">
      <w:pPr>
        <w:pStyle w:val="ListParagraph"/>
        <w:spacing w:line="240" w:lineRule="auto"/>
        <w:ind w:left="0"/>
        <w:jc w:val="right"/>
        <w:rPr>
          <w:rFonts w:ascii="Verdana" w:hAnsi="Verdana" w:cs="Arial"/>
          <w:sz w:val="16"/>
          <w:szCs w:val="16"/>
        </w:rPr>
      </w:pPr>
      <w:r>
        <w:rPr>
          <w:rFonts w:ascii="Verdana" w:hAnsi="Verdana" w:cs="Arial"/>
          <w:sz w:val="16"/>
          <w:szCs w:val="16"/>
        </w:rPr>
        <w:t xml:space="preserve">Figure </w:t>
      </w:r>
      <w:r w:rsidR="00CD66DD">
        <w:rPr>
          <w:rFonts w:ascii="Verdana" w:hAnsi="Verdana" w:cs="Arial"/>
          <w:sz w:val="16"/>
          <w:szCs w:val="16"/>
        </w:rPr>
        <w:t>1</w:t>
      </w:r>
      <w:r w:rsidR="00F47BCC">
        <w:rPr>
          <w:rFonts w:ascii="Verdana" w:hAnsi="Verdana" w:cs="Arial"/>
          <w:sz w:val="16"/>
          <w:szCs w:val="16"/>
        </w:rPr>
        <w:t>0</w:t>
      </w:r>
      <w:r>
        <w:rPr>
          <w:rFonts w:ascii="Verdana" w:hAnsi="Verdana" w:cs="Arial"/>
          <w:sz w:val="16"/>
          <w:szCs w:val="16"/>
        </w:rPr>
        <w:t>. Top Five Themes Generated from Mortality Reviews</w:t>
      </w:r>
    </w:p>
    <w:p w14:paraId="5B0B1408" w14:textId="77777777" w:rsidR="00CD66DD" w:rsidRDefault="00CD66DD" w:rsidP="00287ED9">
      <w:pPr>
        <w:pStyle w:val="ListParagraph"/>
        <w:spacing w:line="240" w:lineRule="auto"/>
        <w:ind w:left="0"/>
        <w:jc w:val="right"/>
        <w:rPr>
          <w:rFonts w:ascii="Verdana" w:hAnsi="Verdana" w:cs="Arial"/>
          <w:sz w:val="16"/>
          <w:szCs w:val="16"/>
        </w:rPr>
      </w:pPr>
    </w:p>
    <w:p w14:paraId="3866DA83" w14:textId="7122B1C7" w:rsidR="00CD66DD" w:rsidRDefault="00CD66DD" w:rsidP="00287ED9">
      <w:pPr>
        <w:pStyle w:val="ListParagraph"/>
        <w:spacing w:line="240" w:lineRule="auto"/>
        <w:ind w:left="0"/>
        <w:jc w:val="right"/>
        <w:rPr>
          <w:rFonts w:ascii="Verdana" w:hAnsi="Verdana" w:cs="Arial"/>
          <w:sz w:val="16"/>
          <w:szCs w:val="16"/>
        </w:rPr>
        <w:sectPr w:rsidR="00CD66DD" w:rsidSect="00B60A09">
          <w:type w:val="continuous"/>
          <w:pgSz w:w="11906" w:h="16838"/>
          <w:pgMar w:top="1276" w:right="1440" w:bottom="1276" w:left="1440" w:header="708" w:footer="708" w:gutter="0"/>
          <w:pgNumType w:start="22"/>
          <w:cols w:space="152"/>
          <w:docGrid w:linePitch="360"/>
        </w:sectPr>
      </w:pPr>
    </w:p>
    <w:p w14:paraId="26CE7504" w14:textId="68985E4F" w:rsidR="000628F5" w:rsidRDefault="000628F5" w:rsidP="00287ED9">
      <w:pPr>
        <w:pStyle w:val="ListParagraph"/>
        <w:spacing w:line="240" w:lineRule="auto"/>
        <w:ind w:left="0"/>
        <w:jc w:val="right"/>
        <w:rPr>
          <w:rFonts w:ascii="Verdana" w:hAnsi="Verdana" w:cs="Arial"/>
          <w:sz w:val="16"/>
          <w:szCs w:val="16"/>
        </w:rPr>
      </w:pPr>
    </w:p>
    <w:p w14:paraId="4C8477CD" w14:textId="77777777" w:rsidR="000628F5" w:rsidRDefault="000628F5" w:rsidP="00287ED9">
      <w:pPr>
        <w:pStyle w:val="ListParagraph"/>
        <w:spacing w:line="240" w:lineRule="auto"/>
        <w:ind w:left="0"/>
        <w:jc w:val="right"/>
        <w:rPr>
          <w:rFonts w:ascii="Verdana" w:hAnsi="Verdana" w:cs="Arial"/>
          <w:sz w:val="16"/>
          <w:szCs w:val="16"/>
        </w:rPr>
        <w:sectPr w:rsidR="000628F5" w:rsidSect="005F6B74">
          <w:type w:val="continuous"/>
          <w:pgSz w:w="11906" w:h="16838"/>
          <w:pgMar w:top="1276" w:right="1440" w:bottom="1276" w:left="1440" w:header="708" w:footer="708" w:gutter="0"/>
          <w:pgNumType w:start="22"/>
          <w:cols w:num="2" w:space="152" w:equalWidth="0">
            <w:col w:w="2528" w:space="720"/>
            <w:col w:w="5776"/>
          </w:cols>
          <w:docGrid w:linePitch="360"/>
        </w:sectPr>
      </w:pPr>
    </w:p>
    <w:p w14:paraId="653A723F" w14:textId="77777777" w:rsidR="000628F5" w:rsidRDefault="000628F5" w:rsidP="00287ED9">
      <w:pPr>
        <w:pStyle w:val="ListParagraph"/>
        <w:numPr>
          <w:ilvl w:val="0"/>
          <w:numId w:val="16"/>
        </w:numPr>
        <w:tabs>
          <w:tab w:val="left" w:pos="567"/>
          <w:tab w:val="left" w:pos="709"/>
          <w:tab w:val="left" w:pos="851"/>
        </w:tabs>
        <w:spacing w:line="240" w:lineRule="auto"/>
        <w:ind w:hanging="1080"/>
        <w:rPr>
          <w:rFonts w:ascii="Verdana" w:hAnsi="Verdana" w:cs="Arial"/>
          <w:b/>
          <w:bCs/>
          <w:sz w:val="24"/>
          <w:szCs w:val="24"/>
        </w:rPr>
      </w:pPr>
      <w:r w:rsidRPr="000628F5">
        <w:rPr>
          <w:rFonts w:ascii="Verdana" w:hAnsi="Verdana" w:cs="Arial"/>
          <w:b/>
          <w:bCs/>
          <w:sz w:val="24"/>
          <w:szCs w:val="24"/>
        </w:rPr>
        <w:t>Useful Links and Contacts</w:t>
      </w:r>
    </w:p>
    <w:p w14:paraId="19BC0511" w14:textId="77777777" w:rsidR="000628F5" w:rsidRDefault="000628F5" w:rsidP="00287ED9">
      <w:pPr>
        <w:tabs>
          <w:tab w:val="left" w:pos="567"/>
          <w:tab w:val="left" w:pos="709"/>
          <w:tab w:val="left" w:pos="851"/>
        </w:tabs>
        <w:spacing w:line="240" w:lineRule="auto"/>
        <w:rPr>
          <w:rFonts w:ascii="Verdana" w:hAnsi="Verdana" w:cs="Arial"/>
          <w:sz w:val="24"/>
          <w:szCs w:val="24"/>
        </w:rPr>
        <w:sectPr w:rsidR="000628F5" w:rsidSect="000628F5">
          <w:type w:val="continuous"/>
          <w:pgSz w:w="11906" w:h="16838"/>
          <w:pgMar w:top="1276" w:right="1440" w:bottom="1276" w:left="1440" w:header="708" w:footer="708" w:gutter="0"/>
          <w:pgNumType w:start="26"/>
          <w:cols w:num="2" w:space="286"/>
          <w:docGrid w:linePitch="360"/>
        </w:sectPr>
      </w:pPr>
    </w:p>
    <w:p w14:paraId="5DF0E1E5" w14:textId="7CFA1CDF" w:rsidR="000628F5" w:rsidRDefault="000628F5" w:rsidP="00287ED9">
      <w:pPr>
        <w:tabs>
          <w:tab w:val="left" w:pos="567"/>
          <w:tab w:val="left" w:pos="709"/>
          <w:tab w:val="left" w:pos="851"/>
        </w:tabs>
        <w:spacing w:line="240" w:lineRule="auto"/>
        <w:rPr>
          <w:rFonts w:ascii="Verdana" w:hAnsi="Verdana" w:cs="Arial"/>
          <w:sz w:val="24"/>
          <w:szCs w:val="24"/>
        </w:rPr>
      </w:pPr>
      <w:r>
        <w:rPr>
          <w:rFonts w:ascii="Verdana" w:hAnsi="Verdana" w:cs="Arial"/>
          <w:sz w:val="24"/>
          <w:szCs w:val="24"/>
        </w:rPr>
        <w:t>Thank you for taking the time to read the Clinical Audit Annual Report.  Below are some key links and contacts should you have any specific queries</w:t>
      </w:r>
      <w:r w:rsidR="00445B96">
        <w:rPr>
          <w:rFonts w:ascii="Verdana" w:hAnsi="Verdana" w:cs="Arial"/>
          <w:sz w:val="24"/>
          <w:szCs w:val="24"/>
        </w:rPr>
        <w:t xml:space="preserve"> in relation to the Clinical Audit Team’s work programme</w:t>
      </w:r>
      <w:r>
        <w:rPr>
          <w:rFonts w:ascii="Verdana" w:hAnsi="Verdana" w:cs="Arial"/>
          <w:sz w:val="24"/>
          <w:szCs w:val="24"/>
        </w:rPr>
        <w:t>;</w:t>
      </w:r>
    </w:p>
    <w:p w14:paraId="22328981" w14:textId="77777777" w:rsidR="009D36B8" w:rsidRDefault="009D36B8" w:rsidP="00287ED9">
      <w:pPr>
        <w:tabs>
          <w:tab w:val="left" w:pos="567"/>
          <w:tab w:val="left" w:pos="709"/>
          <w:tab w:val="left" w:pos="851"/>
        </w:tabs>
        <w:spacing w:line="240" w:lineRule="auto"/>
        <w:rPr>
          <w:rFonts w:ascii="Verdana" w:hAnsi="Verdana" w:cs="Arial"/>
          <w:sz w:val="24"/>
          <w:szCs w:val="24"/>
        </w:rPr>
      </w:pPr>
    </w:p>
    <w:tbl>
      <w:tblPr>
        <w:tblStyle w:val="TableGrid"/>
        <w:tblW w:w="9317" w:type="dxa"/>
        <w:shd w:val="clear" w:color="auto" w:fill="FAE2D5" w:themeFill="accent2" w:themeFillTint="33"/>
        <w:tblLook w:val="04A0" w:firstRow="1" w:lastRow="0" w:firstColumn="1" w:lastColumn="0" w:noHBand="0" w:noVBand="1"/>
      </w:tblPr>
      <w:tblGrid>
        <w:gridCol w:w="5382"/>
        <w:gridCol w:w="3935"/>
      </w:tblGrid>
      <w:tr w:rsidR="00445B96" w14:paraId="3667B663" w14:textId="77777777" w:rsidTr="00B82CA3">
        <w:trPr>
          <w:trHeight w:val="422"/>
        </w:trPr>
        <w:tc>
          <w:tcPr>
            <w:tcW w:w="5382" w:type="dxa"/>
            <w:shd w:val="clear" w:color="auto" w:fill="FAE2D5" w:themeFill="accent2" w:themeFillTint="33"/>
            <w:vAlign w:val="center"/>
          </w:tcPr>
          <w:p w14:paraId="062FD65C" w14:textId="1C712280" w:rsidR="00445B96" w:rsidRDefault="00445B96" w:rsidP="00287ED9">
            <w:pPr>
              <w:tabs>
                <w:tab w:val="left" w:pos="567"/>
                <w:tab w:val="left" w:pos="709"/>
                <w:tab w:val="left" w:pos="851"/>
              </w:tabs>
              <w:rPr>
                <w:rFonts w:ascii="Verdana" w:hAnsi="Verdana" w:cs="Arial"/>
                <w:sz w:val="24"/>
                <w:szCs w:val="24"/>
              </w:rPr>
            </w:pPr>
            <w:r>
              <w:rPr>
                <w:rFonts w:ascii="Verdana" w:hAnsi="Verdana" w:cs="Arial"/>
                <w:sz w:val="24"/>
                <w:szCs w:val="24"/>
              </w:rPr>
              <w:t>Emails</w:t>
            </w:r>
          </w:p>
        </w:tc>
        <w:tc>
          <w:tcPr>
            <w:tcW w:w="3935" w:type="dxa"/>
            <w:shd w:val="clear" w:color="auto" w:fill="FAE2D5" w:themeFill="accent2" w:themeFillTint="33"/>
            <w:vAlign w:val="center"/>
          </w:tcPr>
          <w:p w14:paraId="743F2B29" w14:textId="492BD7CF" w:rsidR="00445B96" w:rsidRDefault="00445B96" w:rsidP="00287ED9">
            <w:pPr>
              <w:tabs>
                <w:tab w:val="left" w:pos="567"/>
                <w:tab w:val="left" w:pos="709"/>
                <w:tab w:val="left" w:pos="851"/>
              </w:tabs>
              <w:rPr>
                <w:rFonts w:ascii="Verdana" w:hAnsi="Verdana" w:cs="Arial"/>
                <w:sz w:val="24"/>
                <w:szCs w:val="24"/>
              </w:rPr>
            </w:pPr>
            <w:r>
              <w:rPr>
                <w:rFonts w:ascii="Verdana" w:hAnsi="Verdana" w:cs="Arial"/>
                <w:sz w:val="24"/>
                <w:szCs w:val="24"/>
              </w:rPr>
              <w:t>Links</w:t>
            </w:r>
          </w:p>
        </w:tc>
      </w:tr>
      <w:tr w:rsidR="00445B96" w14:paraId="2775F3EC" w14:textId="77777777" w:rsidTr="00B82CA3">
        <w:trPr>
          <w:trHeight w:val="2988"/>
        </w:trPr>
        <w:tc>
          <w:tcPr>
            <w:tcW w:w="5382" w:type="dxa"/>
            <w:shd w:val="clear" w:color="auto" w:fill="FAE2D5" w:themeFill="accent2" w:themeFillTint="33"/>
            <w:vAlign w:val="center"/>
          </w:tcPr>
          <w:p w14:paraId="27471C7E" w14:textId="63BFA190" w:rsidR="00445B96" w:rsidRDefault="00F24549" w:rsidP="00287ED9">
            <w:pPr>
              <w:tabs>
                <w:tab w:val="left" w:pos="567"/>
                <w:tab w:val="left" w:pos="709"/>
                <w:tab w:val="left" w:pos="851"/>
              </w:tabs>
              <w:rPr>
                <w:rFonts w:ascii="Verdana" w:hAnsi="Verdana" w:cs="Arial"/>
                <w:sz w:val="24"/>
                <w:szCs w:val="24"/>
              </w:rPr>
            </w:pPr>
            <w:hyperlink r:id="rId28" w:history="1">
              <w:r w:rsidR="00445B96" w:rsidRPr="001C65DC">
                <w:rPr>
                  <w:rStyle w:val="Hyperlink"/>
                  <w:rFonts w:ascii="Verdana" w:hAnsi="Verdana" w:cs="Arial"/>
                  <w:sz w:val="24"/>
                  <w:szCs w:val="24"/>
                </w:rPr>
                <w:t>SBU.ClinicalAuditProposals@wales.nhs.uk</w:t>
              </w:r>
            </w:hyperlink>
          </w:p>
          <w:p w14:paraId="24F2B7E3" w14:textId="3588DF7F" w:rsidR="00445B96" w:rsidRDefault="00445B96" w:rsidP="00287ED9">
            <w:pPr>
              <w:tabs>
                <w:tab w:val="left" w:pos="567"/>
                <w:tab w:val="left" w:pos="709"/>
                <w:tab w:val="left" w:pos="851"/>
              </w:tabs>
              <w:rPr>
                <w:rFonts w:ascii="Verdana" w:hAnsi="Verdana" w:cs="Arial"/>
                <w:sz w:val="24"/>
                <w:szCs w:val="24"/>
              </w:rPr>
            </w:pPr>
          </w:p>
        </w:tc>
        <w:tc>
          <w:tcPr>
            <w:tcW w:w="3935" w:type="dxa"/>
            <w:shd w:val="clear" w:color="auto" w:fill="FAE2D5" w:themeFill="accent2" w:themeFillTint="33"/>
            <w:vAlign w:val="center"/>
          </w:tcPr>
          <w:p w14:paraId="71239446" w14:textId="280F6863" w:rsidR="00445B96" w:rsidRDefault="00F24549" w:rsidP="00287ED9">
            <w:pPr>
              <w:tabs>
                <w:tab w:val="left" w:pos="567"/>
                <w:tab w:val="left" w:pos="709"/>
                <w:tab w:val="left" w:pos="851"/>
              </w:tabs>
              <w:rPr>
                <w:rFonts w:ascii="Verdana" w:hAnsi="Verdana" w:cs="Arial"/>
                <w:sz w:val="24"/>
                <w:szCs w:val="24"/>
              </w:rPr>
            </w:pPr>
            <w:hyperlink r:id="rId29" w:history="1">
              <w:r w:rsidR="0041090E" w:rsidRPr="0041090E">
                <w:rPr>
                  <w:rStyle w:val="Hyperlink"/>
                  <w:rFonts w:ascii="Verdana" w:hAnsi="Verdana" w:cs="Arial"/>
                  <w:sz w:val="24"/>
                  <w:szCs w:val="24"/>
                </w:rPr>
                <w:t xml:space="preserve">Clinical Audit </w:t>
              </w:r>
              <w:r w:rsidR="00B82CA3">
                <w:rPr>
                  <w:rStyle w:val="Hyperlink"/>
                  <w:rFonts w:ascii="Verdana" w:hAnsi="Verdana" w:cs="Arial"/>
                  <w:sz w:val="24"/>
                  <w:szCs w:val="24"/>
                </w:rPr>
                <w:t>&amp;</w:t>
              </w:r>
              <w:r w:rsidR="0041090E" w:rsidRPr="0041090E">
                <w:rPr>
                  <w:rStyle w:val="Hyperlink"/>
                  <w:rFonts w:ascii="Verdana" w:hAnsi="Verdana" w:cs="Arial"/>
                  <w:sz w:val="24"/>
                  <w:szCs w:val="24"/>
                </w:rPr>
                <w:t xml:space="preserve"> Effectiveness - Home</w:t>
              </w:r>
            </w:hyperlink>
          </w:p>
          <w:p w14:paraId="7426D8E7" w14:textId="77777777" w:rsidR="0041090E" w:rsidRDefault="0041090E" w:rsidP="00287ED9">
            <w:pPr>
              <w:tabs>
                <w:tab w:val="left" w:pos="567"/>
                <w:tab w:val="left" w:pos="709"/>
                <w:tab w:val="left" w:pos="851"/>
              </w:tabs>
              <w:rPr>
                <w:rFonts w:ascii="Verdana" w:hAnsi="Verdana" w:cs="Arial"/>
                <w:sz w:val="24"/>
                <w:szCs w:val="24"/>
              </w:rPr>
            </w:pPr>
          </w:p>
          <w:p w14:paraId="5421CF33" w14:textId="77777777" w:rsidR="0041090E" w:rsidRDefault="00F24549" w:rsidP="00287ED9">
            <w:pPr>
              <w:tabs>
                <w:tab w:val="left" w:pos="567"/>
                <w:tab w:val="left" w:pos="709"/>
                <w:tab w:val="left" w:pos="851"/>
              </w:tabs>
              <w:rPr>
                <w:rFonts w:ascii="Verdana" w:hAnsi="Verdana" w:cs="Arial"/>
                <w:sz w:val="24"/>
                <w:szCs w:val="24"/>
              </w:rPr>
            </w:pPr>
            <w:hyperlink r:id="rId30" w:history="1">
              <w:r w:rsidR="0041090E" w:rsidRPr="0041090E">
                <w:rPr>
                  <w:rStyle w:val="Hyperlink"/>
                  <w:rFonts w:ascii="Verdana" w:hAnsi="Verdana" w:cs="Arial"/>
                  <w:sz w:val="24"/>
                  <w:szCs w:val="24"/>
                </w:rPr>
                <w:t>Audit Leads</w:t>
              </w:r>
            </w:hyperlink>
          </w:p>
          <w:p w14:paraId="7248CD30" w14:textId="77777777" w:rsidR="0041090E" w:rsidRDefault="0041090E" w:rsidP="00287ED9">
            <w:pPr>
              <w:tabs>
                <w:tab w:val="left" w:pos="567"/>
                <w:tab w:val="left" w:pos="709"/>
                <w:tab w:val="left" w:pos="851"/>
              </w:tabs>
              <w:rPr>
                <w:rFonts w:ascii="Verdana" w:hAnsi="Verdana" w:cs="Arial"/>
                <w:sz w:val="24"/>
                <w:szCs w:val="24"/>
              </w:rPr>
            </w:pPr>
          </w:p>
          <w:p w14:paraId="5A6C6852" w14:textId="77777777" w:rsidR="0041090E" w:rsidRDefault="00F24549" w:rsidP="00287ED9">
            <w:pPr>
              <w:tabs>
                <w:tab w:val="left" w:pos="567"/>
                <w:tab w:val="left" w:pos="709"/>
                <w:tab w:val="left" w:pos="851"/>
              </w:tabs>
              <w:rPr>
                <w:rFonts w:ascii="Verdana" w:hAnsi="Verdana" w:cs="Arial"/>
                <w:sz w:val="24"/>
                <w:szCs w:val="24"/>
              </w:rPr>
            </w:pPr>
            <w:hyperlink r:id="rId31" w:history="1">
              <w:r w:rsidR="0041090E" w:rsidRPr="0041090E">
                <w:rPr>
                  <w:rStyle w:val="Hyperlink"/>
                  <w:rFonts w:ascii="Verdana" w:hAnsi="Verdana" w:cs="Arial"/>
                  <w:sz w:val="24"/>
                  <w:szCs w:val="24"/>
                </w:rPr>
                <w:t>Audit Process at SBUHB</w:t>
              </w:r>
            </w:hyperlink>
          </w:p>
          <w:p w14:paraId="509D374B" w14:textId="77777777" w:rsidR="0041090E" w:rsidRDefault="0041090E" w:rsidP="00287ED9">
            <w:pPr>
              <w:tabs>
                <w:tab w:val="left" w:pos="567"/>
                <w:tab w:val="left" w:pos="709"/>
                <w:tab w:val="left" w:pos="851"/>
              </w:tabs>
              <w:rPr>
                <w:rFonts w:ascii="Verdana" w:hAnsi="Verdana" w:cs="Arial"/>
                <w:sz w:val="24"/>
                <w:szCs w:val="24"/>
              </w:rPr>
            </w:pPr>
          </w:p>
          <w:p w14:paraId="0E853604" w14:textId="3D0CEC34" w:rsidR="0041090E" w:rsidRDefault="00F24549" w:rsidP="00287ED9">
            <w:pPr>
              <w:tabs>
                <w:tab w:val="left" w:pos="567"/>
                <w:tab w:val="left" w:pos="709"/>
                <w:tab w:val="left" w:pos="851"/>
              </w:tabs>
              <w:rPr>
                <w:rFonts w:ascii="Verdana" w:hAnsi="Verdana" w:cs="Arial"/>
                <w:sz w:val="24"/>
                <w:szCs w:val="24"/>
              </w:rPr>
            </w:pPr>
            <w:hyperlink r:id="rId32" w:history="1">
              <w:r w:rsidR="00840ED7">
                <w:rPr>
                  <w:rStyle w:val="Hyperlink"/>
                  <w:rFonts w:ascii="Verdana" w:hAnsi="Verdana" w:cs="Arial"/>
                  <w:sz w:val="24"/>
                  <w:szCs w:val="24"/>
                </w:rPr>
                <w:t>Audit Dates</w:t>
              </w:r>
            </w:hyperlink>
          </w:p>
        </w:tc>
      </w:tr>
      <w:tr w:rsidR="00445B96" w14:paraId="10F45AA9" w14:textId="77777777" w:rsidTr="00B82CA3">
        <w:trPr>
          <w:trHeight w:val="707"/>
        </w:trPr>
        <w:tc>
          <w:tcPr>
            <w:tcW w:w="5382" w:type="dxa"/>
            <w:shd w:val="clear" w:color="auto" w:fill="FAE2D5" w:themeFill="accent2" w:themeFillTint="33"/>
            <w:vAlign w:val="center"/>
          </w:tcPr>
          <w:p w14:paraId="77A790B1" w14:textId="3B9CE049" w:rsidR="00445B96" w:rsidRDefault="0035153F" w:rsidP="00287ED9">
            <w:pPr>
              <w:tabs>
                <w:tab w:val="left" w:pos="567"/>
                <w:tab w:val="left" w:pos="709"/>
                <w:tab w:val="left" w:pos="851"/>
              </w:tabs>
              <w:rPr>
                <w:rFonts w:ascii="Verdana" w:hAnsi="Verdana" w:cs="Arial"/>
                <w:sz w:val="24"/>
                <w:szCs w:val="24"/>
              </w:rPr>
            </w:pPr>
            <w:r>
              <w:rPr>
                <w:rFonts w:ascii="Verdana" w:hAnsi="Verdana" w:cs="Arial"/>
                <w:sz w:val="24"/>
                <w:szCs w:val="24"/>
              </w:rPr>
              <w:t xml:space="preserve">                                  </w:t>
            </w:r>
            <w:hyperlink r:id="rId33" w:history="1">
              <w:r w:rsidRPr="001C65DC">
                <w:rPr>
                  <w:rStyle w:val="Hyperlink"/>
                  <w:rFonts w:ascii="Verdana" w:hAnsi="Verdana" w:cs="Arial"/>
                  <w:sz w:val="24"/>
                  <w:szCs w:val="24"/>
                </w:rPr>
                <w:t>SBU.COEG@wales.nhs.uk</w:t>
              </w:r>
            </w:hyperlink>
          </w:p>
          <w:p w14:paraId="731B6E9C" w14:textId="2032945D" w:rsidR="00445B96" w:rsidRDefault="00445B96" w:rsidP="00287ED9">
            <w:pPr>
              <w:tabs>
                <w:tab w:val="left" w:pos="567"/>
                <w:tab w:val="left" w:pos="709"/>
                <w:tab w:val="left" w:pos="851"/>
              </w:tabs>
              <w:rPr>
                <w:rFonts w:ascii="Verdana" w:hAnsi="Verdana" w:cs="Arial"/>
                <w:sz w:val="24"/>
                <w:szCs w:val="24"/>
              </w:rPr>
            </w:pPr>
          </w:p>
        </w:tc>
        <w:tc>
          <w:tcPr>
            <w:tcW w:w="3935" w:type="dxa"/>
            <w:shd w:val="clear" w:color="auto" w:fill="FAE2D5" w:themeFill="accent2" w:themeFillTint="33"/>
            <w:vAlign w:val="center"/>
          </w:tcPr>
          <w:p w14:paraId="7E6F5A9E" w14:textId="43066FE2" w:rsidR="0041090E" w:rsidRDefault="00F24549" w:rsidP="00287ED9">
            <w:pPr>
              <w:tabs>
                <w:tab w:val="left" w:pos="567"/>
                <w:tab w:val="left" w:pos="709"/>
                <w:tab w:val="left" w:pos="851"/>
              </w:tabs>
              <w:rPr>
                <w:rFonts w:ascii="Verdana" w:hAnsi="Verdana" w:cs="Arial"/>
                <w:sz w:val="24"/>
                <w:szCs w:val="24"/>
              </w:rPr>
            </w:pPr>
            <w:hyperlink r:id="rId34" w:history="1">
              <w:r w:rsidR="0041090E" w:rsidRPr="0041090E">
                <w:rPr>
                  <w:rStyle w:val="Hyperlink"/>
                  <w:rFonts w:ascii="Verdana" w:hAnsi="Verdana" w:cs="Arial"/>
                  <w:sz w:val="24"/>
                  <w:szCs w:val="24"/>
                </w:rPr>
                <w:t>Health Board Priority Topics</w:t>
              </w:r>
            </w:hyperlink>
          </w:p>
        </w:tc>
      </w:tr>
      <w:tr w:rsidR="0035153F" w14:paraId="0DE161C6" w14:textId="77777777" w:rsidTr="00B82CA3">
        <w:trPr>
          <w:trHeight w:val="517"/>
        </w:trPr>
        <w:tc>
          <w:tcPr>
            <w:tcW w:w="9317" w:type="dxa"/>
            <w:gridSpan w:val="2"/>
            <w:shd w:val="clear" w:color="auto" w:fill="FAE2D5" w:themeFill="accent2" w:themeFillTint="33"/>
            <w:vAlign w:val="center"/>
          </w:tcPr>
          <w:p w14:paraId="176EB9FA" w14:textId="53C30D22" w:rsidR="0035153F" w:rsidRPr="0041090E" w:rsidRDefault="00F24549" w:rsidP="00287ED9">
            <w:pPr>
              <w:tabs>
                <w:tab w:val="left" w:pos="567"/>
                <w:tab w:val="left" w:pos="709"/>
                <w:tab w:val="left" w:pos="851"/>
              </w:tabs>
              <w:rPr>
                <w:rFonts w:ascii="Verdana" w:hAnsi="Verdana" w:cs="Arial"/>
                <w:sz w:val="24"/>
                <w:szCs w:val="24"/>
              </w:rPr>
            </w:pPr>
            <w:hyperlink r:id="rId35" w:history="1">
              <w:r w:rsidR="0035153F" w:rsidRPr="001C65DC">
                <w:rPr>
                  <w:rStyle w:val="Hyperlink"/>
                  <w:rFonts w:ascii="Verdana" w:hAnsi="Verdana" w:cs="Arial"/>
                  <w:sz w:val="24"/>
                  <w:szCs w:val="24"/>
                </w:rPr>
                <w:t>SBU.MortalityReview@wales.nhs.uk</w:t>
              </w:r>
            </w:hyperlink>
          </w:p>
        </w:tc>
      </w:tr>
    </w:tbl>
    <w:p w14:paraId="5F87AADE" w14:textId="77777777" w:rsidR="000628F5" w:rsidRDefault="000628F5" w:rsidP="00287ED9">
      <w:pPr>
        <w:tabs>
          <w:tab w:val="left" w:pos="567"/>
          <w:tab w:val="left" w:pos="709"/>
          <w:tab w:val="left" w:pos="851"/>
        </w:tabs>
        <w:spacing w:line="240" w:lineRule="auto"/>
        <w:rPr>
          <w:rFonts w:ascii="Verdana" w:hAnsi="Verdana" w:cs="Arial"/>
          <w:sz w:val="24"/>
          <w:szCs w:val="24"/>
        </w:rPr>
      </w:pPr>
    </w:p>
    <w:p w14:paraId="5D1B209C" w14:textId="77777777" w:rsidR="000628F5" w:rsidRDefault="000628F5" w:rsidP="00287ED9">
      <w:pPr>
        <w:tabs>
          <w:tab w:val="left" w:pos="567"/>
          <w:tab w:val="left" w:pos="709"/>
          <w:tab w:val="left" w:pos="851"/>
        </w:tabs>
        <w:spacing w:line="240" w:lineRule="auto"/>
        <w:rPr>
          <w:rFonts w:ascii="Verdana" w:hAnsi="Verdana" w:cs="Arial"/>
          <w:sz w:val="24"/>
          <w:szCs w:val="24"/>
        </w:rPr>
        <w:sectPr w:rsidR="000628F5" w:rsidSect="000628F5">
          <w:type w:val="continuous"/>
          <w:pgSz w:w="11906" w:h="16838"/>
          <w:pgMar w:top="1276" w:right="1440" w:bottom="1276" w:left="1440" w:header="708" w:footer="708" w:gutter="0"/>
          <w:pgNumType w:start="26"/>
          <w:cols w:space="286"/>
          <w:docGrid w:linePitch="360"/>
        </w:sectPr>
      </w:pPr>
    </w:p>
    <w:p w14:paraId="724C1286" w14:textId="77777777" w:rsidR="000628F5" w:rsidRDefault="000628F5" w:rsidP="000628F5">
      <w:pPr>
        <w:tabs>
          <w:tab w:val="left" w:pos="567"/>
          <w:tab w:val="left" w:pos="709"/>
          <w:tab w:val="left" w:pos="851"/>
        </w:tabs>
        <w:rPr>
          <w:rFonts w:ascii="Verdana" w:hAnsi="Verdana" w:cs="Arial"/>
          <w:sz w:val="24"/>
          <w:szCs w:val="24"/>
        </w:rPr>
      </w:pPr>
    </w:p>
    <w:p w14:paraId="33C79A81" w14:textId="77777777" w:rsidR="000628F5" w:rsidRDefault="000628F5" w:rsidP="000628F5">
      <w:pPr>
        <w:tabs>
          <w:tab w:val="left" w:pos="567"/>
          <w:tab w:val="left" w:pos="709"/>
          <w:tab w:val="left" w:pos="851"/>
        </w:tabs>
        <w:rPr>
          <w:rFonts w:ascii="Verdana" w:hAnsi="Verdana" w:cs="Arial"/>
          <w:sz w:val="24"/>
          <w:szCs w:val="24"/>
        </w:rPr>
      </w:pPr>
    </w:p>
    <w:p w14:paraId="274FE87A" w14:textId="77777777" w:rsidR="000628F5" w:rsidRDefault="000628F5" w:rsidP="000628F5">
      <w:pPr>
        <w:tabs>
          <w:tab w:val="left" w:pos="567"/>
          <w:tab w:val="left" w:pos="709"/>
          <w:tab w:val="left" w:pos="851"/>
        </w:tabs>
        <w:rPr>
          <w:rFonts w:ascii="Verdana" w:hAnsi="Verdana" w:cs="Arial"/>
          <w:sz w:val="24"/>
          <w:szCs w:val="24"/>
        </w:rPr>
      </w:pPr>
    </w:p>
    <w:p w14:paraId="0787C32D" w14:textId="07D1E253" w:rsidR="000628F5" w:rsidRDefault="000628F5" w:rsidP="000628F5">
      <w:pPr>
        <w:tabs>
          <w:tab w:val="left" w:pos="567"/>
          <w:tab w:val="left" w:pos="709"/>
          <w:tab w:val="left" w:pos="851"/>
        </w:tabs>
        <w:rPr>
          <w:rFonts w:ascii="Verdana" w:hAnsi="Verdana" w:cs="Arial"/>
          <w:sz w:val="24"/>
          <w:szCs w:val="24"/>
        </w:rPr>
      </w:pPr>
    </w:p>
    <w:p w14:paraId="19E43012" w14:textId="77777777" w:rsidR="009D36B8" w:rsidRDefault="009D36B8" w:rsidP="000628F5">
      <w:pPr>
        <w:tabs>
          <w:tab w:val="left" w:pos="567"/>
          <w:tab w:val="left" w:pos="709"/>
          <w:tab w:val="left" w:pos="851"/>
        </w:tabs>
        <w:rPr>
          <w:rFonts w:ascii="Verdana" w:hAnsi="Verdana" w:cs="Arial"/>
          <w:sz w:val="24"/>
          <w:szCs w:val="24"/>
        </w:rPr>
      </w:pPr>
    </w:p>
    <w:p w14:paraId="0823C642" w14:textId="5F797498" w:rsidR="00252277" w:rsidRDefault="00252277" w:rsidP="000628F5">
      <w:pPr>
        <w:tabs>
          <w:tab w:val="left" w:pos="567"/>
          <w:tab w:val="left" w:pos="709"/>
          <w:tab w:val="left" w:pos="851"/>
        </w:tabs>
        <w:rPr>
          <w:rFonts w:ascii="Verdana" w:hAnsi="Verdana" w:cs="Arial"/>
          <w:sz w:val="24"/>
          <w:szCs w:val="24"/>
        </w:rPr>
      </w:pPr>
    </w:p>
    <w:p w14:paraId="517AC1E9" w14:textId="6D6DE78D" w:rsidR="00252277" w:rsidRDefault="00252277" w:rsidP="000628F5">
      <w:pPr>
        <w:tabs>
          <w:tab w:val="left" w:pos="567"/>
          <w:tab w:val="left" w:pos="709"/>
          <w:tab w:val="left" w:pos="851"/>
        </w:tabs>
        <w:rPr>
          <w:rFonts w:ascii="Verdana" w:hAnsi="Verdana" w:cs="Arial"/>
          <w:sz w:val="24"/>
          <w:szCs w:val="24"/>
        </w:rPr>
      </w:pPr>
    </w:p>
    <w:p w14:paraId="2C58F93F" w14:textId="6C5EA473" w:rsidR="00252277" w:rsidRDefault="00252277" w:rsidP="000628F5">
      <w:pPr>
        <w:tabs>
          <w:tab w:val="left" w:pos="567"/>
          <w:tab w:val="left" w:pos="709"/>
          <w:tab w:val="left" w:pos="851"/>
        </w:tabs>
        <w:rPr>
          <w:rFonts w:ascii="Verdana" w:hAnsi="Verdana" w:cs="Arial"/>
          <w:sz w:val="24"/>
          <w:szCs w:val="24"/>
        </w:rPr>
      </w:pPr>
    </w:p>
    <w:p w14:paraId="05D7C352" w14:textId="416CD7DD" w:rsidR="00252277" w:rsidRDefault="00252277" w:rsidP="000628F5">
      <w:pPr>
        <w:tabs>
          <w:tab w:val="left" w:pos="567"/>
          <w:tab w:val="left" w:pos="709"/>
          <w:tab w:val="left" w:pos="851"/>
        </w:tabs>
        <w:rPr>
          <w:rFonts w:ascii="Verdana" w:hAnsi="Verdana" w:cs="Arial"/>
          <w:sz w:val="24"/>
          <w:szCs w:val="24"/>
        </w:rPr>
      </w:pPr>
    </w:p>
    <w:p w14:paraId="07A2002C" w14:textId="6CED4504" w:rsidR="00252277" w:rsidRDefault="00252277" w:rsidP="000628F5">
      <w:pPr>
        <w:tabs>
          <w:tab w:val="left" w:pos="567"/>
          <w:tab w:val="left" w:pos="709"/>
          <w:tab w:val="left" w:pos="851"/>
        </w:tabs>
        <w:rPr>
          <w:rFonts w:ascii="Verdana" w:hAnsi="Verdana" w:cs="Arial"/>
          <w:sz w:val="24"/>
          <w:szCs w:val="24"/>
        </w:rPr>
      </w:pPr>
    </w:p>
    <w:p w14:paraId="657D8AA9" w14:textId="1C3D57EE" w:rsidR="00252277" w:rsidRDefault="00252277" w:rsidP="000628F5">
      <w:pPr>
        <w:tabs>
          <w:tab w:val="left" w:pos="567"/>
          <w:tab w:val="left" w:pos="709"/>
          <w:tab w:val="left" w:pos="851"/>
        </w:tabs>
        <w:rPr>
          <w:rFonts w:ascii="Verdana" w:hAnsi="Verdana" w:cs="Arial"/>
          <w:sz w:val="24"/>
          <w:szCs w:val="24"/>
        </w:rPr>
      </w:pPr>
    </w:p>
    <w:p w14:paraId="53198F84" w14:textId="77777777" w:rsidR="00252277" w:rsidRDefault="00252277" w:rsidP="000628F5">
      <w:pPr>
        <w:tabs>
          <w:tab w:val="left" w:pos="567"/>
          <w:tab w:val="left" w:pos="709"/>
          <w:tab w:val="left" w:pos="851"/>
        </w:tabs>
        <w:rPr>
          <w:rFonts w:ascii="Verdana" w:hAnsi="Verdana" w:cs="Arial"/>
          <w:sz w:val="24"/>
          <w:szCs w:val="24"/>
        </w:rPr>
        <w:sectPr w:rsidR="00252277" w:rsidSect="000628F5">
          <w:type w:val="continuous"/>
          <w:pgSz w:w="11906" w:h="16838"/>
          <w:pgMar w:top="1276" w:right="1440" w:bottom="1276" w:left="1440" w:header="708" w:footer="708" w:gutter="0"/>
          <w:pgNumType w:start="26"/>
          <w:cols w:num="2" w:space="286"/>
          <w:docGrid w:linePitch="360"/>
        </w:sectPr>
      </w:pPr>
    </w:p>
    <w:p w14:paraId="7862F377" w14:textId="7458A4D2" w:rsidR="00252277" w:rsidRDefault="00252277" w:rsidP="000628F5">
      <w:pPr>
        <w:tabs>
          <w:tab w:val="left" w:pos="567"/>
          <w:tab w:val="left" w:pos="709"/>
          <w:tab w:val="left" w:pos="851"/>
        </w:tabs>
        <w:rPr>
          <w:rFonts w:ascii="Verdana" w:hAnsi="Verdana" w:cs="Arial"/>
          <w:b/>
          <w:bCs/>
          <w:sz w:val="24"/>
          <w:szCs w:val="24"/>
        </w:rPr>
      </w:pPr>
      <w:r w:rsidRPr="00252277">
        <w:rPr>
          <w:rFonts w:ascii="Verdana" w:hAnsi="Verdana" w:cs="Arial"/>
          <w:b/>
          <w:bCs/>
          <w:sz w:val="24"/>
          <w:szCs w:val="24"/>
        </w:rPr>
        <w:lastRenderedPageBreak/>
        <w:t>Appendix 1.  Mental Health and Learning Disabilit</w:t>
      </w:r>
      <w:r>
        <w:rPr>
          <w:rFonts w:ascii="Verdana" w:hAnsi="Verdana" w:cs="Arial"/>
          <w:b/>
          <w:bCs/>
          <w:sz w:val="24"/>
          <w:szCs w:val="24"/>
        </w:rPr>
        <w:t>i</w:t>
      </w:r>
      <w:r w:rsidRPr="00252277">
        <w:rPr>
          <w:rFonts w:ascii="Verdana" w:hAnsi="Verdana" w:cs="Arial"/>
          <w:b/>
          <w:bCs/>
          <w:sz w:val="24"/>
          <w:szCs w:val="24"/>
        </w:rPr>
        <w:t xml:space="preserve">es </w:t>
      </w:r>
      <w:r>
        <w:rPr>
          <w:rFonts w:ascii="Verdana" w:hAnsi="Verdana" w:cs="Arial"/>
          <w:b/>
          <w:bCs/>
          <w:sz w:val="24"/>
          <w:szCs w:val="24"/>
        </w:rPr>
        <w:t xml:space="preserve">Service Group </w:t>
      </w:r>
      <w:r w:rsidRPr="00252277">
        <w:rPr>
          <w:rFonts w:ascii="Verdana" w:hAnsi="Verdana" w:cs="Arial"/>
          <w:b/>
          <w:bCs/>
          <w:sz w:val="24"/>
          <w:szCs w:val="24"/>
        </w:rPr>
        <w:t>Completed Audits</w:t>
      </w:r>
    </w:p>
    <w:p w14:paraId="2A93F19D" w14:textId="77777777" w:rsidR="00F750C9" w:rsidRPr="000F0BEC" w:rsidRDefault="00F750C9" w:rsidP="00F750C9">
      <w:pPr>
        <w:rPr>
          <w:rFonts w:ascii="Verdana" w:hAnsi="Verdana"/>
          <w:b/>
          <w:bCs/>
        </w:rPr>
      </w:pPr>
      <w:r w:rsidRPr="000F0BEC">
        <w:rPr>
          <w:rFonts w:ascii="Verdana" w:hAnsi="Verdana"/>
          <w:b/>
          <w:bCs/>
        </w:rPr>
        <w:t>Key;</w:t>
      </w:r>
    </w:p>
    <w:p w14:paraId="77C83364" w14:textId="1419530E" w:rsidR="00F750C9" w:rsidRPr="00DB5258" w:rsidRDefault="00F750C9" w:rsidP="004877C6">
      <w:pPr>
        <w:spacing w:line="240" w:lineRule="auto"/>
        <w:rPr>
          <w:rFonts w:ascii="Verdana" w:hAnsi="Verdana"/>
          <w:b/>
          <w:bCs/>
        </w:rPr>
      </w:pPr>
      <w:r w:rsidRPr="00DB5258">
        <w:rPr>
          <w:rFonts w:ascii="Verdana" w:hAnsi="Verdana"/>
          <w:b/>
          <w:bCs/>
        </w:rPr>
        <w:t>Impact Level</w:t>
      </w:r>
    </w:p>
    <w:p w14:paraId="5668766B" w14:textId="77777777" w:rsidR="00F750C9" w:rsidRPr="00DB5258" w:rsidRDefault="00F750C9" w:rsidP="004877C6">
      <w:pPr>
        <w:numPr>
          <w:ilvl w:val="0"/>
          <w:numId w:val="28"/>
        </w:numPr>
        <w:spacing w:line="240" w:lineRule="auto"/>
        <w:rPr>
          <w:rFonts w:ascii="Verdana" w:hAnsi="Verdana"/>
        </w:rPr>
      </w:pPr>
      <w:r w:rsidRPr="00DB5258">
        <w:rPr>
          <w:rFonts w:ascii="Verdana" w:hAnsi="Verdana"/>
          <w:b/>
          <w:bCs/>
        </w:rPr>
        <w:t>Assurance</w:t>
      </w:r>
      <w:r w:rsidRPr="00DB5258">
        <w:rPr>
          <w:rFonts w:ascii="Verdana" w:hAnsi="Verdana"/>
        </w:rPr>
        <w:t xml:space="preserve"> – Confirms practice meets expected standards; no significant concerns identified</w:t>
      </w:r>
    </w:p>
    <w:p w14:paraId="0093C0B7" w14:textId="77777777" w:rsidR="00F750C9" w:rsidRPr="00DB5258" w:rsidRDefault="00F750C9" w:rsidP="004877C6">
      <w:pPr>
        <w:numPr>
          <w:ilvl w:val="0"/>
          <w:numId w:val="28"/>
        </w:numPr>
        <w:spacing w:line="240" w:lineRule="auto"/>
        <w:rPr>
          <w:rFonts w:ascii="Verdana" w:hAnsi="Verdana"/>
        </w:rPr>
      </w:pPr>
      <w:r w:rsidRPr="00DB5258">
        <w:rPr>
          <w:rFonts w:ascii="Verdana" w:hAnsi="Verdana"/>
          <w:b/>
          <w:bCs/>
        </w:rPr>
        <w:t>Medium</w:t>
      </w:r>
      <w:r w:rsidRPr="00DB5258">
        <w:rPr>
          <w:rFonts w:ascii="Verdana" w:hAnsi="Verdana"/>
        </w:rPr>
        <w:t xml:space="preserve"> – Issues or variation identified requiring improvement, further review, or strengthening of consistency</w:t>
      </w:r>
    </w:p>
    <w:p w14:paraId="3F54D7CA" w14:textId="77777777" w:rsidR="00F750C9" w:rsidRPr="00DB5258" w:rsidRDefault="00F750C9" w:rsidP="004877C6">
      <w:pPr>
        <w:numPr>
          <w:ilvl w:val="0"/>
          <w:numId w:val="28"/>
        </w:numPr>
        <w:spacing w:line="240" w:lineRule="auto"/>
        <w:rPr>
          <w:rFonts w:ascii="Verdana" w:hAnsi="Verdana"/>
        </w:rPr>
      </w:pPr>
      <w:r w:rsidRPr="00DB5258">
        <w:rPr>
          <w:rFonts w:ascii="Verdana" w:hAnsi="Verdana"/>
          <w:b/>
          <w:bCs/>
        </w:rPr>
        <w:t>Strong</w:t>
      </w:r>
      <w:r w:rsidRPr="00DB5258">
        <w:rPr>
          <w:rFonts w:ascii="Verdana" w:hAnsi="Verdana"/>
        </w:rPr>
        <w:t xml:space="preserve"> – Significant findings with clear implications for patient safety, system performance, access, or quality</w:t>
      </w:r>
    </w:p>
    <w:p w14:paraId="25A03A9F" w14:textId="4FC4691D" w:rsidR="00F750C9" w:rsidRPr="00DB5258" w:rsidRDefault="004877C6" w:rsidP="004877C6">
      <w:pPr>
        <w:spacing w:line="240" w:lineRule="auto"/>
        <w:rPr>
          <w:rFonts w:ascii="Verdana" w:hAnsi="Verdana"/>
          <w:b/>
          <w:bCs/>
        </w:rPr>
      </w:pPr>
      <w:r w:rsidRPr="00DB5258">
        <w:rPr>
          <w:rFonts w:ascii="Verdana" w:hAnsi="Verdana"/>
          <w:b/>
          <w:bCs/>
        </w:rPr>
        <w:t>The “</w:t>
      </w:r>
      <w:r w:rsidR="00F750C9" w:rsidRPr="00DB5258">
        <w:rPr>
          <w:rFonts w:ascii="Verdana" w:hAnsi="Verdana"/>
          <w:b/>
          <w:bCs/>
        </w:rPr>
        <w:t>So What</w:t>
      </w:r>
      <w:r w:rsidRPr="00DB5258">
        <w:rPr>
          <w:rFonts w:ascii="Verdana" w:hAnsi="Verdana"/>
          <w:b/>
          <w:bCs/>
        </w:rPr>
        <w:t>?”</w:t>
      </w:r>
    </w:p>
    <w:p w14:paraId="0EF5A980" w14:textId="77777777" w:rsidR="00F750C9" w:rsidRPr="00DB5258" w:rsidRDefault="00F750C9" w:rsidP="004877C6">
      <w:pPr>
        <w:numPr>
          <w:ilvl w:val="0"/>
          <w:numId w:val="29"/>
        </w:numPr>
        <w:spacing w:line="240" w:lineRule="auto"/>
        <w:rPr>
          <w:rFonts w:ascii="Verdana" w:hAnsi="Verdana"/>
        </w:rPr>
      </w:pPr>
      <w:r w:rsidRPr="00DB5258">
        <w:rPr>
          <w:rFonts w:ascii="Verdana" w:hAnsi="Verdana"/>
        </w:rPr>
        <w:t>Included only where findings clearly support a meaningful conclusion</w:t>
      </w:r>
    </w:p>
    <w:p w14:paraId="01744EC6" w14:textId="77777777" w:rsidR="00F750C9" w:rsidRPr="00DB5258" w:rsidRDefault="00F750C9" w:rsidP="004877C6">
      <w:pPr>
        <w:numPr>
          <w:ilvl w:val="0"/>
          <w:numId w:val="29"/>
        </w:numPr>
        <w:spacing w:line="240" w:lineRule="auto"/>
        <w:rPr>
          <w:rFonts w:ascii="Verdana" w:hAnsi="Verdana"/>
        </w:rPr>
      </w:pPr>
      <w:r w:rsidRPr="00DB5258">
        <w:rPr>
          <w:rFonts w:ascii="Verdana" w:hAnsi="Verdana"/>
        </w:rPr>
        <w:t>Highlights why the audit matters in practice (risk, improvement, system impact, or benefit)</w:t>
      </w:r>
    </w:p>
    <w:p w14:paraId="2518F9F7" w14:textId="348B4A5A" w:rsidR="00252277" w:rsidRPr="006F1D58" w:rsidRDefault="004877C6" w:rsidP="00252277">
      <w:pPr>
        <w:pStyle w:val="Heading2"/>
        <w:spacing w:line="240" w:lineRule="auto"/>
        <w:rPr>
          <w:rFonts w:ascii="Verdana" w:hAnsi="Verdana" w:cs="Segoe UI"/>
          <w:b/>
          <w:bCs/>
          <w:sz w:val="24"/>
          <w:szCs w:val="24"/>
        </w:rPr>
      </w:pPr>
      <w:r>
        <w:rPr>
          <w:rFonts w:ascii="Verdana" w:hAnsi="Verdana" w:cs="Segoe UI"/>
          <w:b/>
          <w:bCs/>
          <w:sz w:val="24"/>
          <w:szCs w:val="24"/>
        </w:rPr>
        <w:t xml:space="preserve">                                                                                                                 </w:t>
      </w:r>
      <w:r w:rsidR="00252277" w:rsidRPr="006F1D58">
        <w:rPr>
          <w:rFonts w:ascii="Verdana" w:hAnsi="Verdana" w:cs="Segoe UI"/>
          <w:b/>
          <w:bCs/>
          <w:sz w:val="24"/>
          <w:szCs w:val="24"/>
        </w:rPr>
        <w:t>Community Drugs and Alcohol Team (CDAT)</w:t>
      </w:r>
    </w:p>
    <w:p w14:paraId="4A3A30B4" w14:textId="52FD0AE5" w:rsidR="00252277" w:rsidRPr="000F0BEC" w:rsidRDefault="00252277" w:rsidP="00252277">
      <w:pPr>
        <w:pStyle w:val="Heading3"/>
        <w:spacing w:line="240" w:lineRule="auto"/>
        <w:rPr>
          <w:rFonts w:ascii="Verdana" w:hAnsi="Verdana" w:cs="Segoe UI"/>
          <w:sz w:val="22"/>
          <w:szCs w:val="22"/>
        </w:rPr>
      </w:pPr>
      <w:r w:rsidRPr="000F0BEC">
        <w:rPr>
          <w:rFonts w:ascii="Verdana" w:hAnsi="Verdana" w:cs="Segoe UI"/>
          <w:sz w:val="22"/>
          <w:szCs w:val="22"/>
        </w:rPr>
        <w:t xml:space="preserve">Audit of Assessment and Management of Wernicke’s Encephalopathy. </w:t>
      </w:r>
      <w:r w:rsidRPr="000F0BEC">
        <w:rPr>
          <w:rFonts w:ascii="Verdana" w:hAnsi="Verdana" w:cs="Segoe UI"/>
          <w:color w:val="auto"/>
          <w:sz w:val="22"/>
          <w:szCs w:val="22"/>
        </w:rPr>
        <w:t xml:space="preserve">100% compliance with appropriate assessment and management of Wernicke’s Encephalopathy for patients admitted to Calon Lan, providing strong assurance for this service. Wider organisational work is ongoing, with other areas undertaking parallel audits.  </w:t>
      </w:r>
      <w:r w:rsidRPr="000F0BEC">
        <w:rPr>
          <w:rStyle w:val="Emphasis"/>
          <w:rFonts w:ascii="Verdana" w:hAnsi="Verdana" w:cs="Segoe UI"/>
          <w:color w:val="auto"/>
          <w:sz w:val="22"/>
          <w:szCs w:val="22"/>
        </w:rPr>
        <w:t>(Risk score 1)</w:t>
      </w:r>
      <w:r w:rsidR="008739E1" w:rsidRPr="000F0BEC">
        <w:rPr>
          <w:rStyle w:val="Emphasis"/>
          <w:rFonts w:ascii="Verdana" w:hAnsi="Verdana" w:cs="Segoe UI"/>
          <w:color w:val="auto"/>
          <w:sz w:val="22"/>
          <w:szCs w:val="22"/>
        </w:rPr>
        <w:t xml:space="preserve">  </w:t>
      </w:r>
      <w:r w:rsidR="00C5571F" w:rsidRPr="000F0BEC">
        <w:rPr>
          <w:rStyle w:val="Emphasis"/>
          <w:rFonts w:ascii="Verdana" w:hAnsi="Verdana" w:cs="Segoe UI"/>
          <w:color w:val="auto"/>
          <w:sz w:val="22"/>
          <w:szCs w:val="22"/>
        </w:rPr>
        <w:t xml:space="preserve">                   </w:t>
      </w:r>
      <w:r w:rsidR="00DB5258">
        <w:rPr>
          <w:rStyle w:val="Emphasis"/>
          <w:rFonts w:ascii="Verdana" w:hAnsi="Verdana" w:cs="Segoe UI"/>
          <w:color w:val="auto"/>
          <w:sz w:val="22"/>
          <w:szCs w:val="22"/>
        </w:rPr>
        <w:t xml:space="preserve">                                             </w:t>
      </w:r>
      <w:r w:rsidR="008739E1" w:rsidRPr="000F0BEC">
        <w:rPr>
          <w:rFonts w:ascii="Verdana" w:hAnsi="Verdana"/>
          <w:b/>
          <w:bCs/>
          <w:sz w:val="22"/>
          <w:szCs w:val="22"/>
        </w:rPr>
        <w:t>Impact Level: Assurance</w:t>
      </w:r>
    </w:p>
    <w:p w14:paraId="356B372B" w14:textId="6265131A" w:rsidR="00252277" w:rsidRPr="00651856" w:rsidRDefault="00252277" w:rsidP="00252277">
      <w:pPr>
        <w:pStyle w:val="Heading3"/>
        <w:spacing w:line="240" w:lineRule="auto"/>
        <w:rPr>
          <w:rStyle w:val="Emphasis"/>
          <w:rFonts w:ascii="Verdana" w:hAnsi="Verdana" w:cs="Segoe UI"/>
          <w:color w:val="auto"/>
          <w:sz w:val="22"/>
          <w:szCs w:val="22"/>
        </w:rPr>
      </w:pPr>
      <w:r w:rsidRPr="000F0BEC">
        <w:rPr>
          <w:rFonts w:ascii="Verdana" w:hAnsi="Verdana" w:cs="Segoe UI"/>
          <w:sz w:val="22"/>
          <w:szCs w:val="22"/>
        </w:rPr>
        <w:t xml:space="preserve">Impact of Duration of Inpatient Alcohol Detoxification on Abstinence Outcomes. </w:t>
      </w:r>
      <w:r w:rsidRPr="000F0BEC">
        <w:rPr>
          <w:rFonts w:ascii="Verdana" w:hAnsi="Verdana" w:cs="Segoe UI"/>
          <w:color w:val="auto"/>
          <w:sz w:val="22"/>
          <w:szCs w:val="22"/>
        </w:rPr>
        <w:t>Comparable to or better than published evidence, particularly for patients prescribed relapse</w:t>
      </w:r>
      <w:r w:rsidRPr="000F0BEC">
        <w:rPr>
          <w:rFonts w:ascii="Verdana" w:hAnsi="Verdana" w:cs="Segoe UI"/>
          <w:color w:val="auto"/>
          <w:sz w:val="22"/>
          <w:szCs w:val="22"/>
        </w:rPr>
        <w:noBreakHyphen/>
        <w:t xml:space="preserve">prevention medication such as disulfiram. However, shorter admissions were associated with poorer abstinence outcomes, and prescribing practices lacked cohesion.  </w:t>
      </w:r>
      <w:r w:rsidRPr="000F0BEC">
        <w:rPr>
          <w:rStyle w:val="Emphasis"/>
          <w:rFonts w:ascii="Verdana" w:hAnsi="Verdana" w:cs="Segoe UI"/>
          <w:color w:val="auto"/>
          <w:sz w:val="22"/>
          <w:szCs w:val="22"/>
        </w:rPr>
        <w:t>(Risk score 9)</w:t>
      </w:r>
      <w:r>
        <w:rPr>
          <w:rStyle w:val="Emphasis"/>
          <w:rFonts w:ascii="Verdana" w:hAnsi="Verdana" w:cs="Segoe UI"/>
          <w:color w:val="auto"/>
          <w:sz w:val="24"/>
          <w:szCs w:val="24"/>
        </w:rPr>
        <w:t xml:space="preserve"> </w:t>
      </w:r>
      <w:r w:rsidR="00DB5258">
        <w:rPr>
          <w:rStyle w:val="Emphasis"/>
          <w:rFonts w:ascii="Verdana" w:hAnsi="Verdana" w:cs="Segoe UI"/>
          <w:color w:val="auto"/>
          <w:sz w:val="24"/>
          <w:szCs w:val="24"/>
        </w:rPr>
        <w:t xml:space="preserve">                                                                                </w:t>
      </w:r>
      <w:r>
        <w:rPr>
          <w:rStyle w:val="Emphasis"/>
          <w:rFonts w:ascii="Verdana" w:hAnsi="Verdana" w:cs="Segoe UI"/>
          <w:color w:val="auto"/>
          <w:sz w:val="24"/>
          <w:szCs w:val="24"/>
        </w:rPr>
        <w:t xml:space="preserve"> </w:t>
      </w:r>
      <w:r w:rsidR="008739E1" w:rsidRPr="00651856">
        <w:rPr>
          <w:rFonts w:ascii="Verdana" w:hAnsi="Verdana"/>
          <w:b/>
          <w:bCs/>
          <w:sz w:val="22"/>
          <w:szCs w:val="22"/>
        </w:rPr>
        <w:t>Impact Level: Strong</w:t>
      </w:r>
      <w:r w:rsidR="008739E1" w:rsidRPr="00651856">
        <w:rPr>
          <w:rFonts w:ascii="Verdana" w:hAnsi="Verdana"/>
          <w:sz w:val="22"/>
          <w:szCs w:val="22"/>
        </w:rPr>
        <w:br/>
      </w:r>
      <w:r w:rsidR="008739E1" w:rsidRPr="00651856">
        <w:rPr>
          <w:rFonts w:ascii="Verdana" w:hAnsi="Verdana"/>
          <w:b/>
          <w:bCs/>
          <w:sz w:val="22"/>
          <w:szCs w:val="22"/>
        </w:rPr>
        <w:t>So What:</w:t>
      </w:r>
      <w:r w:rsidR="008739E1" w:rsidRPr="00651856">
        <w:rPr>
          <w:rFonts w:ascii="Verdana" w:hAnsi="Verdana"/>
          <w:sz w:val="22"/>
          <w:szCs w:val="22"/>
        </w:rPr>
        <w:t xml:space="preserve"> Identifies variation in treatment approach affecting patient outcomes, indicating need for more consistent prescribing and admission practices.</w:t>
      </w:r>
      <w:r w:rsidRPr="00651856">
        <w:rPr>
          <w:rStyle w:val="Emphasis"/>
          <w:rFonts w:ascii="Verdana" w:hAnsi="Verdana" w:cs="Segoe UI"/>
          <w:color w:val="auto"/>
          <w:sz w:val="22"/>
          <w:szCs w:val="22"/>
        </w:rPr>
        <w:t xml:space="preserve">                    </w:t>
      </w:r>
    </w:p>
    <w:p w14:paraId="6D3034ED" w14:textId="77777777" w:rsidR="00252277" w:rsidRPr="006F1D58" w:rsidRDefault="00252277" w:rsidP="00252277">
      <w:pPr>
        <w:pStyle w:val="Heading3"/>
        <w:spacing w:line="240" w:lineRule="auto"/>
        <w:rPr>
          <w:rFonts w:ascii="Verdana" w:hAnsi="Verdana" w:cs="Segoe UI"/>
          <w:b/>
          <w:bCs/>
          <w:sz w:val="24"/>
          <w:szCs w:val="24"/>
        </w:rPr>
      </w:pPr>
      <w:r w:rsidRPr="006F1D58">
        <w:rPr>
          <w:rFonts w:ascii="Verdana" w:hAnsi="Verdana" w:cs="Segoe UI"/>
          <w:b/>
          <w:bCs/>
          <w:sz w:val="24"/>
          <w:szCs w:val="24"/>
        </w:rPr>
        <w:t>Mental Health &amp; Learning Disabilities (Cross</w:t>
      </w:r>
      <w:r w:rsidRPr="006F1D58">
        <w:rPr>
          <w:rFonts w:ascii="Verdana" w:hAnsi="Verdana" w:cs="Segoe UI"/>
          <w:b/>
          <w:bCs/>
          <w:sz w:val="24"/>
          <w:szCs w:val="24"/>
        </w:rPr>
        <w:noBreakHyphen/>
        <w:t>Service)</w:t>
      </w:r>
    </w:p>
    <w:p w14:paraId="6D6B4CCD" w14:textId="1AC97210" w:rsidR="00252277" w:rsidRPr="000F0BEC" w:rsidRDefault="00252277" w:rsidP="00252277">
      <w:pPr>
        <w:pStyle w:val="NormalWeb"/>
        <w:rPr>
          <w:rStyle w:val="Emphasis"/>
          <w:rFonts w:ascii="Verdana" w:eastAsiaTheme="majorEastAsia" w:hAnsi="Verdana" w:cs="Segoe UI"/>
          <w:sz w:val="22"/>
          <w:szCs w:val="22"/>
        </w:rPr>
      </w:pPr>
      <w:r w:rsidRPr="000F0BEC">
        <w:rPr>
          <w:rFonts w:ascii="Verdana" w:hAnsi="Verdana" w:cs="Segoe UI"/>
          <w:color w:val="0F4761"/>
          <w:sz w:val="22"/>
          <w:szCs w:val="22"/>
        </w:rPr>
        <w:t>Risk Management.</w:t>
      </w:r>
      <w:r w:rsidRPr="000F0BEC">
        <w:rPr>
          <w:rFonts w:ascii="Verdana" w:hAnsi="Verdana" w:cs="Segoe UI"/>
          <w:sz w:val="22"/>
          <w:szCs w:val="22"/>
        </w:rPr>
        <w:t xml:space="preserve"> Audit Variation in risk</w:t>
      </w:r>
      <w:r w:rsidRPr="000F0BEC">
        <w:rPr>
          <w:rFonts w:ascii="Verdana" w:hAnsi="Verdana" w:cs="Segoe UI"/>
          <w:sz w:val="22"/>
          <w:szCs w:val="22"/>
        </w:rPr>
        <w:noBreakHyphen/>
        <w:t>assessment tools, limited understanding of risk formulation and co</w:t>
      </w:r>
      <w:r w:rsidRPr="000F0BEC">
        <w:rPr>
          <w:rFonts w:ascii="Verdana" w:hAnsi="Verdana" w:cs="Segoe UI"/>
          <w:sz w:val="22"/>
          <w:szCs w:val="22"/>
        </w:rPr>
        <w:noBreakHyphen/>
        <w:t xml:space="preserve">production, and continued use of outdated documentation. Findings informed a refresh of the Safety Framework Policy and targeted in reach support to improve the translation of training into practice.  </w:t>
      </w:r>
      <w:r w:rsidRPr="000F0BEC">
        <w:rPr>
          <w:rStyle w:val="Emphasis"/>
          <w:rFonts w:ascii="Verdana" w:eastAsiaTheme="majorEastAsia" w:hAnsi="Verdana" w:cs="Segoe UI"/>
          <w:sz w:val="22"/>
          <w:szCs w:val="22"/>
        </w:rPr>
        <w:t>(Risk score 16)</w:t>
      </w:r>
      <w:r w:rsidR="008739E1" w:rsidRPr="000F0BEC">
        <w:rPr>
          <w:rStyle w:val="Emphasis"/>
          <w:rFonts w:ascii="Verdana" w:eastAsiaTheme="majorEastAsia" w:hAnsi="Verdana" w:cs="Segoe UI"/>
          <w:sz w:val="22"/>
          <w:szCs w:val="22"/>
        </w:rPr>
        <w:t xml:space="preserve">  </w:t>
      </w:r>
      <w:r w:rsidR="00C5571F" w:rsidRPr="000F0BEC">
        <w:rPr>
          <w:rStyle w:val="Emphasis"/>
          <w:rFonts w:ascii="Verdana" w:eastAsiaTheme="majorEastAsia" w:hAnsi="Verdana" w:cs="Segoe UI"/>
          <w:sz w:val="22"/>
          <w:szCs w:val="22"/>
        </w:rPr>
        <w:t xml:space="preserve">                                           </w:t>
      </w:r>
      <w:r w:rsidR="00DB5258">
        <w:rPr>
          <w:rStyle w:val="Emphasis"/>
          <w:rFonts w:ascii="Verdana" w:eastAsiaTheme="majorEastAsia" w:hAnsi="Verdana" w:cs="Segoe UI"/>
          <w:sz w:val="22"/>
          <w:szCs w:val="22"/>
        </w:rPr>
        <w:t xml:space="preserve">                                                    </w:t>
      </w:r>
      <w:r w:rsidR="008739E1" w:rsidRPr="000F0BEC">
        <w:rPr>
          <w:rFonts w:ascii="Verdana" w:hAnsi="Verdana"/>
          <w:b/>
          <w:bCs/>
          <w:color w:val="0F4761" w:themeColor="accent1" w:themeShade="BF"/>
          <w:sz w:val="22"/>
          <w:szCs w:val="22"/>
        </w:rPr>
        <w:t>Impact Level: Strong</w:t>
      </w:r>
      <w:r w:rsidR="008739E1" w:rsidRPr="000F0BEC">
        <w:rPr>
          <w:rFonts w:ascii="Verdana" w:hAnsi="Verdana"/>
          <w:color w:val="0F4761" w:themeColor="accent1" w:themeShade="BF"/>
          <w:sz w:val="22"/>
          <w:szCs w:val="22"/>
        </w:rPr>
        <w:br/>
      </w:r>
      <w:r w:rsidR="008739E1" w:rsidRPr="000F0BEC">
        <w:rPr>
          <w:rFonts w:ascii="Verdana" w:hAnsi="Verdana"/>
          <w:b/>
          <w:bCs/>
          <w:color w:val="0F4761" w:themeColor="accent1" w:themeShade="BF"/>
          <w:sz w:val="22"/>
          <w:szCs w:val="22"/>
        </w:rPr>
        <w:t>So What:</w:t>
      </w:r>
      <w:r w:rsidR="008739E1" w:rsidRPr="000F0BEC">
        <w:rPr>
          <w:rFonts w:ascii="Verdana" w:hAnsi="Verdana"/>
          <w:color w:val="0F4761" w:themeColor="accent1" w:themeShade="BF"/>
          <w:sz w:val="22"/>
          <w:szCs w:val="22"/>
        </w:rPr>
        <w:t xml:space="preserve"> Demonstrates systemic weaknesses in risk assessment practice requiring organisational improvement and standardisation.</w:t>
      </w:r>
    </w:p>
    <w:p w14:paraId="486E331B" w14:textId="77777777" w:rsidR="00252277" w:rsidRPr="0063193C" w:rsidRDefault="00252277" w:rsidP="00252277">
      <w:pPr>
        <w:pStyle w:val="NormalWeb"/>
        <w:rPr>
          <w:rFonts w:ascii="Verdana" w:hAnsi="Verdana" w:cs="Segoe UI"/>
          <w:b/>
          <w:bCs/>
          <w:color w:val="0F4761"/>
        </w:rPr>
      </w:pPr>
      <w:r w:rsidRPr="0063193C">
        <w:rPr>
          <w:rFonts w:ascii="Verdana" w:hAnsi="Verdana" w:cs="Segoe UI"/>
          <w:b/>
          <w:bCs/>
          <w:color w:val="0F4761"/>
        </w:rPr>
        <w:t>Older People’s Mental Health Services (OPMHS)</w:t>
      </w:r>
    </w:p>
    <w:p w14:paraId="46AB7C88" w14:textId="11C26489" w:rsidR="00252277" w:rsidRPr="00651856" w:rsidRDefault="00252277" w:rsidP="00252277">
      <w:pPr>
        <w:pStyle w:val="NormalWeb"/>
        <w:rPr>
          <w:rStyle w:val="Emphasis"/>
          <w:rFonts w:ascii="Verdana" w:eastAsiaTheme="majorEastAsia" w:hAnsi="Verdana" w:cs="Segoe UI"/>
          <w:sz w:val="22"/>
          <w:szCs w:val="22"/>
        </w:rPr>
      </w:pPr>
      <w:r w:rsidRPr="000F0BEC">
        <w:rPr>
          <w:rFonts w:ascii="Verdana" w:hAnsi="Verdana" w:cs="Segoe UI"/>
          <w:color w:val="0F4761"/>
          <w:sz w:val="22"/>
          <w:szCs w:val="22"/>
        </w:rPr>
        <w:t>Treatment of Urinary Tract Infection in Older Adult Mental Health Wards.</w:t>
      </w:r>
      <w:r w:rsidRPr="000F0BEC">
        <w:rPr>
          <w:rFonts w:ascii="Verdana" w:hAnsi="Verdana" w:cs="Segoe UI"/>
          <w:sz w:val="22"/>
          <w:szCs w:val="22"/>
        </w:rPr>
        <w:t xml:space="preserve"> The audit resulted in the removal of urine dipsticks from wards and staff training to </w:t>
      </w:r>
      <w:r w:rsidRPr="000F0BEC">
        <w:rPr>
          <w:rFonts w:ascii="Verdana" w:hAnsi="Verdana" w:cs="Segoe UI"/>
          <w:sz w:val="22"/>
          <w:szCs w:val="22"/>
        </w:rPr>
        <w:lastRenderedPageBreak/>
        <w:t>align practice with best</w:t>
      </w:r>
      <w:r w:rsidRPr="000F0BEC">
        <w:rPr>
          <w:rFonts w:ascii="Verdana" w:hAnsi="Verdana" w:cs="Segoe UI"/>
          <w:sz w:val="22"/>
          <w:szCs w:val="22"/>
        </w:rPr>
        <w:noBreakHyphen/>
        <w:t xml:space="preserve">practice guidance. However, the absence of a Standard Operating Procedure continues to limit consistent antibiotic prescribing across wards.  </w:t>
      </w:r>
      <w:r w:rsidRPr="000F0BEC">
        <w:rPr>
          <w:rStyle w:val="Emphasis"/>
          <w:rFonts w:ascii="Verdana" w:eastAsiaTheme="majorEastAsia" w:hAnsi="Verdana" w:cs="Segoe UI"/>
          <w:sz w:val="22"/>
          <w:szCs w:val="22"/>
        </w:rPr>
        <w:t>(Risk score 6)</w:t>
      </w:r>
      <w:r w:rsidR="008739E1">
        <w:rPr>
          <w:rStyle w:val="Emphasis"/>
          <w:rFonts w:ascii="Verdana" w:eastAsiaTheme="majorEastAsia" w:hAnsi="Verdana" w:cs="Segoe UI"/>
        </w:rPr>
        <w:t xml:space="preserve">  </w:t>
      </w:r>
      <w:r w:rsidR="00C5571F">
        <w:rPr>
          <w:rStyle w:val="Emphasis"/>
          <w:rFonts w:ascii="Verdana" w:eastAsiaTheme="majorEastAsia" w:hAnsi="Verdana" w:cs="Segoe UI"/>
        </w:rPr>
        <w:t xml:space="preserve">                                                 </w:t>
      </w:r>
      <w:r w:rsidR="000F0BEC">
        <w:rPr>
          <w:rStyle w:val="Emphasis"/>
          <w:rFonts w:ascii="Verdana" w:eastAsiaTheme="majorEastAsia" w:hAnsi="Verdana" w:cs="Segoe UI"/>
        </w:rPr>
        <w:t xml:space="preserve">                                       </w:t>
      </w:r>
      <w:r w:rsidR="008739E1" w:rsidRPr="00651856">
        <w:rPr>
          <w:rFonts w:ascii="Verdana" w:hAnsi="Verdana"/>
          <w:b/>
          <w:bCs/>
          <w:color w:val="0F4761" w:themeColor="accent1" w:themeShade="BF"/>
          <w:sz w:val="22"/>
          <w:szCs w:val="22"/>
        </w:rPr>
        <w:t xml:space="preserve">Impact Level: Medium  </w:t>
      </w:r>
      <w:r w:rsidR="00C5571F" w:rsidRPr="00651856">
        <w:rPr>
          <w:rFonts w:ascii="Verdana" w:hAnsi="Verdana"/>
          <w:b/>
          <w:bCs/>
          <w:color w:val="0F4761" w:themeColor="accent1" w:themeShade="BF"/>
          <w:sz w:val="22"/>
          <w:szCs w:val="22"/>
        </w:rPr>
        <w:t xml:space="preserve">                                                                                                                      </w:t>
      </w:r>
      <w:r w:rsidR="008739E1" w:rsidRPr="00651856">
        <w:rPr>
          <w:rFonts w:ascii="Verdana" w:hAnsi="Verdana"/>
          <w:b/>
          <w:bCs/>
          <w:color w:val="0F4761" w:themeColor="accent1" w:themeShade="BF"/>
          <w:sz w:val="22"/>
          <w:szCs w:val="22"/>
        </w:rPr>
        <w:t>So What:</w:t>
      </w:r>
      <w:r w:rsidR="008739E1" w:rsidRPr="00651856">
        <w:rPr>
          <w:rFonts w:ascii="Verdana" w:hAnsi="Verdana"/>
          <w:color w:val="0F4761" w:themeColor="accent1" w:themeShade="BF"/>
          <w:sz w:val="22"/>
          <w:szCs w:val="22"/>
        </w:rPr>
        <w:t xml:space="preserve"> Highlights inconsistency in antibiotic prescribing due to lack of standardisation.</w:t>
      </w:r>
    </w:p>
    <w:p w14:paraId="3BD5528F" w14:textId="08857E94" w:rsidR="00252277" w:rsidRPr="00651856" w:rsidRDefault="00252277" w:rsidP="00252277">
      <w:pPr>
        <w:pStyle w:val="NormalWeb"/>
        <w:rPr>
          <w:rStyle w:val="Emphasis"/>
          <w:rFonts w:ascii="Verdana" w:eastAsiaTheme="majorEastAsia" w:hAnsi="Verdana" w:cs="Segoe UI"/>
          <w:sz w:val="22"/>
          <w:szCs w:val="22"/>
        </w:rPr>
      </w:pPr>
      <w:r w:rsidRPr="0063193C">
        <w:rPr>
          <w:rFonts w:ascii="Verdana" w:hAnsi="Verdana" w:cs="Segoe UI"/>
          <w:color w:val="0F4761"/>
        </w:rPr>
        <w:t>Antipsychotic Monitoring in Patients with Dementia</w:t>
      </w:r>
      <w:r>
        <w:rPr>
          <w:rFonts w:ascii="Verdana" w:hAnsi="Verdana" w:cs="Segoe UI"/>
        </w:rPr>
        <w:t>.</w:t>
      </w:r>
      <w:r w:rsidRPr="0063193C">
        <w:rPr>
          <w:rFonts w:ascii="Verdana" w:hAnsi="Verdana" w:cs="Segoe UI"/>
        </w:rPr>
        <w:t xml:space="preserve"> </w:t>
      </w:r>
      <w:r w:rsidRPr="00211151">
        <w:rPr>
          <w:rFonts w:ascii="Verdana" w:hAnsi="Verdana" w:cs="Segoe UI"/>
        </w:rPr>
        <w:t xml:space="preserve">Good documentation of clinical indication and regular review of antipsychotics, but poor use of monitoring and recommendation forms, limited discontinuation planning, and inconsistent monitoring of key side effects such as parkinsonism and bowel function.  </w:t>
      </w:r>
      <w:r w:rsidRPr="00211151">
        <w:rPr>
          <w:rStyle w:val="Emphasis"/>
          <w:rFonts w:ascii="Verdana" w:eastAsiaTheme="majorEastAsia" w:hAnsi="Verdana" w:cs="Segoe UI"/>
        </w:rPr>
        <w:t>(Risk score 9)</w:t>
      </w:r>
      <w:r w:rsidR="008739E1">
        <w:rPr>
          <w:rStyle w:val="Emphasis"/>
          <w:rFonts w:ascii="Verdana" w:eastAsiaTheme="majorEastAsia" w:hAnsi="Verdana" w:cs="Segoe UI"/>
        </w:rPr>
        <w:t xml:space="preserve">  </w:t>
      </w:r>
      <w:r w:rsidR="00C5571F">
        <w:rPr>
          <w:rStyle w:val="Emphasis"/>
          <w:rFonts w:ascii="Verdana" w:eastAsiaTheme="majorEastAsia" w:hAnsi="Verdana" w:cs="Segoe UI"/>
        </w:rPr>
        <w:t xml:space="preserve">                                                               </w:t>
      </w:r>
      <w:r w:rsidR="008739E1" w:rsidRPr="00651856">
        <w:rPr>
          <w:rFonts w:ascii="Verdana" w:hAnsi="Verdana"/>
          <w:b/>
          <w:bCs/>
          <w:color w:val="0F4761" w:themeColor="accent1" w:themeShade="BF"/>
          <w:sz w:val="22"/>
          <w:szCs w:val="22"/>
        </w:rPr>
        <w:t>Impact Level: Medium</w:t>
      </w:r>
      <w:r w:rsidR="008739E1" w:rsidRPr="00651856">
        <w:rPr>
          <w:rFonts w:ascii="Verdana" w:hAnsi="Verdana"/>
          <w:color w:val="0F4761" w:themeColor="accent1" w:themeShade="BF"/>
          <w:sz w:val="22"/>
          <w:szCs w:val="22"/>
        </w:rPr>
        <w:br/>
      </w:r>
      <w:r w:rsidR="008739E1" w:rsidRPr="00651856">
        <w:rPr>
          <w:rFonts w:ascii="Verdana" w:hAnsi="Verdana"/>
          <w:b/>
          <w:bCs/>
          <w:color w:val="0F4761" w:themeColor="accent1" w:themeShade="BF"/>
          <w:sz w:val="22"/>
          <w:szCs w:val="22"/>
        </w:rPr>
        <w:t>So What:</w:t>
      </w:r>
      <w:r w:rsidR="008739E1" w:rsidRPr="00651856">
        <w:rPr>
          <w:rFonts w:ascii="Verdana" w:hAnsi="Verdana"/>
          <w:color w:val="0F4761" w:themeColor="accent1" w:themeShade="BF"/>
          <w:sz w:val="22"/>
          <w:szCs w:val="22"/>
        </w:rPr>
        <w:t xml:space="preserve"> Identifies gaps in monitoring that may impact patient safety if not addressed.</w:t>
      </w:r>
    </w:p>
    <w:p w14:paraId="01CD1A09" w14:textId="77777777" w:rsidR="00252277" w:rsidRPr="0063193C" w:rsidRDefault="00252277" w:rsidP="00252277">
      <w:pPr>
        <w:pStyle w:val="NormalWeb"/>
        <w:rPr>
          <w:rFonts w:ascii="Verdana" w:hAnsi="Verdana" w:cs="Segoe UI"/>
          <w:b/>
          <w:bCs/>
          <w:color w:val="0F4761"/>
        </w:rPr>
      </w:pPr>
      <w:r w:rsidRPr="0063193C">
        <w:rPr>
          <w:rFonts w:ascii="Verdana" w:hAnsi="Verdana" w:cs="Segoe UI"/>
          <w:b/>
          <w:bCs/>
          <w:color w:val="0F4761"/>
        </w:rPr>
        <w:t>Perinatal Mental Health</w:t>
      </w:r>
    </w:p>
    <w:p w14:paraId="346C75D4" w14:textId="5A33B507" w:rsidR="00252277" w:rsidRPr="00651856" w:rsidRDefault="00252277" w:rsidP="00252277">
      <w:pPr>
        <w:pStyle w:val="NormalWeb"/>
        <w:rPr>
          <w:rStyle w:val="Emphasis"/>
          <w:rFonts w:ascii="Verdana" w:eastAsiaTheme="majorEastAsia" w:hAnsi="Verdana" w:cs="Segoe UI"/>
          <w:color w:val="0F4761" w:themeColor="accent1" w:themeShade="BF"/>
          <w:sz w:val="22"/>
          <w:szCs w:val="22"/>
        </w:rPr>
      </w:pPr>
      <w:r w:rsidRPr="00F907D2">
        <w:rPr>
          <w:rFonts w:ascii="Verdana" w:hAnsi="Verdana" w:cs="Segoe UI"/>
          <w:color w:val="0F4761"/>
        </w:rPr>
        <w:t>Physica</w:t>
      </w:r>
      <w:r w:rsidRPr="0063193C">
        <w:rPr>
          <w:rFonts w:ascii="Verdana" w:hAnsi="Verdana" w:cs="Segoe UI"/>
          <w:color w:val="0F4761"/>
        </w:rPr>
        <w:t>l</w:t>
      </w:r>
      <w:r w:rsidRPr="0063193C">
        <w:rPr>
          <w:rFonts w:ascii="Verdana" w:hAnsi="Verdana" w:cs="Segoe UI"/>
          <w:color w:val="0F4761"/>
        </w:rPr>
        <w:noBreakHyphen/>
        <w:t>Health Monitoring for Patients Prescribed Antipsychotic</w:t>
      </w:r>
      <w:r>
        <w:rPr>
          <w:rFonts w:ascii="Verdana" w:hAnsi="Verdana" w:cs="Segoe UI"/>
          <w:color w:val="0F4761"/>
        </w:rPr>
        <w:t>s.</w:t>
      </w:r>
      <w:r>
        <w:rPr>
          <w:rFonts w:ascii="Verdana" w:hAnsi="Verdana" w:cs="Segoe UI"/>
        </w:rPr>
        <w:t xml:space="preserve"> </w:t>
      </w:r>
      <w:r w:rsidRPr="00211151">
        <w:rPr>
          <w:rFonts w:ascii="Verdana" w:hAnsi="Verdana" w:cs="Segoe UI"/>
        </w:rPr>
        <w:t>Appropriate baseline testing when antipsychotics were initiated, with some evidence of six</w:t>
      </w:r>
      <w:r w:rsidRPr="00211151">
        <w:rPr>
          <w:rFonts w:ascii="Verdana" w:hAnsi="Verdana" w:cs="Segoe UI"/>
        </w:rPr>
        <w:noBreakHyphen/>
        <w:t>monthly and annual follow</w:t>
      </w:r>
      <w:r w:rsidRPr="00211151">
        <w:rPr>
          <w:rFonts w:ascii="Verdana" w:hAnsi="Verdana" w:cs="Segoe UI"/>
        </w:rPr>
        <w:noBreakHyphen/>
        <w:t xml:space="preserve">up. However, annual monitoring remained inconsistent, and further consideration of guideline applicability to the perinatal period was required.  </w:t>
      </w:r>
      <w:r w:rsidRPr="00211151">
        <w:rPr>
          <w:rStyle w:val="Emphasis"/>
          <w:rFonts w:ascii="Verdana" w:eastAsiaTheme="majorEastAsia" w:hAnsi="Verdana" w:cs="Segoe UI"/>
        </w:rPr>
        <w:t>(Risk score 6)</w:t>
      </w:r>
      <w:r>
        <w:rPr>
          <w:rStyle w:val="Emphasis"/>
          <w:rFonts w:ascii="Verdana" w:eastAsiaTheme="majorEastAsia" w:hAnsi="Verdana" w:cs="Segoe UI"/>
        </w:rPr>
        <w:t xml:space="preserve">  </w:t>
      </w:r>
      <w:r w:rsidR="00C5571F">
        <w:rPr>
          <w:rStyle w:val="Emphasis"/>
          <w:rFonts w:ascii="Verdana" w:eastAsiaTheme="majorEastAsia" w:hAnsi="Verdana" w:cs="Segoe UI"/>
        </w:rPr>
        <w:t xml:space="preserve">                             </w:t>
      </w:r>
      <w:r w:rsidR="008739E1" w:rsidRPr="00651856">
        <w:rPr>
          <w:rFonts w:ascii="Verdana" w:hAnsi="Verdana"/>
          <w:b/>
          <w:bCs/>
          <w:color w:val="0F4761" w:themeColor="accent1" w:themeShade="BF"/>
          <w:sz w:val="22"/>
          <w:szCs w:val="22"/>
        </w:rPr>
        <w:t>Impact Level: Medium</w:t>
      </w:r>
      <w:r w:rsidRPr="00651856">
        <w:rPr>
          <w:rStyle w:val="Emphasis"/>
          <w:rFonts w:ascii="Verdana" w:eastAsiaTheme="majorEastAsia" w:hAnsi="Verdana" w:cs="Segoe UI"/>
          <w:color w:val="0F4761" w:themeColor="accent1" w:themeShade="BF"/>
          <w:sz w:val="22"/>
          <w:szCs w:val="22"/>
        </w:rPr>
        <w:t xml:space="preserve">          </w:t>
      </w:r>
    </w:p>
    <w:p w14:paraId="3FF12673" w14:textId="78E13BDD" w:rsidR="00252277" w:rsidRPr="00651856" w:rsidRDefault="00252277" w:rsidP="00252277">
      <w:pPr>
        <w:pStyle w:val="NormalWeb"/>
        <w:rPr>
          <w:rStyle w:val="Emphasis"/>
          <w:rFonts w:ascii="Verdana" w:eastAsiaTheme="majorEastAsia" w:hAnsi="Verdana" w:cs="Segoe UI"/>
          <w:color w:val="0F4761" w:themeColor="accent1" w:themeShade="BF"/>
          <w:sz w:val="22"/>
          <w:szCs w:val="22"/>
        </w:rPr>
      </w:pPr>
      <w:r w:rsidRPr="00F907D2">
        <w:rPr>
          <w:rFonts w:ascii="Verdana" w:hAnsi="Verdana" w:cs="Segoe UI"/>
          <w:color w:val="0F4761"/>
        </w:rPr>
        <w:t xml:space="preserve">Adherence to College Centre for Quality Improvement (CCQI) Core Standards for Prescribed Medication (Mother and Baby Unit) </w:t>
      </w:r>
      <w:r w:rsidRPr="00211151">
        <w:rPr>
          <w:rFonts w:ascii="Verdana" w:hAnsi="Verdana" w:cs="Segoe UI"/>
        </w:rPr>
        <w:t>Therapeutic response was generally well addressed in weekly reviews; however, overall compliance with standards was below expectations, particularly in relation to side</w:t>
      </w:r>
      <w:r w:rsidRPr="00211151">
        <w:rPr>
          <w:rFonts w:ascii="Verdana" w:hAnsi="Verdana" w:cs="Segoe UI"/>
        </w:rPr>
        <w:noBreakHyphen/>
        <w:t xml:space="preserve">effect documentation.  </w:t>
      </w:r>
      <w:r w:rsidRPr="00211151">
        <w:rPr>
          <w:rStyle w:val="Emphasis"/>
          <w:rFonts w:ascii="Verdana" w:eastAsiaTheme="majorEastAsia" w:hAnsi="Verdana" w:cs="Segoe UI"/>
        </w:rPr>
        <w:t>(Risk score 6)</w:t>
      </w:r>
      <w:r w:rsidR="008739E1">
        <w:rPr>
          <w:rStyle w:val="Emphasis"/>
          <w:rFonts w:ascii="Verdana" w:eastAsiaTheme="majorEastAsia" w:hAnsi="Verdana" w:cs="Segoe UI"/>
        </w:rPr>
        <w:t xml:space="preserve">  </w:t>
      </w:r>
      <w:r w:rsidR="00C5571F">
        <w:rPr>
          <w:rStyle w:val="Emphasis"/>
          <w:rFonts w:ascii="Verdana" w:eastAsiaTheme="majorEastAsia" w:hAnsi="Verdana" w:cs="Segoe UI"/>
        </w:rPr>
        <w:t xml:space="preserve">                                     </w:t>
      </w:r>
      <w:r w:rsidR="008739E1" w:rsidRPr="00651856">
        <w:rPr>
          <w:rFonts w:ascii="Verdana" w:hAnsi="Verdana"/>
          <w:b/>
          <w:bCs/>
          <w:color w:val="0F4761" w:themeColor="accent1" w:themeShade="BF"/>
          <w:sz w:val="22"/>
          <w:szCs w:val="22"/>
        </w:rPr>
        <w:t>Impact Level: Medium</w:t>
      </w:r>
      <w:r w:rsidR="008739E1" w:rsidRPr="00651856">
        <w:rPr>
          <w:rFonts w:ascii="Verdana" w:hAnsi="Verdana"/>
          <w:color w:val="0F4761" w:themeColor="accent1" w:themeShade="BF"/>
          <w:sz w:val="22"/>
          <w:szCs w:val="22"/>
        </w:rPr>
        <w:br/>
      </w:r>
      <w:r w:rsidR="008739E1" w:rsidRPr="00651856">
        <w:rPr>
          <w:rFonts w:ascii="Verdana" w:hAnsi="Verdana"/>
          <w:b/>
          <w:bCs/>
          <w:color w:val="0F4761" w:themeColor="accent1" w:themeShade="BF"/>
          <w:sz w:val="22"/>
          <w:szCs w:val="22"/>
        </w:rPr>
        <w:t>So What:</w:t>
      </w:r>
      <w:r w:rsidR="008739E1" w:rsidRPr="00651856">
        <w:rPr>
          <w:rFonts w:ascii="Verdana" w:hAnsi="Verdana"/>
          <w:color w:val="0F4761" w:themeColor="accent1" w:themeShade="BF"/>
          <w:sz w:val="22"/>
          <w:szCs w:val="22"/>
        </w:rPr>
        <w:t xml:space="preserve"> Indicates suboptimal compliance with national standards requiring targeted improvement.</w:t>
      </w:r>
    </w:p>
    <w:p w14:paraId="215CF1DB" w14:textId="77777777" w:rsidR="00252277" w:rsidRPr="00933236" w:rsidRDefault="00252277" w:rsidP="00252277">
      <w:pPr>
        <w:pStyle w:val="NormalWeb"/>
        <w:rPr>
          <w:rFonts w:ascii="Verdana" w:hAnsi="Verdana" w:cs="Segoe UI"/>
          <w:b/>
          <w:bCs/>
          <w:color w:val="0F4761"/>
        </w:rPr>
      </w:pPr>
      <w:r w:rsidRPr="00933236">
        <w:rPr>
          <w:rFonts w:ascii="Verdana" w:hAnsi="Verdana" w:cs="Segoe UI"/>
          <w:b/>
          <w:bCs/>
          <w:color w:val="0F4761"/>
        </w:rPr>
        <w:t>Adult Mental Health</w:t>
      </w:r>
    </w:p>
    <w:p w14:paraId="05B71D81" w14:textId="5B68316C" w:rsidR="00252277" w:rsidRPr="00651856" w:rsidRDefault="00252277" w:rsidP="00252277">
      <w:pPr>
        <w:pStyle w:val="NormalWeb"/>
        <w:rPr>
          <w:rStyle w:val="Emphasis"/>
          <w:rFonts w:ascii="Verdana" w:eastAsiaTheme="majorEastAsia" w:hAnsi="Verdana" w:cs="Segoe UI"/>
          <w:color w:val="0F4761" w:themeColor="accent1" w:themeShade="BF"/>
          <w:sz w:val="22"/>
          <w:szCs w:val="22"/>
        </w:rPr>
      </w:pPr>
      <w:r w:rsidRPr="00051CEF">
        <w:rPr>
          <w:rFonts w:ascii="Verdana" w:hAnsi="Verdana" w:cs="Segoe UI"/>
          <w:color w:val="0F4761"/>
        </w:rPr>
        <w:t>Review of Prescribing of Antipsychotics in Tonna Community Mental Health Team</w:t>
      </w:r>
      <w:r>
        <w:rPr>
          <w:rFonts w:ascii="Verdana" w:hAnsi="Verdana" w:cs="Segoe UI"/>
        </w:rPr>
        <w:t>.</w:t>
      </w:r>
      <w:r w:rsidRPr="00051CEF">
        <w:rPr>
          <w:rFonts w:ascii="Verdana" w:hAnsi="Verdana" w:cs="Segoe UI"/>
        </w:rPr>
        <w:t xml:space="preserve"> </w:t>
      </w:r>
      <w:r w:rsidRPr="00211151">
        <w:rPr>
          <w:rFonts w:ascii="Verdana" w:hAnsi="Verdana" w:cs="Segoe UI"/>
        </w:rPr>
        <w:t xml:space="preserve">The audit identified no risks or concerns associated with current prescribing practice, providing full assurance for this service area.  </w:t>
      </w:r>
      <w:r w:rsidRPr="00211151">
        <w:rPr>
          <w:rStyle w:val="Emphasis"/>
          <w:rFonts w:ascii="Verdana" w:eastAsiaTheme="majorEastAsia" w:hAnsi="Verdana" w:cs="Segoe UI"/>
        </w:rPr>
        <w:t>(Risk score</w:t>
      </w:r>
      <w:r w:rsidR="00651856">
        <w:rPr>
          <w:rStyle w:val="Emphasis"/>
          <w:rFonts w:ascii="Verdana" w:eastAsiaTheme="majorEastAsia" w:hAnsi="Verdana" w:cs="Segoe UI"/>
        </w:rPr>
        <w:t xml:space="preserve"> not provided</w:t>
      </w:r>
      <w:r w:rsidRPr="00211151">
        <w:rPr>
          <w:rStyle w:val="Emphasis"/>
          <w:rFonts w:ascii="Verdana" w:eastAsiaTheme="majorEastAsia" w:hAnsi="Verdana" w:cs="Segoe UI"/>
        </w:rPr>
        <w:t>)</w:t>
      </w:r>
      <w:r w:rsidR="00C5571F">
        <w:rPr>
          <w:rStyle w:val="Emphasis"/>
          <w:rFonts w:ascii="Verdana" w:eastAsiaTheme="majorEastAsia" w:hAnsi="Verdana" w:cs="Segoe UI"/>
        </w:rPr>
        <w:t xml:space="preserve">                                                                                  </w:t>
      </w:r>
      <w:r w:rsidR="008739E1" w:rsidRPr="00651856">
        <w:rPr>
          <w:rFonts w:ascii="Verdana" w:hAnsi="Verdana"/>
          <w:b/>
          <w:bCs/>
          <w:color w:val="0F4761" w:themeColor="accent1" w:themeShade="BF"/>
          <w:sz w:val="22"/>
          <w:szCs w:val="22"/>
        </w:rPr>
        <w:t>Impact Level: Assurance</w:t>
      </w:r>
    </w:p>
    <w:p w14:paraId="5CF38127" w14:textId="56B14B36" w:rsidR="00252277" w:rsidRPr="00651856" w:rsidRDefault="00252277" w:rsidP="00252277">
      <w:pPr>
        <w:pStyle w:val="NormalWeb"/>
        <w:rPr>
          <w:rFonts w:ascii="Verdana" w:hAnsi="Verdana" w:cs="Segoe UI"/>
          <w:i/>
          <w:iCs/>
          <w:color w:val="0F4761" w:themeColor="accent1" w:themeShade="BF"/>
          <w:sz w:val="22"/>
          <w:szCs w:val="22"/>
        </w:rPr>
      </w:pPr>
      <w:r w:rsidRPr="00051CEF">
        <w:rPr>
          <w:rFonts w:ascii="Verdana" w:hAnsi="Verdana" w:cs="Segoe UI"/>
          <w:color w:val="0F4761"/>
        </w:rPr>
        <w:t>Adherence to High</w:t>
      </w:r>
      <w:r w:rsidRPr="00051CEF">
        <w:rPr>
          <w:rFonts w:ascii="Verdana" w:hAnsi="Verdana" w:cs="Segoe UI"/>
          <w:color w:val="0F4761"/>
        </w:rPr>
        <w:noBreakHyphen/>
        <w:t>Dose Antipsychotic Protocols in Community Mental Health Team</w:t>
      </w:r>
      <w:r>
        <w:rPr>
          <w:rFonts w:ascii="Verdana" w:hAnsi="Verdana" w:cs="Segoe UI"/>
        </w:rPr>
        <w:t>.</w:t>
      </w:r>
      <w:r w:rsidRPr="00051CEF">
        <w:rPr>
          <w:rFonts w:ascii="Verdana" w:hAnsi="Verdana" w:cs="Segoe UI"/>
        </w:rPr>
        <w:t xml:space="preserve"> </w:t>
      </w:r>
      <w:r w:rsidRPr="00211151">
        <w:rPr>
          <w:rFonts w:ascii="Verdana" w:hAnsi="Verdana" w:cs="Segoe UI"/>
        </w:rPr>
        <w:t xml:space="preserve">Full compliance with echocardiogram monitoring, blood tests, documentation, interaction checks, and clinical reviews, reflecting strong multidisciplinary team working and improved patient safety. Some gaps remain in formal initiation, capacity assessment, and patient information processes. </w:t>
      </w:r>
      <w:r w:rsidRPr="00211151">
        <w:rPr>
          <w:rFonts w:ascii="Verdana" w:hAnsi="Verdana" w:cs="Segoe UI"/>
          <w:i/>
          <w:iCs/>
        </w:rPr>
        <w:t>(Risk score 6)</w:t>
      </w:r>
      <w:r w:rsidR="008739E1">
        <w:rPr>
          <w:rFonts w:ascii="Verdana" w:hAnsi="Verdana" w:cs="Segoe UI"/>
          <w:i/>
          <w:iCs/>
        </w:rPr>
        <w:t xml:space="preserve">  </w:t>
      </w:r>
      <w:r w:rsidR="00C5571F">
        <w:rPr>
          <w:rFonts w:ascii="Verdana" w:hAnsi="Verdana" w:cs="Segoe UI"/>
          <w:i/>
          <w:iCs/>
        </w:rPr>
        <w:t xml:space="preserve">                                                              </w:t>
      </w:r>
      <w:r w:rsidR="008739E1" w:rsidRPr="00651856">
        <w:rPr>
          <w:rFonts w:ascii="Verdana" w:hAnsi="Verdana"/>
          <w:b/>
          <w:bCs/>
          <w:color w:val="0F4761" w:themeColor="accent1" w:themeShade="BF"/>
          <w:sz w:val="22"/>
          <w:szCs w:val="22"/>
        </w:rPr>
        <w:t>Impact Level: Medium</w:t>
      </w:r>
    </w:p>
    <w:p w14:paraId="04AEA437" w14:textId="77777777" w:rsidR="00252277" w:rsidRPr="00933236" w:rsidRDefault="00252277" w:rsidP="00252277">
      <w:pPr>
        <w:pStyle w:val="NormalWeb"/>
        <w:rPr>
          <w:rFonts w:ascii="Verdana" w:hAnsi="Verdana" w:cs="Segoe UI"/>
          <w:b/>
          <w:bCs/>
          <w:color w:val="0F4761"/>
        </w:rPr>
      </w:pPr>
      <w:r w:rsidRPr="00933236">
        <w:rPr>
          <w:rFonts w:ascii="Verdana" w:hAnsi="Verdana" w:cs="Segoe UI"/>
          <w:b/>
          <w:bCs/>
          <w:color w:val="0F4761"/>
        </w:rPr>
        <w:lastRenderedPageBreak/>
        <w:t>Psychiatry/Learning Disabilities</w:t>
      </w:r>
    </w:p>
    <w:p w14:paraId="3ADE8CCD" w14:textId="594E114C" w:rsidR="00252277" w:rsidRPr="00651856" w:rsidRDefault="00252277" w:rsidP="00252277">
      <w:pPr>
        <w:pStyle w:val="NormalWeb"/>
        <w:rPr>
          <w:rFonts w:ascii="Verdana" w:hAnsi="Verdana" w:cs="Segoe UI"/>
          <w:b/>
          <w:bCs/>
          <w:color w:val="0F4761" w:themeColor="accent1" w:themeShade="BF"/>
          <w:sz w:val="22"/>
          <w:szCs w:val="22"/>
        </w:rPr>
      </w:pPr>
      <w:r w:rsidRPr="00051CEF">
        <w:rPr>
          <w:rFonts w:ascii="Verdana" w:hAnsi="Verdana" w:cs="Segoe UI"/>
          <w:color w:val="0F4761"/>
        </w:rPr>
        <w:t>Antipsychotic Medication in Neath and Port Talbot Care Homes</w:t>
      </w:r>
      <w:r>
        <w:rPr>
          <w:rFonts w:ascii="Verdana" w:hAnsi="Verdana" w:cs="Segoe UI"/>
        </w:rPr>
        <w:t>.</w:t>
      </w:r>
      <w:r w:rsidRPr="00051CEF">
        <w:rPr>
          <w:rFonts w:ascii="Verdana" w:hAnsi="Verdana" w:cs="Segoe UI"/>
        </w:rPr>
        <w:t xml:space="preserve"> </w:t>
      </w:r>
      <w:r w:rsidRPr="00211151">
        <w:rPr>
          <w:rFonts w:ascii="Verdana" w:hAnsi="Verdana" w:cs="Segoe UI"/>
        </w:rPr>
        <w:t xml:space="preserve">The audit demonstrated a reduction in antipsychotic prescribing and improved timeliness of medication reviews, with no risks identified for patients or staff.  </w:t>
      </w:r>
      <w:r w:rsidRPr="00211151">
        <w:rPr>
          <w:rStyle w:val="Emphasis"/>
          <w:rFonts w:ascii="Verdana" w:eastAsiaTheme="majorEastAsia" w:hAnsi="Verdana" w:cs="Segoe UI"/>
        </w:rPr>
        <w:t>(Risk score 1)</w:t>
      </w:r>
      <w:r w:rsidR="008739E1">
        <w:rPr>
          <w:rStyle w:val="Emphasis"/>
          <w:rFonts w:ascii="Verdana" w:eastAsiaTheme="majorEastAsia" w:hAnsi="Verdana" w:cs="Segoe UI"/>
        </w:rPr>
        <w:t xml:space="preserve">  </w:t>
      </w:r>
      <w:r w:rsidR="00C5571F">
        <w:rPr>
          <w:rStyle w:val="Emphasis"/>
          <w:rFonts w:ascii="Verdana" w:eastAsiaTheme="majorEastAsia" w:hAnsi="Verdana" w:cs="Segoe UI"/>
        </w:rPr>
        <w:t xml:space="preserve">                                                                                   </w:t>
      </w:r>
      <w:r w:rsidR="008739E1" w:rsidRPr="00651856">
        <w:rPr>
          <w:rFonts w:ascii="Verdana" w:hAnsi="Verdana"/>
          <w:b/>
          <w:bCs/>
          <w:color w:val="0F4761" w:themeColor="accent1" w:themeShade="BF"/>
          <w:sz w:val="22"/>
          <w:szCs w:val="22"/>
        </w:rPr>
        <w:t>Impact Level: Assurance</w:t>
      </w:r>
    </w:p>
    <w:p w14:paraId="06CC5E81" w14:textId="00F448FE" w:rsidR="00252277" w:rsidRPr="00651856" w:rsidRDefault="00252277" w:rsidP="00252277">
      <w:pPr>
        <w:pStyle w:val="Heading3"/>
        <w:spacing w:line="240" w:lineRule="auto"/>
        <w:rPr>
          <w:rFonts w:ascii="Verdana" w:hAnsi="Verdana" w:cs="Segoe UI"/>
          <w:color w:val="auto"/>
          <w:sz w:val="22"/>
          <w:szCs w:val="22"/>
        </w:rPr>
      </w:pPr>
      <w:r w:rsidRPr="00763128">
        <w:rPr>
          <w:rFonts w:ascii="Verdana" w:hAnsi="Verdana" w:cs="Segoe UI"/>
          <w:sz w:val="24"/>
          <w:szCs w:val="24"/>
        </w:rPr>
        <w:t>Reducing Non</w:t>
      </w:r>
      <w:r w:rsidRPr="00763128">
        <w:rPr>
          <w:rFonts w:ascii="Verdana" w:hAnsi="Verdana" w:cs="Segoe UI"/>
          <w:sz w:val="24"/>
          <w:szCs w:val="24"/>
        </w:rPr>
        <w:noBreakHyphen/>
        <w:t>attendance in Learning</w:t>
      </w:r>
      <w:r w:rsidRPr="00763128">
        <w:rPr>
          <w:rFonts w:ascii="Verdana" w:hAnsi="Verdana" w:cs="Segoe UI"/>
          <w:sz w:val="24"/>
          <w:szCs w:val="24"/>
        </w:rPr>
        <w:noBreakHyphen/>
        <w:t xml:space="preserve">Disability Psychiatry Outpatients </w:t>
      </w:r>
      <w:r w:rsidRPr="00211151">
        <w:rPr>
          <w:rFonts w:ascii="Verdana" w:hAnsi="Verdana" w:cs="Segoe UI"/>
          <w:color w:val="auto"/>
          <w:sz w:val="24"/>
          <w:szCs w:val="24"/>
        </w:rPr>
        <w:t xml:space="preserve">The project improved clinic attendance, reduced wasted medical time, shortened delays to care, and was strongly preferred by patients and carers, demonstrating both clinical and operational benefit.  </w:t>
      </w:r>
      <w:r w:rsidRPr="00211151">
        <w:rPr>
          <w:rStyle w:val="Emphasis"/>
          <w:rFonts w:ascii="Verdana" w:hAnsi="Verdana" w:cs="Segoe UI"/>
          <w:color w:val="auto"/>
          <w:sz w:val="24"/>
          <w:szCs w:val="24"/>
        </w:rPr>
        <w:t>(Risk score 1)</w:t>
      </w:r>
      <w:r w:rsidR="008739E1">
        <w:rPr>
          <w:rStyle w:val="Emphasis"/>
          <w:rFonts w:ascii="Verdana" w:hAnsi="Verdana" w:cs="Segoe UI"/>
          <w:color w:val="auto"/>
          <w:sz w:val="24"/>
          <w:szCs w:val="24"/>
        </w:rPr>
        <w:t xml:space="preserve">  </w:t>
      </w:r>
      <w:r w:rsidR="008739E1" w:rsidRPr="00651856">
        <w:rPr>
          <w:rFonts w:ascii="Verdana" w:hAnsi="Verdana"/>
          <w:b/>
          <w:bCs/>
          <w:sz w:val="22"/>
          <w:szCs w:val="22"/>
        </w:rPr>
        <w:t>Impact Level: Strong</w:t>
      </w:r>
      <w:r w:rsidR="008739E1" w:rsidRPr="00651856">
        <w:rPr>
          <w:rFonts w:ascii="Verdana" w:hAnsi="Verdana"/>
          <w:sz w:val="22"/>
          <w:szCs w:val="22"/>
        </w:rPr>
        <w:br/>
      </w:r>
      <w:r w:rsidR="008739E1" w:rsidRPr="00651856">
        <w:rPr>
          <w:rFonts w:ascii="Verdana" w:hAnsi="Verdana"/>
          <w:b/>
          <w:bCs/>
          <w:sz w:val="22"/>
          <w:szCs w:val="22"/>
        </w:rPr>
        <w:t>So What:</w:t>
      </w:r>
      <w:r w:rsidR="008739E1" w:rsidRPr="00651856">
        <w:rPr>
          <w:rFonts w:ascii="Verdana" w:hAnsi="Verdana"/>
          <w:sz w:val="22"/>
          <w:szCs w:val="22"/>
        </w:rPr>
        <w:t xml:space="preserve"> Demonstrates clear service improvement benefiting both patients and operational efficiency.</w:t>
      </w:r>
    </w:p>
    <w:p w14:paraId="69524005" w14:textId="7D4B2FD2" w:rsidR="00252277" w:rsidRPr="00651856" w:rsidRDefault="00252277" w:rsidP="00094ECD">
      <w:pPr>
        <w:pStyle w:val="Heading3"/>
        <w:spacing w:line="240" w:lineRule="auto"/>
        <w:rPr>
          <w:rFonts w:ascii="Verdana" w:hAnsi="Verdana" w:cs="Segoe UI"/>
          <w:color w:val="auto"/>
          <w:sz w:val="22"/>
          <w:szCs w:val="22"/>
        </w:rPr>
      </w:pPr>
      <w:r w:rsidRPr="00763128">
        <w:rPr>
          <w:rFonts w:ascii="Verdana" w:hAnsi="Verdana" w:cs="Segoe UI"/>
          <w:sz w:val="24"/>
          <w:szCs w:val="24"/>
        </w:rPr>
        <w:t>Use of Anxiolytics and Hypnotics in Learning</w:t>
      </w:r>
      <w:r w:rsidRPr="00763128">
        <w:rPr>
          <w:rFonts w:ascii="Verdana" w:hAnsi="Verdana" w:cs="Segoe UI"/>
          <w:sz w:val="24"/>
          <w:szCs w:val="24"/>
        </w:rPr>
        <w:noBreakHyphen/>
        <w:t xml:space="preserve">Disability Inpatient Units </w:t>
      </w:r>
      <w:r w:rsidRPr="00211151">
        <w:rPr>
          <w:rFonts w:ascii="Verdana" w:hAnsi="Verdana" w:cs="Segoe UI"/>
          <w:color w:val="auto"/>
          <w:sz w:val="24"/>
          <w:szCs w:val="24"/>
        </w:rPr>
        <w:t>British National Formulary (BNF) compliant dosing and good documentation of indications; however, reviews were infrequent, long</w:t>
      </w:r>
      <w:r w:rsidRPr="00211151">
        <w:rPr>
          <w:rFonts w:ascii="Verdana" w:hAnsi="Verdana" w:cs="Segoe UI"/>
          <w:color w:val="auto"/>
          <w:sz w:val="24"/>
          <w:szCs w:val="24"/>
        </w:rPr>
        <w:noBreakHyphen/>
        <w:t xml:space="preserve">term prescribing was common, PRN (as needed) guidance for hypnotics was limited, and discontinuation planning was rarely documented.  </w:t>
      </w:r>
      <w:r w:rsidRPr="00211151">
        <w:rPr>
          <w:rStyle w:val="Emphasis"/>
          <w:rFonts w:ascii="Verdana" w:hAnsi="Verdana" w:cs="Segoe UI"/>
          <w:color w:val="auto"/>
          <w:sz w:val="24"/>
          <w:szCs w:val="24"/>
        </w:rPr>
        <w:t>(Risk score 12)</w:t>
      </w:r>
      <w:r w:rsidR="008739E1">
        <w:rPr>
          <w:rStyle w:val="Emphasis"/>
          <w:rFonts w:ascii="Verdana" w:hAnsi="Verdana" w:cs="Segoe UI"/>
          <w:color w:val="auto"/>
          <w:sz w:val="24"/>
          <w:szCs w:val="24"/>
        </w:rPr>
        <w:t xml:space="preserve">  </w:t>
      </w:r>
      <w:r w:rsidR="00890F77">
        <w:rPr>
          <w:rStyle w:val="Emphasis"/>
          <w:rFonts w:ascii="Verdana" w:hAnsi="Verdana" w:cs="Segoe UI"/>
          <w:color w:val="auto"/>
          <w:sz w:val="24"/>
          <w:szCs w:val="24"/>
        </w:rPr>
        <w:t xml:space="preserve">                                                                              </w:t>
      </w:r>
      <w:r w:rsidR="008739E1" w:rsidRPr="00651856">
        <w:rPr>
          <w:rFonts w:ascii="Verdana" w:hAnsi="Verdana"/>
          <w:b/>
          <w:bCs/>
          <w:sz w:val="22"/>
          <w:szCs w:val="22"/>
        </w:rPr>
        <w:t>Impact Level: Strong</w:t>
      </w:r>
      <w:r w:rsidR="008739E1" w:rsidRPr="00651856">
        <w:rPr>
          <w:rFonts w:ascii="Verdana" w:hAnsi="Verdana"/>
          <w:sz w:val="22"/>
          <w:szCs w:val="22"/>
        </w:rPr>
        <w:br/>
      </w:r>
      <w:r w:rsidR="008739E1" w:rsidRPr="00651856">
        <w:rPr>
          <w:rFonts w:ascii="Verdana" w:hAnsi="Verdana"/>
          <w:b/>
          <w:bCs/>
          <w:sz w:val="22"/>
          <w:szCs w:val="22"/>
        </w:rPr>
        <w:t>So What:</w:t>
      </w:r>
      <w:r w:rsidR="008739E1" w:rsidRPr="00651856">
        <w:rPr>
          <w:rFonts w:ascii="Verdana" w:hAnsi="Verdana"/>
          <w:sz w:val="22"/>
          <w:szCs w:val="22"/>
        </w:rPr>
        <w:t xml:space="preserve"> Identifies risks associated with long</w:t>
      </w:r>
      <w:r w:rsidR="00651856">
        <w:rPr>
          <w:rFonts w:ascii="Verdana" w:hAnsi="Verdana"/>
          <w:sz w:val="22"/>
          <w:szCs w:val="22"/>
        </w:rPr>
        <w:t>-</w:t>
      </w:r>
      <w:r w:rsidR="008739E1" w:rsidRPr="00651856">
        <w:rPr>
          <w:rFonts w:ascii="Verdana" w:hAnsi="Verdana"/>
          <w:sz w:val="22"/>
          <w:szCs w:val="22"/>
        </w:rPr>
        <w:t>term prescribing and inadequate review, requiring improved medication governance.</w:t>
      </w:r>
    </w:p>
    <w:p w14:paraId="136EF2C2" w14:textId="77777777" w:rsidR="00252277" w:rsidRPr="006F1D58" w:rsidRDefault="00252277" w:rsidP="00252277">
      <w:pPr>
        <w:pStyle w:val="Heading2"/>
        <w:spacing w:line="240" w:lineRule="auto"/>
        <w:rPr>
          <w:rFonts w:ascii="Verdana" w:hAnsi="Verdana" w:cs="Segoe UI"/>
          <w:b/>
          <w:bCs/>
          <w:sz w:val="24"/>
          <w:szCs w:val="24"/>
        </w:rPr>
      </w:pPr>
      <w:r w:rsidRPr="006F1D58">
        <w:rPr>
          <w:rFonts w:ascii="Verdana" w:hAnsi="Verdana" w:cs="Segoe UI"/>
          <w:b/>
          <w:bCs/>
          <w:sz w:val="24"/>
          <w:szCs w:val="24"/>
        </w:rPr>
        <w:t>Forensic Services</w:t>
      </w:r>
    </w:p>
    <w:p w14:paraId="4904EBE2" w14:textId="5466C7E3" w:rsidR="008739E1" w:rsidRPr="00651856" w:rsidRDefault="00252277" w:rsidP="008739E1">
      <w:pPr>
        <w:rPr>
          <w:rFonts w:ascii="Verdana" w:hAnsi="Verdana"/>
          <w:color w:val="0F4761" w:themeColor="accent1" w:themeShade="BF"/>
        </w:rPr>
      </w:pPr>
      <w:r w:rsidRPr="00763128">
        <w:rPr>
          <w:rFonts w:ascii="Verdana" w:hAnsi="Verdana" w:cs="Segoe UI"/>
          <w:sz w:val="24"/>
          <w:szCs w:val="24"/>
        </w:rPr>
        <w:t xml:space="preserve">Audit of the Use of Urine Drug Screening in a Medium Secure Setting </w:t>
      </w:r>
      <w:r w:rsidRPr="00211151">
        <w:rPr>
          <w:rFonts w:ascii="Verdana" w:hAnsi="Verdana" w:cs="Segoe UI"/>
          <w:sz w:val="24"/>
          <w:szCs w:val="24"/>
        </w:rPr>
        <w:t>Inconsistent implementation of local testing standards and limited impact of routine urine drug screening on clinical decision</w:t>
      </w:r>
      <w:r w:rsidRPr="00211151">
        <w:rPr>
          <w:rFonts w:ascii="Verdana" w:hAnsi="Verdana" w:cs="Segoe UI"/>
          <w:sz w:val="24"/>
          <w:szCs w:val="24"/>
        </w:rPr>
        <w:noBreakHyphen/>
        <w:t>making. The findings suggest risk</w:t>
      </w:r>
      <w:r w:rsidRPr="00211151">
        <w:rPr>
          <w:rFonts w:ascii="Verdana" w:hAnsi="Verdana" w:cs="Segoe UI"/>
          <w:sz w:val="24"/>
          <w:szCs w:val="24"/>
        </w:rPr>
        <w:noBreakHyphen/>
        <w:t xml:space="preserve">based testing would provide greater clinical value and reduce potentially restrictive practices.  </w:t>
      </w:r>
      <w:r w:rsidRPr="00211151">
        <w:rPr>
          <w:rStyle w:val="Emphasis"/>
          <w:rFonts w:ascii="Verdana" w:hAnsi="Verdana" w:cs="Segoe UI"/>
          <w:sz w:val="24"/>
          <w:szCs w:val="24"/>
        </w:rPr>
        <w:t>(Risk score 2)</w:t>
      </w:r>
      <w:r w:rsidR="008739E1">
        <w:rPr>
          <w:rStyle w:val="Emphasis"/>
          <w:rFonts w:ascii="Verdana" w:hAnsi="Verdana" w:cs="Segoe UI"/>
          <w:sz w:val="24"/>
          <w:szCs w:val="24"/>
        </w:rPr>
        <w:t xml:space="preserve">  </w:t>
      </w:r>
      <w:r w:rsidR="00C5571F">
        <w:rPr>
          <w:rStyle w:val="Emphasis"/>
          <w:rFonts w:ascii="Verdana" w:hAnsi="Verdana" w:cs="Segoe UI"/>
          <w:sz w:val="24"/>
          <w:szCs w:val="24"/>
        </w:rPr>
        <w:t xml:space="preserve">                                              </w:t>
      </w:r>
      <w:r w:rsidR="008739E1" w:rsidRPr="00651856">
        <w:rPr>
          <w:rFonts w:ascii="Verdana" w:hAnsi="Verdana"/>
          <w:b/>
          <w:bCs/>
          <w:color w:val="0F4761" w:themeColor="accent1" w:themeShade="BF"/>
        </w:rPr>
        <w:t>Impact Level: Medium</w:t>
      </w:r>
      <w:r w:rsidR="008739E1" w:rsidRPr="00651856">
        <w:rPr>
          <w:rFonts w:ascii="Verdana" w:hAnsi="Verdana"/>
          <w:color w:val="0F4761" w:themeColor="accent1" w:themeShade="BF"/>
        </w:rPr>
        <w:br/>
      </w:r>
      <w:r w:rsidR="008739E1" w:rsidRPr="00651856">
        <w:rPr>
          <w:rFonts w:ascii="Verdana" w:hAnsi="Verdana"/>
          <w:b/>
          <w:bCs/>
          <w:color w:val="0F4761" w:themeColor="accent1" w:themeShade="BF"/>
        </w:rPr>
        <w:t>So What:</w:t>
      </w:r>
      <w:r w:rsidR="008739E1" w:rsidRPr="00651856">
        <w:rPr>
          <w:rFonts w:ascii="Verdana" w:hAnsi="Verdana"/>
          <w:color w:val="0F4761" w:themeColor="accent1" w:themeShade="BF"/>
        </w:rPr>
        <w:t xml:space="preserve"> Suggests current practice offers limited clinical value and could be refined to a more targeted approach.</w:t>
      </w:r>
    </w:p>
    <w:p w14:paraId="2263C862" w14:textId="5CDA1212" w:rsidR="00252277" w:rsidRDefault="00252277" w:rsidP="00252277">
      <w:pPr>
        <w:pStyle w:val="Heading3"/>
        <w:spacing w:line="240" w:lineRule="auto"/>
        <w:rPr>
          <w:rStyle w:val="Emphasis"/>
          <w:rFonts w:ascii="Verdana" w:hAnsi="Verdana" w:cs="Segoe UI"/>
          <w:color w:val="auto"/>
          <w:sz w:val="24"/>
          <w:szCs w:val="24"/>
        </w:rPr>
      </w:pPr>
    </w:p>
    <w:p w14:paraId="711A9D7F" w14:textId="67B7AFCE" w:rsidR="00252277" w:rsidRDefault="00252277" w:rsidP="000628F5">
      <w:pPr>
        <w:tabs>
          <w:tab w:val="left" w:pos="567"/>
          <w:tab w:val="left" w:pos="709"/>
          <w:tab w:val="left" w:pos="851"/>
        </w:tabs>
        <w:rPr>
          <w:rFonts w:ascii="Verdana" w:hAnsi="Verdana" w:cs="Arial"/>
          <w:b/>
          <w:bCs/>
          <w:sz w:val="24"/>
          <w:szCs w:val="24"/>
        </w:rPr>
      </w:pPr>
    </w:p>
    <w:p w14:paraId="0CE06D79" w14:textId="6960725C" w:rsidR="00252277" w:rsidRDefault="00252277" w:rsidP="000628F5">
      <w:pPr>
        <w:tabs>
          <w:tab w:val="left" w:pos="567"/>
          <w:tab w:val="left" w:pos="709"/>
          <w:tab w:val="left" w:pos="851"/>
        </w:tabs>
        <w:rPr>
          <w:rFonts w:ascii="Verdana" w:hAnsi="Verdana" w:cs="Arial"/>
          <w:b/>
          <w:bCs/>
          <w:sz w:val="24"/>
          <w:szCs w:val="24"/>
        </w:rPr>
      </w:pPr>
    </w:p>
    <w:p w14:paraId="34101BF3" w14:textId="08D6DC25" w:rsidR="00E423C7" w:rsidRDefault="00E423C7" w:rsidP="000628F5">
      <w:pPr>
        <w:tabs>
          <w:tab w:val="left" w:pos="567"/>
          <w:tab w:val="left" w:pos="709"/>
          <w:tab w:val="left" w:pos="851"/>
        </w:tabs>
        <w:rPr>
          <w:rFonts w:ascii="Verdana" w:hAnsi="Verdana" w:cs="Arial"/>
          <w:b/>
          <w:bCs/>
          <w:sz w:val="24"/>
          <w:szCs w:val="24"/>
        </w:rPr>
      </w:pPr>
    </w:p>
    <w:p w14:paraId="35C82200" w14:textId="473CDE04" w:rsidR="00651856" w:rsidRDefault="00651856" w:rsidP="000628F5">
      <w:pPr>
        <w:tabs>
          <w:tab w:val="left" w:pos="567"/>
          <w:tab w:val="left" w:pos="709"/>
          <w:tab w:val="left" w:pos="851"/>
        </w:tabs>
        <w:rPr>
          <w:rFonts w:ascii="Verdana" w:hAnsi="Verdana" w:cs="Arial"/>
          <w:b/>
          <w:bCs/>
          <w:sz w:val="24"/>
          <w:szCs w:val="24"/>
        </w:rPr>
      </w:pPr>
    </w:p>
    <w:p w14:paraId="051E1ADF" w14:textId="6EF98133" w:rsidR="00DB5258" w:rsidRDefault="00DB5258" w:rsidP="000628F5">
      <w:pPr>
        <w:tabs>
          <w:tab w:val="left" w:pos="567"/>
          <w:tab w:val="left" w:pos="709"/>
          <w:tab w:val="left" w:pos="851"/>
        </w:tabs>
        <w:rPr>
          <w:rFonts w:ascii="Verdana" w:hAnsi="Verdana" w:cs="Arial"/>
          <w:b/>
          <w:bCs/>
          <w:sz w:val="24"/>
          <w:szCs w:val="24"/>
        </w:rPr>
      </w:pPr>
    </w:p>
    <w:p w14:paraId="74DE7776" w14:textId="77777777" w:rsidR="00DB5258" w:rsidRDefault="00DB5258" w:rsidP="000628F5">
      <w:pPr>
        <w:tabs>
          <w:tab w:val="left" w:pos="567"/>
          <w:tab w:val="left" w:pos="709"/>
          <w:tab w:val="left" w:pos="851"/>
        </w:tabs>
        <w:rPr>
          <w:rFonts w:ascii="Verdana" w:hAnsi="Verdana" w:cs="Arial"/>
          <w:b/>
          <w:bCs/>
          <w:sz w:val="24"/>
          <w:szCs w:val="24"/>
        </w:rPr>
      </w:pPr>
    </w:p>
    <w:p w14:paraId="31478566" w14:textId="77777777" w:rsidR="00651856" w:rsidRDefault="00651856" w:rsidP="000628F5">
      <w:pPr>
        <w:tabs>
          <w:tab w:val="left" w:pos="567"/>
          <w:tab w:val="left" w:pos="709"/>
          <w:tab w:val="left" w:pos="851"/>
        </w:tabs>
        <w:rPr>
          <w:rFonts w:ascii="Verdana" w:hAnsi="Verdana" w:cs="Arial"/>
          <w:b/>
          <w:bCs/>
          <w:sz w:val="24"/>
          <w:szCs w:val="24"/>
        </w:rPr>
      </w:pPr>
    </w:p>
    <w:p w14:paraId="321F800D" w14:textId="77777777" w:rsidR="00E423C7" w:rsidRDefault="00E423C7" w:rsidP="000628F5">
      <w:pPr>
        <w:tabs>
          <w:tab w:val="left" w:pos="567"/>
          <w:tab w:val="left" w:pos="709"/>
          <w:tab w:val="left" w:pos="851"/>
        </w:tabs>
        <w:rPr>
          <w:rFonts w:ascii="Verdana" w:hAnsi="Verdana" w:cs="Arial"/>
          <w:b/>
          <w:bCs/>
          <w:sz w:val="24"/>
          <w:szCs w:val="24"/>
        </w:rPr>
      </w:pPr>
    </w:p>
    <w:p w14:paraId="67CE69EA" w14:textId="7F2756C6" w:rsidR="00252277" w:rsidRDefault="00252277" w:rsidP="00252277">
      <w:pPr>
        <w:tabs>
          <w:tab w:val="left" w:pos="567"/>
          <w:tab w:val="left" w:pos="709"/>
          <w:tab w:val="left" w:pos="851"/>
        </w:tabs>
        <w:rPr>
          <w:rFonts w:ascii="Verdana" w:hAnsi="Verdana" w:cs="Arial"/>
          <w:b/>
          <w:bCs/>
          <w:sz w:val="24"/>
          <w:szCs w:val="24"/>
        </w:rPr>
      </w:pPr>
      <w:r w:rsidRPr="00252277">
        <w:rPr>
          <w:rFonts w:ascii="Verdana" w:hAnsi="Verdana" w:cs="Arial"/>
          <w:b/>
          <w:bCs/>
          <w:sz w:val="24"/>
          <w:szCs w:val="24"/>
        </w:rPr>
        <w:lastRenderedPageBreak/>
        <w:t xml:space="preserve">Appendix </w:t>
      </w:r>
      <w:r>
        <w:rPr>
          <w:rFonts w:ascii="Verdana" w:hAnsi="Verdana" w:cs="Arial"/>
          <w:b/>
          <w:bCs/>
          <w:sz w:val="24"/>
          <w:szCs w:val="24"/>
        </w:rPr>
        <w:t>2</w:t>
      </w:r>
      <w:r w:rsidRPr="00252277">
        <w:rPr>
          <w:rFonts w:ascii="Verdana" w:hAnsi="Verdana" w:cs="Arial"/>
          <w:b/>
          <w:bCs/>
          <w:sz w:val="24"/>
          <w:szCs w:val="24"/>
        </w:rPr>
        <w:t xml:space="preserve">.  </w:t>
      </w:r>
      <w:r>
        <w:rPr>
          <w:rFonts w:ascii="Verdana" w:hAnsi="Verdana" w:cs="Arial"/>
          <w:b/>
          <w:bCs/>
          <w:sz w:val="24"/>
          <w:szCs w:val="24"/>
        </w:rPr>
        <w:t>Morriston Service Group</w:t>
      </w:r>
      <w:r w:rsidRPr="00252277">
        <w:rPr>
          <w:rFonts w:ascii="Verdana" w:hAnsi="Verdana" w:cs="Arial"/>
          <w:b/>
          <w:bCs/>
          <w:sz w:val="24"/>
          <w:szCs w:val="24"/>
        </w:rPr>
        <w:t xml:space="preserve"> Completed Audits</w:t>
      </w:r>
    </w:p>
    <w:p w14:paraId="57A3814F" w14:textId="77777777" w:rsidR="004877C6" w:rsidRPr="00DB5258" w:rsidRDefault="004877C6" w:rsidP="004877C6">
      <w:pPr>
        <w:rPr>
          <w:rFonts w:ascii="Verdana" w:hAnsi="Verdana"/>
          <w:b/>
          <w:bCs/>
        </w:rPr>
      </w:pPr>
      <w:r w:rsidRPr="00DB5258">
        <w:rPr>
          <w:rFonts w:ascii="Verdana" w:hAnsi="Verdana"/>
          <w:b/>
          <w:bCs/>
        </w:rPr>
        <w:t>Key;</w:t>
      </w:r>
    </w:p>
    <w:p w14:paraId="36A4855F" w14:textId="77777777" w:rsidR="004877C6" w:rsidRPr="00DB5258" w:rsidRDefault="004877C6" w:rsidP="004877C6">
      <w:pPr>
        <w:spacing w:line="240" w:lineRule="auto"/>
        <w:rPr>
          <w:rFonts w:ascii="Verdana" w:hAnsi="Verdana"/>
          <w:b/>
          <w:bCs/>
        </w:rPr>
      </w:pPr>
      <w:r w:rsidRPr="00DB5258">
        <w:rPr>
          <w:rFonts w:ascii="Verdana" w:hAnsi="Verdana"/>
          <w:b/>
          <w:bCs/>
        </w:rPr>
        <w:t>Impact Level</w:t>
      </w:r>
    </w:p>
    <w:p w14:paraId="609D66E6" w14:textId="77777777" w:rsidR="004877C6" w:rsidRPr="00DB5258" w:rsidRDefault="004877C6" w:rsidP="004877C6">
      <w:pPr>
        <w:numPr>
          <w:ilvl w:val="0"/>
          <w:numId w:val="28"/>
        </w:numPr>
        <w:spacing w:line="240" w:lineRule="auto"/>
        <w:rPr>
          <w:rFonts w:ascii="Verdana" w:hAnsi="Verdana"/>
        </w:rPr>
      </w:pPr>
      <w:r w:rsidRPr="00DB5258">
        <w:rPr>
          <w:rFonts w:ascii="Verdana" w:hAnsi="Verdana"/>
          <w:b/>
          <w:bCs/>
        </w:rPr>
        <w:t>Assurance</w:t>
      </w:r>
      <w:r w:rsidRPr="00DB5258">
        <w:rPr>
          <w:rFonts w:ascii="Verdana" w:hAnsi="Verdana"/>
        </w:rPr>
        <w:t xml:space="preserve"> – Confirms practice meets expected standards; no significant concerns identified</w:t>
      </w:r>
    </w:p>
    <w:p w14:paraId="11817A25" w14:textId="77777777" w:rsidR="004877C6" w:rsidRPr="00DB5258" w:rsidRDefault="004877C6" w:rsidP="004877C6">
      <w:pPr>
        <w:numPr>
          <w:ilvl w:val="0"/>
          <w:numId w:val="28"/>
        </w:numPr>
        <w:spacing w:line="240" w:lineRule="auto"/>
        <w:rPr>
          <w:rFonts w:ascii="Verdana" w:hAnsi="Verdana"/>
        </w:rPr>
      </w:pPr>
      <w:r w:rsidRPr="00DB5258">
        <w:rPr>
          <w:rFonts w:ascii="Verdana" w:hAnsi="Verdana"/>
          <w:b/>
          <w:bCs/>
        </w:rPr>
        <w:t>Medium</w:t>
      </w:r>
      <w:r w:rsidRPr="00DB5258">
        <w:rPr>
          <w:rFonts w:ascii="Verdana" w:hAnsi="Verdana"/>
        </w:rPr>
        <w:t xml:space="preserve"> – Issues or variation identified requiring improvement, further review, or strengthening of consistency</w:t>
      </w:r>
    </w:p>
    <w:p w14:paraId="2F37A932" w14:textId="77777777" w:rsidR="004877C6" w:rsidRPr="00DB5258" w:rsidRDefault="004877C6" w:rsidP="004877C6">
      <w:pPr>
        <w:numPr>
          <w:ilvl w:val="0"/>
          <w:numId w:val="28"/>
        </w:numPr>
        <w:spacing w:line="240" w:lineRule="auto"/>
        <w:rPr>
          <w:rFonts w:ascii="Verdana" w:hAnsi="Verdana"/>
        </w:rPr>
      </w:pPr>
      <w:r w:rsidRPr="00DB5258">
        <w:rPr>
          <w:rFonts w:ascii="Verdana" w:hAnsi="Verdana"/>
          <w:b/>
          <w:bCs/>
        </w:rPr>
        <w:t>Strong</w:t>
      </w:r>
      <w:r w:rsidRPr="00DB5258">
        <w:rPr>
          <w:rFonts w:ascii="Verdana" w:hAnsi="Verdana"/>
        </w:rPr>
        <w:t xml:space="preserve"> – Significant findings with clear implications for patient safety, system performance, access, or quality</w:t>
      </w:r>
    </w:p>
    <w:p w14:paraId="0562AF25" w14:textId="77777777" w:rsidR="004877C6" w:rsidRPr="00DB5258" w:rsidRDefault="004877C6" w:rsidP="004877C6">
      <w:pPr>
        <w:spacing w:line="240" w:lineRule="auto"/>
        <w:rPr>
          <w:rFonts w:ascii="Verdana" w:hAnsi="Verdana"/>
          <w:b/>
          <w:bCs/>
        </w:rPr>
      </w:pPr>
      <w:r w:rsidRPr="00DB5258">
        <w:rPr>
          <w:rFonts w:ascii="Verdana" w:hAnsi="Verdana"/>
          <w:b/>
          <w:bCs/>
        </w:rPr>
        <w:t>The “So What?”</w:t>
      </w:r>
    </w:p>
    <w:p w14:paraId="35E5D8F6" w14:textId="77777777" w:rsidR="004877C6" w:rsidRPr="00DB5258" w:rsidRDefault="004877C6" w:rsidP="004877C6">
      <w:pPr>
        <w:numPr>
          <w:ilvl w:val="0"/>
          <w:numId w:val="29"/>
        </w:numPr>
        <w:spacing w:line="240" w:lineRule="auto"/>
        <w:rPr>
          <w:rFonts w:ascii="Verdana" w:hAnsi="Verdana"/>
        </w:rPr>
      </w:pPr>
      <w:r w:rsidRPr="00DB5258">
        <w:rPr>
          <w:rFonts w:ascii="Verdana" w:hAnsi="Verdana"/>
        </w:rPr>
        <w:t>Included only where findings clearly support a meaningful conclusion</w:t>
      </w:r>
    </w:p>
    <w:p w14:paraId="4DC129E3" w14:textId="77777777" w:rsidR="004877C6" w:rsidRPr="00DB5258" w:rsidRDefault="004877C6" w:rsidP="004877C6">
      <w:pPr>
        <w:numPr>
          <w:ilvl w:val="0"/>
          <w:numId w:val="29"/>
        </w:numPr>
        <w:spacing w:line="240" w:lineRule="auto"/>
        <w:rPr>
          <w:rFonts w:ascii="Verdana" w:hAnsi="Verdana"/>
        </w:rPr>
      </w:pPr>
      <w:r w:rsidRPr="00DB5258">
        <w:rPr>
          <w:rFonts w:ascii="Verdana" w:hAnsi="Verdana"/>
        </w:rPr>
        <w:t>Highlights why the audit matters in practice (risk, improvement, system impact, or benefit)</w:t>
      </w:r>
    </w:p>
    <w:p w14:paraId="6F64CA35" w14:textId="77777777" w:rsidR="00252277" w:rsidRPr="003E2BE0" w:rsidRDefault="00252277" w:rsidP="00252277">
      <w:pPr>
        <w:spacing w:before="100" w:beforeAutospacing="1" w:after="100" w:afterAutospacing="1" w:line="240" w:lineRule="auto"/>
        <w:rPr>
          <w:rFonts w:ascii="Verdana" w:hAnsi="Verdana" w:cs="Segoe UI"/>
          <w:b/>
          <w:bCs/>
          <w:color w:val="0F4761"/>
          <w:sz w:val="24"/>
          <w:szCs w:val="24"/>
        </w:rPr>
      </w:pPr>
      <w:r w:rsidRPr="003E2BE0">
        <w:rPr>
          <w:rFonts w:ascii="Verdana" w:hAnsi="Verdana" w:cs="Segoe UI"/>
          <w:b/>
          <w:bCs/>
          <w:color w:val="0F4761"/>
          <w:sz w:val="24"/>
          <w:szCs w:val="24"/>
        </w:rPr>
        <w:t>Burns and Plastics</w:t>
      </w:r>
    </w:p>
    <w:p w14:paraId="08AE47C5" w14:textId="633C6D04" w:rsidR="00252277" w:rsidRPr="00651856" w:rsidRDefault="00252277" w:rsidP="00252277">
      <w:pPr>
        <w:spacing w:before="100" w:beforeAutospacing="1" w:after="100" w:afterAutospacing="1" w:line="240" w:lineRule="auto"/>
        <w:rPr>
          <w:rStyle w:val="Emphasis"/>
          <w:rFonts w:ascii="Verdana" w:eastAsiaTheme="majorEastAsia" w:hAnsi="Verdana" w:cs="Segoe UI"/>
          <w:color w:val="0F4761" w:themeColor="accent1" w:themeShade="BF"/>
        </w:rPr>
      </w:pPr>
      <w:r w:rsidRPr="00DB5258">
        <w:rPr>
          <w:rFonts w:ascii="Verdana" w:hAnsi="Verdana" w:cs="Segoe UI"/>
          <w:color w:val="0F4761"/>
        </w:rPr>
        <w:t>Radiation</w:t>
      </w:r>
      <w:r w:rsidRPr="00DB5258">
        <w:rPr>
          <w:rFonts w:ascii="Verdana" w:hAnsi="Verdana" w:cs="Segoe UI"/>
          <w:color w:val="0F4761"/>
        </w:rPr>
        <w:noBreakHyphen/>
        <w:t xml:space="preserve">Induced Angiosarcoma Audit. </w:t>
      </w:r>
      <w:r w:rsidRPr="00DB5258">
        <w:rPr>
          <w:rFonts w:ascii="Verdana" w:hAnsi="Verdana" w:cs="Segoe UI"/>
        </w:rPr>
        <w:t>The audit found no significant difference in disease</w:t>
      </w:r>
      <w:r w:rsidRPr="00DB5258">
        <w:rPr>
          <w:rFonts w:ascii="Verdana" w:hAnsi="Verdana" w:cs="Segoe UI"/>
        </w:rPr>
        <w:noBreakHyphen/>
        <w:t xml:space="preserve">specific survival between treatment modalities, providing reassurance on current management strategies. No concerns or risks were identified. </w:t>
      </w:r>
      <w:r w:rsidRPr="00DB5258">
        <w:rPr>
          <w:rStyle w:val="Emphasis"/>
          <w:rFonts w:ascii="Verdana" w:eastAsiaTheme="majorEastAsia" w:hAnsi="Verdana" w:cs="Segoe UI"/>
        </w:rPr>
        <w:t>(Risk score: 1)</w:t>
      </w:r>
      <w:r w:rsidR="00D73E1F" w:rsidRPr="00DB5258">
        <w:rPr>
          <w:rStyle w:val="Emphasis"/>
          <w:rFonts w:ascii="Verdana" w:eastAsiaTheme="majorEastAsia" w:hAnsi="Verdana" w:cs="Segoe UI"/>
        </w:rPr>
        <w:t xml:space="preserve">                                                                </w:t>
      </w:r>
      <w:r w:rsidR="00DB5258">
        <w:rPr>
          <w:rFonts w:ascii="Verdana" w:hAnsi="Verdana"/>
          <w:b/>
          <w:bCs/>
          <w:color w:val="0F4761" w:themeColor="accent1" w:themeShade="BF"/>
        </w:rPr>
        <w:t xml:space="preserve">                                                      </w:t>
      </w:r>
      <w:r w:rsidR="00D73E1F" w:rsidRPr="00651856">
        <w:rPr>
          <w:rFonts w:ascii="Verdana" w:hAnsi="Verdana"/>
          <w:b/>
          <w:bCs/>
          <w:color w:val="0F4761" w:themeColor="accent1" w:themeShade="BF"/>
        </w:rPr>
        <w:t>Impact Level: Assurance</w:t>
      </w:r>
      <w:r w:rsidRPr="00651856">
        <w:rPr>
          <w:rStyle w:val="Emphasis"/>
          <w:rFonts w:ascii="Verdana" w:eastAsiaTheme="majorEastAsia" w:hAnsi="Verdana" w:cs="Segoe UI"/>
          <w:color w:val="0F4761" w:themeColor="accent1" w:themeShade="BF"/>
        </w:rPr>
        <w:t xml:space="preserve">                                                                       </w:t>
      </w:r>
    </w:p>
    <w:p w14:paraId="2104156D" w14:textId="009A67D0" w:rsidR="00252277" w:rsidRPr="00651856" w:rsidRDefault="00252277" w:rsidP="00252277">
      <w:pPr>
        <w:spacing w:before="100" w:beforeAutospacing="1" w:after="100" w:afterAutospacing="1" w:line="240" w:lineRule="auto"/>
        <w:rPr>
          <w:rStyle w:val="Emphasis"/>
          <w:rFonts w:ascii="Verdana" w:eastAsiaTheme="majorEastAsia" w:hAnsi="Verdana" w:cs="Segoe UI"/>
        </w:rPr>
      </w:pPr>
      <w:r w:rsidRPr="00DB5258">
        <w:rPr>
          <w:rFonts w:ascii="Verdana" w:hAnsi="Verdana" w:cs="Segoe UI"/>
          <w:color w:val="0F4761"/>
        </w:rPr>
        <w:t>Merkel Cell Carcinoma National Data Collection.</w:t>
      </w:r>
      <w:r w:rsidRPr="00DB5258">
        <w:rPr>
          <w:rFonts w:ascii="Verdana" w:hAnsi="Verdana" w:cs="Segoe UI"/>
        </w:rPr>
        <w:t xml:space="preserve">  Data submission was successfully completed as part of a national audit. No risks or local concerns were identified. </w:t>
      </w:r>
      <w:r w:rsidRPr="00DB5258">
        <w:rPr>
          <w:rStyle w:val="Emphasis"/>
          <w:rFonts w:ascii="Verdana" w:eastAsiaTheme="majorEastAsia" w:hAnsi="Verdana" w:cs="Segoe UI"/>
        </w:rPr>
        <w:t>(Risk score: 1)</w:t>
      </w:r>
      <w:r w:rsidR="00BB3A40">
        <w:rPr>
          <w:rStyle w:val="Emphasis"/>
          <w:rFonts w:ascii="Verdana" w:eastAsiaTheme="majorEastAsia" w:hAnsi="Verdana" w:cs="Segoe UI"/>
          <w:sz w:val="24"/>
          <w:szCs w:val="24"/>
        </w:rPr>
        <w:t xml:space="preserve">                                                     </w:t>
      </w:r>
      <w:r w:rsidR="00DB5258">
        <w:rPr>
          <w:b/>
          <w:bCs/>
          <w:color w:val="0F4761" w:themeColor="accent1" w:themeShade="BF"/>
        </w:rPr>
        <w:t xml:space="preserve">                        </w:t>
      </w:r>
      <w:r w:rsidR="00BB3A40" w:rsidRPr="00DB5258">
        <w:rPr>
          <w:b/>
          <w:bCs/>
          <w:color w:val="0F4761" w:themeColor="accent1" w:themeShade="BF"/>
        </w:rPr>
        <w:t xml:space="preserve"> </w:t>
      </w:r>
      <w:r w:rsidR="00BB3A40" w:rsidRPr="00651856">
        <w:rPr>
          <w:rFonts w:ascii="Verdana" w:hAnsi="Verdana"/>
          <w:b/>
          <w:bCs/>
          <w:color w:val="0F4761" w:themeColor="accent1" w:themeShade="BF"/>
        </w:rPr>
        <w:t>Impact Level: Assurance</w:t>
      </w:r>
      <w:r w:rsidR="00BB3A40" w:rsidRPr="00651856">
        <w:rPr>
          <w:rStyle w:val="Emphasis"/>
          <w:rFonts w:ascii="Verdana" w:eastAsiaTheme="majorEastAsia" w:hAnsi="Verdana" w:cs="Segoe UI"/>
          <w:color w:val="0F4761" w:themeColor="accent1" w:themeShade="BF"/>
        </w:rPr>
        <w:t xml:space="preserve">                                                                       </w:t>
      </w:r>
    </w:p>
    <w:p w14:paraId="34B6CDAA" w14:textId="5D0BFB9B" w:rsidR="00252277" w:rsidRPr="009018AB" w:rsidRDefault="00252277" w:rsidP="00252277">
      <w:pPr>
        <w:spacing w:before="100" w:beforeAutospacing="1" w:after="100" w:afterAutospacing="1" w:line="240" w:lineRule="auto"/>
        <w:rPr>
          <w:rFonts w:ascii="Verdana" w:hAnsi="Verdana" w:cs="Segoe UI"/>
        </w:rPr>
      </w:pPr>
      <w:r w:rsidRPr="005707E4">
        <w:rPr>
          <w:rFonts w:ascii="Verdana" w:hAnsi="Verdana" w:cs="Segoe UI"/>
          <w:color w:val="0F4761"/>
        </w:rPr>
        <w:t xml:space="preserve">Antiplatelet and Anticoagulant Management in Minor Skin Cancer Surgery.  </w:t>
      </w:r>
      <w:r w:rsidRPr="005707E4">
        <w:rPr>
          <w:rFonts w:ascii="Verdana" w:hAnsi="Verdana" w:cs="Segoe UI"/>
        </w:rPr>
        <w:t>The audit identified practice issues as presented in audit findings. Re</w:t>
      </w:r>
      <w:r w:rsidRPr="005707E4">
        <w:rPr>
          <w:rFonts w:ascii="Verdana" w:hAnsi="Verdana" w:cs="Segoe UI"/>
        </w:rPr>
        <w:noBreakHyphen/>
        <w:t xml:space="preserve">audit was scheduled due to incomplete risk scoring and ongoing assurance requirements. </w:t>
      </w:r>
      <w:r w:rsidRPr="005707E4">
        <w:rPr>
          <w:rStyle w:val="Emphasis"/>
          <w:rFonts w:ascii="Verdana" w:eastAsiaTheme="majorEastAsia" w:hAnsi="Verdana" w:cs="Segoe UI"/>
        </w:rPr>
        <w:t>(Risk score</w:t>
      </w:r>
      <w:r w:rsidR="00B21621" w:rsidRPr="005707E4">
        <w:rPr>
          <w:rStyle w:val="Emphasis"/>
          <w:rFonts w:ascii="Verdana" w:eastAsiaTheme="majorEastAsia" w:hAnsi="Verdana" w:cs="Segoe UI"/>
        </w:rPr>
        <w:t>: 12</w:t>
      </w:r>
      <w:r w:rsidRPr="005707E4">
        <w:rPr>
          <w:rStyle w:val="Emphasis"/>
          <w:rFonts w:ascii="Verdana" w:eastAsiaTheme="majorEastAsia" w:hAnsi="Verdana" w:cs="Segoe UI"/>
        </w:rPr>
        <w:t>)</w:t>
      </w:r>
      <w:r w:rsidR="00BB3A40" w:rsidRPr="005707E4">
        <w:rPr>
          <w:rStyle w:val="Emphasis"/>
          <w:rFonts w:ascii="Verdana" w:eastAsiaTheme="majorEastAsia" w:hAnsi="Verdana" w:cs="Segoe UI"/>
          <w:sz w:val="24"/>
          <w:szCs w:val="24"/>
        </w:rPr>
        <w:t xml:space="preserve">                                       </w:t>
      </w:r>
      <w:r w:rsidR="00DB5258" w:rsidRPr="005707E4">
        <w:rPr>
          <w:rStyle w:val="Emphasis"/>
          <w:rFonts w:ascii="Verdana" w:eastAsiaTheme="majorEastAsia" w:hAnsi="Verdana" w:cs="Segoe UI"/>
          <w:sz w:val="24"/>
          <w:szCs w:val="24"/>
        </w:rPr>
        <w:t xml:space="preserve">                                                   </w:t>
      </w:r>
      <w:r w:rsidR="00BB3A40" w:rsidRPr="005707E4">
        <w:rPr>
          <w:rFonts w:ascii="Verdana" w:hAnsi="Verdana"/>
          <w:b/>
          <w:bCs/>
          <w:color w:val="0F4761" w:themeColor="accent1" w:themeShade="BF"/>
        </w:rPr>
        <w:t xml:space="preserve">Impact Level: </w:t>
      </w:r>
      <w:r w:rsidR="005707E4" w:rsidRPr="005707E4">
        <w:rPr>
          <w:rFonts w:ascii="Verdana" w:hAnsi="Verdana"/>
          <w:b/>
          <w:bCs/>
          <w:color w:val="0F4761" w:themeColor="accent1" w:themeShade="BF"/>
        </w:rPr>
        <w:t>Strong</w:t>
      </w:r>
    </w:p>
    <w:p w14:paraId="63FCCF24" w14:textId="626506D1" w:rsidR="00252277" w:rsidRPr="009018AB" w:rsidRDefault="00252277" w:rsidP="00252277">
      <w:pPr>
        <w:spacing w:before="100" w:beforeAutospacing="1" w:after="100" w:afterAutospacing="1" w:line="240" w:lineRule="auto"/>
        <w:rPr>
          <w:rStyle w:val="Emphasis"/>
          <w:rFonts w:ascii="Verdana" w:eastAsiaTheme="majorEastAsia" w:hAnsi="Verdana" w:cs="Segoe UI"/>
        </w:rPr>
      </w:pPr>
      <w:r w:rsidRPr="00DB5258">
        <w:rPr>
          <w:rFonts w:ascii="Verdana" w:hAnsi="Verdana" w:cs="Segoe UI"/>
          <w:color w:val="0F4761"/>
        </w:rPr>
        <w:t>Presentation of Open Lower Limb Fractures by the Ambulatory Service</w:t>
      </w:r>
      <w:r w:rsidRPr="00DB5258">
        <w:rPr>
          <w:rFonts w:ascii="Verdana" w:hAnsi="Verdana" w:cs="Segoe UI"/>
        </w:rPr>
        <w:t xml:space="preserve"> The audit identified reasons for minor delays in meeting standards and informed recommendations to update guidance for ambulatory services. No significant patient safety concerns were identified, and overall risk remained low to moderate. </w:t>
      </w:r>
      <w:r w:rsidRPr="00DB5258">
        <w:rPr>
          <w:rStyle w:val="Emphasis"/>
          <w:rFonts w:ascii="Verdana" w:eastAsiaTheme="majorEastAsia" w:hAnsi="Verdana" w:cs="Segoe UI"/>
        </w:rPr>
        <w:t>(Risk score: 6)</w:t>
      </w:r>
      <w:r w:rsidR="00BB3A40">
        <w:rPr>
          <w:rStyle w:val="Emphasis"/>
          <w:rFonts w:ascii="Verdana" w:eastAsiaTheme="majorEastAsia" w:hAnsi="Verdana" w:cs="Segoe UI"/>
          <w:sz w:val="24"/>
          <w:szCs w:val="24"/>
        </w:rPr>
        <w:t xml:space="preserve">                                                      </w:t>
      </w:r>
      <w:r w:rsidR="00DB5258">
        <w:rPr>
          <w:rStyle w:val="Emphasis"/>
          <w:rFonts w:ascii="Verdana" w:eastAsiaTheme="majorEastAsia" w:hAnsi="Verdana" w:cs="Segoe UI"/>
          <w:sz w:val="24"/>
          <w:szCs w:val="24"/>
        </w:rPr>
        <w:t xml:space="preserve">                                               </w:t>
      </w:r>
      <w:r w:rsidR="00BB3A40">
        <w:rPr>
          <w:rStyle w:val="Emphasis"/>
          <w:rFonts w:ascii="Verdana" w:eastAsiaTheme="majorEastAsia" w:hAnsi="Verdana" w:cs="Segoe UI"/>
          <w:sz w:val="24"/>
          <w:szCs w:val="24"/>
        </w:rPr>
        <w:t xml:space="preserve"> </w:t>
      </w:r>
      <w:r w:rsidR="00BB3A40" w:rsidRPr="009018AB">
        <w:rPr>
          <w:rFonts w:ascii="Verdana" w:hAnsi="Verdana"/>
          <w:b/>
          <w:bCs/>
          <w:color w:val="0F4761" w:themeColor="accent1" w:themeShade="BF"/>
        </w:rPr>
        <w:t>Impact Level: Medium</w:t>
      </w:r>
    </w:p>
    <w:p w14:paraId="74A396DB" w14:textId="1989A3E2" w:rsidR="00252277" w:rsidRDefault="00252277" w:rsidP="00252277">
      <w:pPr>
        <w:spacing w:before="100" w:beforeAutospacing="1" w:after="100" w:afterAutospacing="1" w:line="240" w:lineRule="auto"/>
        <w:rPr>
          <w:rStyle w:val="Emphasis"/>
          <w:rFonts w:ascii="Verdana" w:eastAsiaTheme="majorEastAsia" w:hAnsi="Verdana" w:cs="Segoe UI"/>
          <w:sz w:val="24"/>
          <w:szCs w:val="24"/>
        </w:rPr>
      </w:pPr>
      <w:r w:rsidRPr="00DB5258">
        <w:rPr>
          <w:rFonts w:ascii="Verdana" w:hAnsi="Verdana" w:cs="Segoe UI"/>
          <w:color w:val="0F4761"/>
        </w:rPr>
        <w:t>Audit on Standards for the Management of Open Fractures.</w:t>
      </w:r>
      <w:r w:rsidRPr="00DB5258">
        <w:rPr>
          <w:rFonts w:ascii="Verdana" w:hAnsi="Verdana" w:cs="Segoe UI"/>
        </w:rPr>
        <w:t xml:space="preserve">  The audit identified delays in antibiotic administration, debridement, transfers, and definitive management, particularly in high</w:t>
      </w:r>
      <w:r w:rsidRPr="00DB5258">
        <w:rPr>
          <w:rFonts w:ascii="Verdana" w:hAnsi="Verdana" w:cs="Segoe UI"/>
        </w:rPr>
        <w:noBreakHyphen/>
        <w:t>energy injuries. These findings represented one of the highest residual risk areas and justified re</w:t>
      </w:r>
      <w:r w:rsidRPr="00DB5258">
        <w:rPr>
          <w:rFonts w:ascii="Verdana" w:hAnsi="Verdana" w:cs="Segoe UI"/>
        </w:rPr>
        <w:noBreakHyphen/>
        <w:t xml:space="preserve">audit. </w:t>
      </w:r>
      <w:r w:rsidRPr="00DB5258">
        <w:rPr>
          <w:rStyle w:val="Emphasis"/>
          <w:rFonts w:ascii="Verdana" w:eastAsiaTheme="majorEastAsia" w:hAnsi="Verdana" w:cs="Segoe UI"/>
        </w:rPr>
        <w:t>(Risk score: 16)</w:t>
      </w:r>
      <w:r w:rsidR="009377DB" w:rsidRPr="00DB5258">
        <w:rPr>
          <w:rStyle w:val="Emphasis"/>
          <w:rFonts w:ascii="Verdana" w:eastAsiaTheme="majorEastAsia" w:hAnsi="Verdana" w:cs="Segoe UI"/>
        </w:rPr>
        <w:t xml:space="preserve">                                                                              </w:t>
      </w:r>
      <w:r w:rsidR="009377DB" w:rsidRPr="009018AB">
        <w:rPr>
          <w:rFonts w:ascii="Verdana" w:hAnsi="Verdana"/>
          <w:b/>
          <w:bCs/>
          <w:color w:val="0F4761" w:themeColor="accent1" w:themeShade="BF"/>
        </w:rPr>
        <w:t>Impact Level: Strong</w:t>
      </w:r>
      <w:r w:rsidR="009377DB" w:rsidRPr="009018AB">
        <w:rPr>
          <w:rFonts w:ascii="Verdana" w:hAnsi="Verdana"/>
          <w:color w:val="0F4761" w:themeColor="accent1" w:themeShade="BF"/>
        </w:rPr>
        <w:br/>
      </w:r>
      <w:r w:rsidR="009377DB" w:rsidRPr="009018AB">
        <w:rPr>
          <w:rFonts w:ascii="Verdana" w:hAnsi="Verdana"/>
          <w:b/>
          <w:bCs/>
          <w:color w:val="0F4761" w:themeColor="accent1" w:themeShade="BF"/>
        </w:rPr>
        <w:t>So What:</w:t>
      </w:r>
      <w:r w:rsidR="009377DB" w:rsidRPr="009018AB">
        <w:rPr>
          <w:rFonts w:ascii="Verdana" w:hAnsi="Verdana"/>
          <w:color w:val="0F4761" w:themeColor="accent1" w:themeShade="BF"/>
        </w:rPr>
        <w:t xml:space="preserve"> Identifies significant patient safety risks requiring urgent improvement and system-level change.</w:t>
      </w:r>
    </w:p>
    <w:p w14:paraId="42DF3649" w14:textId="77777777" w:rsidR="00252277" w:rsidRPr="003E2BE0" w:rsidRDefault="00252277" w:rsidP="00252277">
      <w:pPr>
        <w:spacing w:before="100" w:beforeAutospacing="1" w:after="100" w:afterAutospacing="1" w:line="240" w:lineRule="auto"/>
        <w:rPr>
          <w:rFonts w:ascii="Verdana" w:hAnsi="Verdana" w:cs="Segoe UI"/>
          <w:b/>
          <w:bCs/>
          <w:color w:val="0F4761"/>
          <w:sz w:val="24"/>
          <w:szCs w:val="24"/>
        </w:rPr>
      </w:pPr>
      <w:r w:rsidRPr="003E2BE0">
        <w:rPr>
          <w:rFonts w:ascii="Verdana" w:hAnsi="Verdana" w:cs="Segoe UI"/>
          <w:b/>
          <w:bCs/>
          <w:color w:val="0F4761"/>
          <w:sz w:val="24"/>
          <w:szCs w:val="24"/>
        </w:rPr>
        <w:lastRenderedPageBreak/>
        <w:t>Cardiology/Cardiothoracic Surgery</w:t>
      </w:r>
    </w:p>
    <w:p w14:paraId="08326990" w14:textId="6B606763" w:rsidR="00252277" w:rsidRPr="009018AB" w:rsidRDefault="00252277" w:rsidP="00252277">
      <w:pPr>
        <w:spacing w:before="100" w:beforeAutospacing="1" w:after="100" w:afterAutospacing="1" w:line="240" w:lineRule="auto"/>
        <w:rPr>
          <w:rStyle w:val="Emphasis"/>
          <w:rFonts w:ascii="Verdana" w:eastAsiaTheme="majorEastAsia" w:hAnsi="Verdana" w:cs="Segoe UI"/>
        </w:rPr>
      </w:pPr>
      <w:r w:rsidRPr="00DB5258">
        <w:rPr>
          <w:rFonts w:ascii="Verdana" w:hAnsi="Verdana" w:cs="Segoe UI"/>
          <w:color w:val="0F4761"/>
        </w:rPr>
        <w:t>Documentation of Driving Advice in Post</w:t>
      </w:r>
      <w:r w:rsidRPr="00DB5258">
        <w:rPr>
          <w:rFonts w:ascii="Verdana" w:hAnsi="Verdana" w:cs="Segoe UI"/>
          <w:color w:val="0F4761"/>
        </w:rPr>
        <w:noBreakHyphen/>
        <w:t>Acute Coronary Syndrome Patients.</w:t>
      </w:r>
      <w:r w:rsidRPr="00DB5258">
        <w:rPr>
          <w:rFonts w:ascii="Verdana" w:hAnsi="Verdana" w:cs="Segoe UI"/>
        </w:rPr>
        <w:t xml:space="preserve">  The audit demonstrated improved awareness and documentation of driving advice following targeted education. However, overall compliance remained low, with ongoing undocumented advice representing moderate residual risk. </w:t>
      </w:r>
      <w:r w:rsidRPr="00DB5258">
        <w:rPr>
          <w:rStyle w:val="Emphasis"/>
          <w:rFonts w:ascii="Verdana" w:eastAsiaTheme="majorEastAsia" w:hAnsi="Verdana" w:cs="Segoe UI"/>
        </w:rPr>
        <w:t>(Risk score: 9)</w:t>
      </w:r>
      <w:r w:rsidR="009377DB">
        <w:rPr>
          <w:rStyle w:val="Emphasis"/>
          <w:rFonts w:ascii="Verdana" w:eastAsiaTheme="majorEastAsia" w:hAnsi="Verdana" w:cs="Segoe UI"/>
          <w:sz w:val="24"/>
          <w:szCs w:val="24"/>
        </w:rPr>
        <w:t xml:space="preserve">                                              </w:t>
      </w:r>
      <w:r w:rsidR="00DB5258">
        <w:rPr>
          <w:b/>
          <w:bCs/>
          <w:color w:val="0F4761" w:themeColor="accent1" w:themeShade="BF"/>
        </w:rPr>
        <w:t xml:space="preserve">                                                                                       </w:t>
      </w:r>
      <w:r w:rsidR="009377DB" w:rsidRPr="00DB5258">
        <w:rPr>
          <w:b/>
          <w:bCs/>
          <w:color w:val="0F4761" w:themeColor="accent1" w:themeShade="BF"/>
        </w:rPr>
        <w:t xml:space="preserve"> </w:t>
      </w:r>
      <w:r w:rsidR="009377DB" w:rsidRPr="009018AB">
        <w:rPr>
          <w:rFonts w:ascii="Verdana" w:hAnsi="Verdana"/>
          <w:b/>
          <w:bCs/>
          <w:color w:val="0F4761" w:themeColor="accent1" w:themeShade="BF"/>
        </w:rPr>
        <w:t>Impact Level: Medium</w:t>
      </w:r>
      <w:r w:rsidR="009377DB" w:rsidRPr="009018AB">
        <w:rPr>
          <w:rFonts w:ascii="Verdana" w:hAnsi="Verdana"/>
          <w:color w:val="0F4761" w:themeColor="accent1" w:themeShade="BF"/>
        </w:rPr>
        <w:br/>
      </w:r>
      <w:r w:rsidR="009377DB" w:rsidRPr="009018AB">
        <w:rPr>
          <w:rFonts w:ascii="Verdana" w:hAnsi="Verdana"/>
          <w:b/>
          <w:bCs/>
          <w:color w:val="0F4761" w:themeColor="accent1" w:themeShade="BF"/>
        </w:rPr>
        <w:t>So What:</w:t>
      </w:r>
      <w:r w:rsidR="009377DB" w:rsidRPr="009018AB">
        <w:rPr>
          <w:rFonts w:ascii="Verdana" w:hAnsi="Verdana"/>
          <w:color w:val="0F4761" w:themeColor="accent1" w:themeShade="BF"/>
        </w:rPr>
        <w:t xml:space="preserve"> Highlights ongoing gaps in compliance that may pose safety and medico-legal risk if not addressed.</w:t>
      </w:r>
    </w:p>
    <w:p w14:paraId="0276057F" w14:textId="5B565FC2" w:rsidR="009377DB" w:rsidRPr="009018AB" w:rsidRDefault="00252277" w:rsidP="009377DB">
      <w:pPr>
        <w:rPr>
          <w:rFonts w:ascii="Verdana" w:hAnsi="Verdana"/>
          <w:color w:val="0F4761" w:themeColor="accent1" w:themeShade="BF"/>
        </w:rPr>
      </w:pPr>
      <w:r w:rsidRPr="00DB5258">
        <w:rPr>
          <w:rStyle w:val="Strong"/>
          <w:rFonts w:ascii="Verdana" w:hAnsi="Verdana" w:cs="Segoe UI"/>
          <w:b w:val="0"/>
          <w:bCs w:val="0"/>
          <w:color w:val="0F4761"/>
        </w:rPr>
        <w:t>M</w:t>
      </w:r>
      <w:r w:rsidR="00394D60" w:rsidRPr="00DB5258">
        <w:rPr>
          <w:rStyle w:val="Strong"/>
          <w:rFonts w:ascii="Verdana" w:hAnsi="Verdana" w:cs="Segoe UI"/>
          <w:b w:val="0"/>
          <w:bCs w:val="0"/>
          <w:color w:val="0F4761"/>
        </w:rPr>
        <w:t xml:space="preserve">edicines and </w:t>
      </w:r>
      <w:r w:rsidRPr="00DB5258">
        <w:rPr>
          <w:rStyle w:val="Strong"/>
          <w:rFonts w:ascii="Verdana" w:hAnsi="Verdana" w:cs="Segoe UI"/>
          <w:b w:val="0"/>
          <w:bCs w:val="0"/>
          <w:color w:val="0F4761"/>
        </w:rPr>
        <w:t>H</w:t>
      </w:r>
      <w:r w:rsidR="00394D60" w:rsidRPr="00DB5258">
        <w:rPr>
          <w:rStyle w:val="Strong"/>
          <w:rFonts w:ascii="Verdana" w:hAnsi="Verdana" w:cs="Segoe UI"/>
          <w:b w:val="0"/>
          <w:bCs w:val="0"/>
          <w:color w:val="0F4761"/>
        </w:rPr>
        <w:t>ealthcare Products Regulatory Agency/</w:t>
      </w:r>
      <w:r w:rsidRPr="00DB5258">
        <w:rPr>
          <w:rStyle w:val="Strong"/>
          <w:rFonts w:ascii="Verdana" w:hAnsi="Verdana" w:cs="Segoe UI"/>
          <w:b w:val="0"/>
          <w:bCs w:val="0"/>
          <w:color w:val="0F4761"/>
        </w:rPr>
        <w:t>B</w:t>
      </w:r>
      <w:r w:rsidR="00394D60" w:rsidRPr="00DB5258">
        <w:rPr>
          <w:rStyle w:val="Strong"/>
          <w:rFonts w:ascii="Verdana" w:hAnsi="Verdana" w:cs="Segoe UI"/>
          <w:b w:val="0"/>
          <w:bCs w:val="0"/>
          <w:color w:val="0F4761"/>
        </w:rPr>
        <w:t xml:space="preserve">ritish </w:t>
      </w:r>
      <w:r w:rsidRPr="00DB5258">
        <w:rPr>
          <w:rStyle w:val="Strong"/>
          <w:rFonts w:ascii="Verdana" w:hAnsi="Verdana" w:cs="Segoe UI"/>
          <w:b w:val="0"/>
          <w:bCs w:val="0"/>
          <w:color w:val="0F4761"/>
        </w:rPr>
        <w:t>H</w:t>
      </w:r>
      <w:r w:rsidR="00394D60" w:rsidRPr="00DB5258">
        <w:rPr>
          <w:rStyle w:val="Strong"/>
          <w:rFonts w:ascii="Verdana" w:hAnsi="Verdana" w:cs="Segoe UI"/>
          <w:b w:val="0"/>
          <w:bCs w:val="0"/>
          <w:color w:val="0F4761"/>
        </w:rPr>
        <w:t xml:space="preserve">eart </w:t>
      </w:r>
      <w:r w:rsidRPr="00DB5258">
        <w:rPr>
          <w:rStyle w:val="Strong"/>
          <w:rFonts w:ascii="Verdana" w:hAnsi="Verdana" w:cs="Segoe UI"/>
          <w:b w:val="0"/>
          <w:bCs w:val="0"/>
          <w:color w:val="0F4761"/>
        </w:rPr>
        <w:t>R</w:t>
      </w:r>
      <w:r w:rsidR="00394D60" w:rsidRPr="00DB5258">
        <w:rPr>
          <w:rStyle w:val="Strong"/>
          <w:rFonts w:ascii="Verdana" w:hAnsi="Verdana" w:cs="Segoe UI"/>
          <w:b w:val="0"/>
          <w:bCs w:val="0"/>
          <w:color w:val="0F4761"/>
        </w:rPr>
        <w:t xml:space="preserve">hythm </w:t>
      </w:r>
      <w:r w:rsidRPr="00DB5258">
        <w:rPr>
          <w:rStyle w:val="Strong"/>
          <w:rFonts w:ascii="Verdana" w:hAnsi="Verdana" w:cs="Segoe UI"/>
          <w:b w:val="0"/>
          <w:bCs w:val="0"/>
          <w:color w:val="0F4761"/>
        </w:rPr>
        <w:t>S</w:t>
      </w:r>
      <w:r w:rsidR="00394D60" w:rsidRPr="00DB5258">
        <w:rPr>
          <w:rStyle w:val="Strong"/>
          <w:rFonts w:ascii="Verdana" w:hAnsi="Verdana" w:cs="Segoe UI"/>
          <w:b w:val="0"/>
          <w:bCs w:val="0"/>
          <w:color w:val="0F4761"/>
        </w:rPr>
        <w:t>ociety</w:t>
      </w:r>
      <w:r w:rsidRPr="00DB5258">
        <w:rPr>
          <w:rStyle w:val="Strong"/>
          <w:rFonts w:ascii="Verdana" w:hAnsi="Verdana" w:cs="Segoe UI"/>
          <w:b w:val="0"/>
          <w:bCs w:val="0"/>
          <w:color w:val="0F4761"/>
        </w:rPr>
        <w:t xml:space="preserve"> Nationwide Audit on Pacemaker Programming Post</w:t>
      </w:r>
      <w:r w:rsidRPr="00DB5258">
        <w:rPr>
          <w:rStyle w:val="Strong"/>
          <w:rFonts w:ascii="Verdana" w:hAnsi="Verdana" w:cs="Segoe UI"/>
          <w:b w:val="0"/>
          <w:bCs w:val="0"/>
          <w:color w:val="0F4761"/>
        </w:rPr>
        <w:noBreakHyphen/>
        <w:t xml:space="preserve">Atrioventricular Node Ablation.  </w:t>
      </w:r>
      <w:r w:rsidRPr="00DB5258">
        <w:rPr>
          <w:rFonts w:ascii="Verdana" w:hAnsi="Verdana" w:cs="Segoe UI"/>
        </w:rPr>
        <w:t xml:space="preserve">Excellent compliance, with </w:t>
      </w:r>
      <w:r w:rsidRPr="00DB5258">
        <w:rPr>
          <w:rStyle w:val="Strong"/>
          <w:rFonts w:ascii="Verdana" w:eastAsiaTheme="majorEastAsia" w:hAnsi="Verdana" w:cs="Segoe UI"/>
          <w:b w:val="0"/>
          <w:bCs w:val="0"/>
        </w:rPr>
        <w:t>&lt;0.1%</w:t>
      </w:r>
      <w:r w:rsidRPr="00DB5258">
        <w:rPr>
          <w:rFonts w:ascii="Verdana" w:hAnsi="Verdana" w:cs="Segoe UI"/>
        </w:rPr>
        <w:t xml:space="preserve"> of patients programmed outside European Society of Cardiology guidelines, aligning with national findings. One year of data provides strong reassurance with </w:t>
      </w:r>
      <w:r w:rsidRPr="00DB5258">
        <w:rPr>
          <w:rStyle w:val="Strong"/>
          <w:rFonts w:ascii="Verdana" w:eastAsiaTheme="majorEastAsia" w:hAnsi="Verdana" w:cs="Segoe UI"/>
          <w:b w:val="0"/>
          <w:bCs w:val="0"/>
        </w:rPr>
        <w:t>no</w:t>
      </w:r>
      <w:r w:rsidRPr="00DB5258">
        <w:rPr>
          <w:rStyle w:val="Strong"/>
          <w:rFonts w:ascii="Verdana" w:eastAsiaTheme="majorEastAsia" w:hAnsi="Verdana" w:cs="Segoe UI"/>
        </w:rPr>
        <w:t xml:space="preserve"> </w:t>
      </w:r>
      <w:r w:rsidRPr="00DB5258">
        <w:rPr>
          <w:rStyle w:val="Strong"/>
          <w:rFonts w:ascii="Verdana" w:eastAsiaTheme="majorEastAsia" w:hAnsi="Verdana" w:cs="Segoe UI"/>
          <w:b w:val="0"/>
          <w:bCs w:val="0"/>
        </w:rPr>
        <w:t>identified concerns</w:t>
      </w:r>
      <w:r w:rsidRPr="00DB5258">
        <w:rPr>
          <w:rFonts w:ascii="Verdana" w:hAnsi="Verdana" w:cs="Segoe UI"/>
        </w:rPr>
        <w:t xml:space="preserve"> and good overall assurance. </w:t>
      </w:r>
      <w:r w:rsidRPr="00DB5258">
        <w:rPr>
          <w:rStyle w:val="Emphasis"/>
          <w:rFonts w:ascii="Verdana" w:eastAsiaTheme="majorEastAsia" w:hAnsi="Verdana" w:cs="Segoe UI"/>
        </w:rPr>
        <w:t>(Risk score: 8)</w:t>
      </w:r>
      <w:r w:rsidR="009377DB" w:rsidRPr="00DB5258">
        <w:rPr>
          <w:rStyle w:val="Emphasis"/>
          <w:rFonts w:ascii="Verdana" w:eastAsiaTheme="majorEastAsia" w:hAnsi="Verdana" w:cs="Segoe UI"/>
        </w:rPr>
        <w:t xml:space="preserve">                                                                                                    </w:t>
      </w:r>
      <w:r w:rsidR="009377DB" w:rsidRPr="009018AB">
        <w:rPr>
          <w:rFonts w:ascii="Verdana" w:hAnsi="Verdana"/>
          <w:b/>
          <w:bCs/>
          <w:color w:val="0F4761" w:themeColor="accent1" w:themeShade="BF"/>
        </w:rPr>
        <w:t>Impact Level: Assurance</w:t>
      </w:r>
    </w:p>
    <w:p w14:paraId="58E32916" w14:textId="32F6AEDC" w:rsidR="009377DB" w:rsidRPr="009018AB" w:rsidRDefault="00252277" w:rsidP="009377DB">
      <w:pPr>
        <w:rPr>
          <w:rFonts w:ascii="Verdana" w:hAnsi="Verdana"/>
          <w:color w:val="0F4761" w:themeColor="accent1" w:themeShade="BF"/>
        </w:rPr>
      </w:pPr>
      <w:r w:rsidRPr="00DB5258">
        <w:rPr>
          <w:rFonts w:ascii="Verdana" w:hAnsi="Verdana" w:cs="Segoe UI"/>
          <w:color w:val="0F4761"/>
        </w:rPr>
        <w:t xml:space="preserve">Bioprosthetic Valve Outcomes in Patients Under 60.  </w:t>
      </w:r>
      <w:r w:rsidRPr="00DB5258">
        <w:rPr>
          <w:rFonts w:ascii="Verdana" w:hAnsi="Verdana" w:cs="Segoe UI"/>
        </w:rPr>
        <w:t xml:space="preserve">The audit assessed outcomes of bioprosthetic valve use in younger patients and identified no significant concerns. Residual risk was low. </w:t>
      </w:r>
      <w:r w:rsidRPr="00DB5258">
        <w:rPr>
          <w:rStyle w:val="Emphasis"/>
          <w:rFonts w:ascii="Verdana" w:eastAsiaTheme="majorEastAsia" w:hAnsi="Verdana" w:cs="Segoe UI"/>
        </w:rPr>
        <w:t>(Risk score: 2)</w:t>
      </w:r>
      <w:r w:rsidR="009377DB">
        <w:rPr>
          <w:rStyle w:val="Emphasis"/>
          <w:rFonts w:ascii="Verdana" w:eastAsiaTheme="majorEastAsia" w:hAnsi="Verdana" w:cs="Segoe UI"/>
          <w:sz w:val="24"/>
          <w:szCs w:val="24"/>
        </w:rPr>
        <w:t xml:space="preserve">                                </w:t>
      </w:r>
      <w:r w:rsidR="009377DB" w:rsidRPr="009018AB">
        <w:rPr>
          <w:rFonts w:ascii="Verdana" w:hAnsi="Verdana"/>
          <w:b/>
          <w:bCs/>
          <w:color w:val="0F4761" w:themeColor="accent1" w:themeShade="BF"/>
        </w:rPr>
        <w:t>Impact Level: Assurance</w:t>
      </w:r>
    </w:p>
    <w:p w14:paraId="694A28A4" w14:textId="77777777" w:rsidR="00252277" w:rsidRPr="003E2BE0" w:rsidRDefault="00252277" w:rsidP="00252277">
      <w:pPr>
        <w:spacing w:before="100" w:beforeAutospacing="1" w:after="100" w:afterAutospacing="1" w:line="240" w:lineRule="auto"/>
        <w:rPr>
          <w:rFonts w:ascii="Verdana" w:hAnsi="Verdana" w:cs="Segoe UI"/>
          <w:b/>
          <w:bCs/>
          <w:color w:val="0F4761"/>
          <w:sz w:val="24"/>
          <w:szCs w:val="24"/>
        </w:rPr>
      </w:pPr>
      <w:r w:rsidRPr="003E2BE0">
        <w:rPr>
          <w:rFonts w:ascii="Verdana" w:hAnsi="Verdana" w:cs="Segoe UI"/>
          <w:b/>
          <w:bCs/>
          <w:color w:val="0F4761"/>
          <w:sz w:val="24"/>
          <w:szCs w:val="24"/>
        </w:rPr>
        <w:t>Emergency Department</w:t>
      </w:r>
    </w:p>
    <w:p w14:paraId="67FA3F2A" w14:textId="0AD4CA48" w:rsidR="00094ECD" w:rsidRPr="009018AB" w:rsidRDefault="00252277" w:rsidP="00094ECD">
      <w:pPr>
        <w:rPr>
          <w:rFonts w:ascii="Verdana" w:hAnsi="Verdana"/>
          <w:color w:val="0F4761" w:themeColor="accent1" w:themeShade="BF"/>
        </w:rPr>
      </w:pPr>
      <w:r w:rsidRPr="00DB5258">
        <w:rPr>
          <w:rFonts w:ascii="Verdana" w:hAnsi="Verdana" w:cs="Segoe UI"/>
          <w:color w:val="0F4761"/>
        </w:rPr>
        <w:t xml:space="preserve">Spontaneous Pneumothorax in Adults.  </w:t>
      </w:r>
      <w:r w:rsidRPr="00DB5258">
        <w:rPr>
          <w:rFonts w:ascii="Verdana" w:hAnsi="Verdana" w:cs="Segoe UI"/>
        </w:rPr>
        <w:t>The audit provided assurance that spontaneous pneumothorax cases were managed in line with expected standards in the Emergency Department. No significant risks were identified and re</w:t>
      </w:r>
      <w:r w:rsidRPr="00DB5258">
        <w:rPr>
          <w:rFonts w:ascii="Verdana" w:hAnsi="Verdana" w:cs="Segoe UI"/>
        </w:rPr>
        <w:noBreakHyphen/>
        <w:t xml:space="preserve">audit was not required. </w:t>
      </w:r>
      <w:r w:rsidRPr="00DB5258">
        <w:rPr>
          <w:rStyle w:val="Emphasis"/>
          <w:rFonts w:ascii="Verdana" w:eastAsiaTheme="majorEastAsia" w:hAnsi="Verdana" w:cs="Segoe UI"/>
        </w:rPr>
        <w:t>(Risk score: 9)</w:t>
      </w:r>
      <w:r w:rsidR="00094ECD">
        <w:rPr>
          <w:rStyle w:val="Emphasis"/>
          <w:rFonts w:ascii="Verdana" w:eastAsiaTheme="majorEastAsia" w:hAnsi="Verdana" w:cs="Segoe UI"/>
          <w:sz w:val="24"/>
          <w:szCs w:val="24"/>
        </w:rPr>
        <w:t xml:space="preserve">                                        </w:t>
      </w:r>
      <w:r w:rsidR="00DB5258">
        <w:rPr>
          <w:b/>
          <w:bCs/>
          <w:color w:val="0F4761" w:themeColor="accent1" w:themeShade="BF"/>
        </w:rPr>
        <w:t xml:space="preserve">                                                 </w:t>
      </w:r>
      <w:r w:rsidR="00094ECD" w:rsidRPr="00DB5258">
        <w:rPr>
          <w:b/>
          <w:bCs/>
          <w:color w:val="0F4761" w:themeColor="accent1" w:themeShade="BF"/>
        </w:rPr>
        <w:t xml:space="preserve"> </w:t>
      </w:r>
      <w:r w:rsidR="00094ECD" w:rsidRPr="009018AB">
        <w:rPr>
          <w:rFonts w:ascii="Verdana" w:hAnsi="Verdana"/>
          <w:b/>
          <w:bCs/>
          <w:color w:val="0F4761" w:themeColor="accent1" w:themeShade="BF"/>
        </w:rPr>
        <w:t>Impact Level: Assurance</w:t>
      </w:r>
    </w:p>
    <w:p w14:paraId="19307605" w14:textId="7218F425" w:rsidR="00094ECD" w:rsidRPr="009018AB" w:rsidRDefault="00252277" w:rsidP="00094ECD">
      <w:pPr>
        <w:rPr>
          <w:rFonts w:ascii="Verdana" w:hAnsi="Verdana"/>
          <w:color w:val="153D63" w:themeColor="text2" w:themeTint="E6"/>
        </w:rPr>
      </w:pPr>
      <w:r w:rsidRPr="00DB5258">
        <w:rPr>
          <w:rFonts w:ascii="Verdana" w:hAnsi="Verdana" w:cs="Segoe UI"/>
          <w:color w:val="0F4761"/>
        </w:rPr>
        <w:t xml:space="preserve">Mental Health (Emergency Department Interface).  </w:t>
      </w:r>
      <w:r w:rsidRPr="00DB5258">
        <w:rPr>
          <w:rFonts w:ascii="Verdana" w:hAnsi="Verdana" w:cs="Segoe UI"/>
        </w:rPr>
        <w:t xml:space="preserve">The audit highlighted significant patient safety concerns relating to identification, assessment delays, and access to psychiatric assessment, particularly overnight. Long waits, transport issues, and absence of an onsite service resulted in a high residual risk despite completion of the project. </w:t>
      </w:r>
      <w:r w:rsidRPr="00DB5258">
        <w:rPr>
          <w:rStyle w:val="Emphasis"/>
          <w:rFonts w:ascii="Verdana" w:eastAsiaTheme="majorEastAsia" w:hAnsi="Verdana" w:cs="Segoe UI"/>
        </w:rPr>
        <w:t>(Risk score: 20)</w:t>
      </w:r>
      <w:r w:rsidR="00094ECD">
        <w:rPr>
          <w:rStyle w:val="Emphasis"/>
          <w:rFonts w:ascii="Verdana" w:eastAsiaTheme="majorEastAsia" w:hAnsi="Verdana" w:cs="Segoe UI"/>
          <w:sz w:val="24"/>
          <w:szCs w:val="24"/>
        </w:rPr>
        <w:t xml:space="preserve">  </w:t>
      </w:r>
      <w:r w:rsidR="00DB5258">
        <w:rPr>
          <w:rFonts w:ascii="Verdana" w:hAnsi="Verdana"/>
          <w:b/>
          <w:bCs/>
          <w:color w:val="153D63" w:themeColor="text2" w:themeTint="E6"/>
        </w:rPr>
        <w:t xml:space="preserve">                                                           </w:t>
      </w:r>
      <w:r w:rsidR="00094ECD" w:rsidRPr="009018AB">
        <w:rPr>
          <w:rFonts w:ascii="Verdana" w:hAnsi="Verdana"/>
          <w:b/>
          <w:bCs/>
          <w:color w:val="153D63" w:themeColor="text2" w:themeTint="E6"/>
        </w:rPr>
        <w:t>Impact Level: Strong</w:t>
      </w:r>
      <w:r w:rsidR="00094ECD" w:rsidRPr="009018AB">
        <w:rPr>
          <w:rFonts w:ascii="Verdana" w:hAnsi="Verdana"/>
          <w:color w:val="153D63" w:themeColor="text2" w:themeTint="E6"/>
        </w:rPr>
        <w:br/>
      </w:r>
      <w:r w:rsidR="00094ECD" w:rsidRPr="009018AB">
        <w:rPr>
          <w:rFonts w:ascii="Verdana" w:hAnsi="Verdana"/>
          <w:b/>
          <w:bCs/>
          <w:color w:val="153D63" w:themeColor="text2" w:themeTint="E6"/>
        </w:rPr>
        <w:t>So What:</w:t>
      </w:r>
      <w:r w:rsidR="00094ECD" w:rsidRPr="009018AB">
        <w:rPr>
          <w:rFonts w:ascii="Verdana" w:hAnsi="Verdana"/>
          <w:color w:val="153D63" w:themeColor="text2" w:themeTint="E6"/>
        </w:rPr>
        <w:t xml:space="preserve"> Escalates major system risks requiring urgent redesign of services.</w:t>
      </w:r>
    </w:p>
    <w:p w14:paraId="4579F92A" w14:textId="77726A73" w:rsidR="00094ECD" w:rsidRPr="00DB5258" w:rsidRDefault="00252277" w:rsidP="00094ECD">
      <w:pPr>
        <w:rPr>
          <w:rFonts w:ascii="Verdana" w:hAnsi="Verdana"/>
          <w:color w:val="153D63" w:themeColor="text2" w:themeTint="E6"/>
        </w:rPr>
      </w:pPr>
      <w:r w:rsidRPr="00DB5258">
        <w:rPr>
          <w:rFonts w:ascii="Verdana" w:hAnsi="Verdana" w:cs="Segoe UI"/>
          <w:color w:val="0F4761"/>
        </w:rPr>
        <w:t>Asthma.</w:t>
      </w:r>
      <w:r w:rsidRPr="00DB5258">
        <w:rPr>
          <w:rFonts w:ascii="Verdana" w:hAnsi="Verdana" w:cs="Segoe UI"/>
        </w:rPr>
        <w:t xml:space="preserve">  The audit demonstrated good compliance with oxygen administration but identified gaps in documentation, escalation, and discharge planning. Actions remain partially complete, and assurance is limited due to incomplete data capture. </w:t>
      </w:r>
      <w:r w:rsidRPr="00DB5258">
        <w:rPr>
          <w:rStyle w:val="Emphasis"/>
          <w:rFonts w:ascii="Verdana" w:eastAsiaTheme="majorEastAsia" w:hAnsi="Verdana" w:cs="Segoe UI"/>
        </w:rPr>
        <w:t>(Risk score</w:t>
      </w:r>
      <w:r w:rsidR="009018AB" w:rsidRPr="00DB5258">
        <w:rPr>
          <w:rStyle w:val="Emphasis"/>
          <w:rFonts w:ascii="Verdana" w:eastAsiaTheme="majorEastAsia" w:hAnsi="Verdana" w:cs="Segoe UI"/>
        </w:rPr>
        <w:t xml:space="preserve"> not provided</w:t>
      </w:r>
      <w:r w:rsidRPr="00DB5258">
        <w:rPr>
          <w:rStyle w:val="Emphasis"/>
          <w:rFonts w:ascii="Verdana" w:eastAsiaTheme="majorEastAsia" w:hAnsi="Verdana" w:cs="Segoe UI"/>
        </w:rPr>
        <w:t>)</w:t>
      </w:r>
      <w:r w:rsidR="00094ECD">
        <w:rPr>
          <w:rStyle w:val="Emphasis"/>
          <w:rFonts w:ascii="Verdana" w:eastAsiaTheme="majorEastAsia" w:hAnsi="Verdana" w:cs="Segoe UI"/>
          <w:sz w:val="24"/>
          <w:szCs w:val="24"/>
        </w:rPr>
        <w:t xml:space="preserve">                                   </w:t>
      </w:r>
      <w:r w:rsidR="00DB5258">
        <w:rPr>
          <w:b/>
          <w:bCs/>
          <w:color w:val="153D63" w:themeColor="text2" w:themeTint="E6"/>
        </w:rPr>
        <w:t xml:space="preserve">                                                          </w:t>
      </w:r>
      <w:r w:rsidR="00094ECD" w:rsidRPr="00DB5258">
        <w:rPr>
          <w:b/>
          <w:bCs/>
          <w:color w:val="153D63" w:themeColor="text2" w:themeTint="E6"/>
        </w:rPr>
        <w:t xml:space="preserve"> </w:t>
      </w:r>
      <w:r w:rsidR="00094ECD" w:rsidRPr="00DB5258">
        <w:rPr>
          <w:rFonts w:ascii="Verdana" w:hAnsi="Verdana"/>
          <w:b/>
          <w:bCs/>
          <w:color w:val="153D63" w:themeColor="text2" w:themeTint="E6"/>
        </w:rPr>
        <w:t>Impact Level: Medium</w:t>
      </w:r>
    </w:p>
    <w:p w14:paraId="1913966D" w14:textId="23C2CA72" w:rsidR="00094ECD" w:rsidRPr="007961F6" w:rsidRDefault="00252277" w:rsidP="00094ECD">
      <w:r w:rsidRPr="00DB5258">
        <w:rPr>
          <w:rFonts w:ascii="Verdana" w:hAnsi="Verdana" w:cs="Segoe UI"/>
          <w:color w:val="0F4761"/>
        </w:rPr>
        <w:t>Cutting Cost, Not Care: Blood Bottle Use in Emergency Department</w:t>
      </w:r>
      <w:r w:rsidRPr="00DB5258">
        <w:rPr>
          <w:rFonts w:ascii="Verdana" w:hAnsi="Verdana" w:cs="Segoe UI"/>
        </w:rPr>
        <w:t xml:space="preserve">.  The audit demonstrated significant financial, environmental, and operational benefit without impacting patient safety. Ongoing adherence was identified as the primary risk to sustainability. </w:t>
      </w:r>
      <w:r w:rsidRPr="00DB5258">
        <w:rPr>
          <w:rStyle w:val="Emphasis"/>
          <w:rFonts w:ascii="Verdana" w:eastAsiaTheme="majorEastAsia" w:hAnsi="Verdana" w:cs="Segoe UI"/>
        </w:rPr>
        <w:t>(Risk score: 9)</w:t>
      </w:r>
      <w:r w:rsidR="00094ECD">
        <w:rPr>
          <w:rStyle w:val="Emphasis"/>
          <w:rFonts w:ascii="Verdana" w:eastAsiaTheme="majorEastAsia" w:hAnsi="Verdana" w:cs="Segoe UI"/>
          <w:sz w:val="24"/>
          <w:szCs w:val="24"/>
        </w:rPr>
        <w:t xml:space="preserve">                             </w:t>
      </w:r>
      <w:r w:rsidR="00DB5258">
        <w:rPr>
          <w:rStyle w:val="Emphasis"/>
          <w:rFonts w:ascii="Verdana" w:eastAsiaTheme="majorEastAsia" w:hAnsi="Verdana" w:cs="Segoe UI"/>
          <w:sz w:val="24"/>
          <w:szCs w:val="24"/>
        </w:rPr>
        <w:t xml:space="preserve">                                        </w:t>
      </w:r>
      <w:r w:rsidR="00094ECD">
        <w:rPr>
          <w:rStyle w:val="Emphasis"/>
          <w:rFonts w:ascii="Verdana" w:eastAsiaTheme="majorEastAsia" w:hAnsi="Verdana" w:cs="Segoe UI"/>
          <w:sz w:val="24"/>
          <w:szCs w:val="24"/>
        </w:rPr>
        <w:t xml:space="preserve"> </w:t>
      </w:r>
      <w:r w:rsidR="00094ECD" w:rsidRPr="009018AB">
        <w:rPr>
          <w:rFonts w:ascii="Verdana" w:hAnsi="Verdana"/>
          <w:b/>
          <w:bCs/>
          <w:color w:val="153D63" w:themeColor="text2" w:themeTint="E6"/>
        </w:rPr>
        <w:t>Impact Level: Strong</w:t>
      </w:r>
      <w:r w:rsidR="00094ECD" w:rsidRPr="009018AB">
        <w:rPr>
          <w:rFonts w:ascii="Verdana" w:hAnsi="Verdana"/>
          <w:color w:val="153D63" w:themeColor="text2" w:themeTint="E6"/>
        </w:rPr>
        <w:br/>
      </w:r>
      <w:r w:rsidR="00094ECD" w:rsidRPr="009018AB">
        <w:rPr>
          <w:rFonts w:ascii="Verdana" w:hAnsi="Verdana"/>
          <w:b/>
          <w:bCs/>
          <w:color w:val="153D63" w:themeColor="text2" w:themeTint="E6"/>
        </w:rPr>
        <w:lastRenderedPageBreak/>
        <w:t>So What:</w:t>
      </w:r>
      <w:r w:rsidR="00094ECD" w:rsidRPr="009018AB">
        <w:rPr>
          <w:rFonts w:ascii="Verdana" w:hAnsi="Verdana"/>
          <w:color w:val="153D63" w:themeColor="text2" w:themeTint="E6"/>
        </w:rPr>
        <w:t xml:space="preserve"> Demonstrates efficiency and sustainability benefits that require continued adherence to maintain impact.</w:t>
      </w:r>
    </w:p>
    <w:p w14:paraId="0F96630D" w14:textId="4CB3117B" w:rsidR="00252277" w:rsidRPr="00F8655E" w:rsidRDefault="00252277" w:rsidP="00252277">
      <w:pPr>
        <w:spacing w:before="100" w:beforeAutospacing="1" w:after="100" w:afterAutospacing="1" w:line="240" w:lineRule="auto"/>
        <w:rPr>
          <w:rFonts w:ascii="Verdana" w:hAnsi="Verdana" w:cs="Segoe UI"/>
          <w:b/>
          <w:bCs/>
          <w:color w:val="0F4761"/>
          <w:sz w:val="24"/>
          <w:szCs w:val="24"/>
        </w:rPr>
      </w:pPr>
      <w:r w:rsidRPr="00F8655E">
        <w:rPr>
          <w:rFonts w:ascii="Verdana" w:hAnsi="Verdana" w:cs="Segoe UI"/>
          <w:b/>
          <w:bCs/>
          <w:color w:val="0F4761"/>
          <w:sz w:val="24"/>
          <w:szCs w:val="24"/>
        </w:rPr>
        <w:t>Gastroenterology</w:t>
      </w:r>
    </w:p>
    <w:p w14:paraId="6939FA08" w14:textId="086DF1D9" w:rsidR="00094ECD" w:rsidRPr="00DB5258" w:rsidRDefault="00252277" w:rsidP="00094ECD">
      <w:r w:rsidRPr="00DB5258">
        <w:rPr>
          <w:rFonts w:ascii="Verdana" w:hAnsi="Verdana" w:cs="Segoe UI"/>
          <w:color w:val="0F4761"/>
        </w:rPr>
        <w:t>Management of Alcohol Withdrawal in Gastroenterology.</w:t>
      </w:r>
      <w:r w:rsidRPr="00DB5258">
        <w:rPr>
          <w:rFonts w:ascii="Verdana" w:hAnsi="Verdana" w:cs="Segoe UI"/>
        </w:rPr>
        <w:t xml:space="preserve">  The audit demonstrated good compliance with Clinical Institute Withdrawal Assessment prescribing and medication initiation. Significant gaps in monitoring, documentation, and appropriate medication use resulted in ongoing risk and the need for re</w:t>
      </w:r>
      <w:r w:rsidRPr="00DB5258">
        <w:rPr>
          <w:rFonts w:ascii="Verdana" w:hAnsi="Verdana" w:cs="Segoe UI"/>
        </w:rPr>
        <w:noBreakHyphen/>
        <w:t xml:space="preserve">audit. </w:t>
      </w:r>
      <w:r w:rsidRPr="00DB5258">
        <w:rPr>
          <w:rStyle w:val="Emphasis"/>
          <w:rFonts w:ascii="Verdana" w:eastAsiaTheme="majorEastAsia" w:hAnsi="Verdana" w:cs="Segoe UI"/>
        </w:rPr>
        <w:t>(Risk score: 6)</w:t>
      </w:r>
      <w:r w:rsidR="00094ECD">
        <w:rPr>
          <w:rStyle w:val="Emphasis"/>
          <w:rFonts w:ascii="Verdana" w:eastAsiaTheme="majorEastAsia" w:hAnsi="Verdana" w:cs="Segoe UI"/>
          <w:sz w:val="24"/>
          <w:szCs w:val="24"/>
        </w:rPr>
        <w:t xml:space="preserve">                                      </w:t>
      </w:r>
      <w:r w:rsidR="00DB5258">
        <w:rPr>
          <w:b/>
          <w:bCs/>
          <w:color w:val="153D63" w:themeColor="text2" w:themeTint="E6"/>
        </w:rPr>
        <w:t xml:space="preserve">                                              </w:t>
      </w:r>
      <w:r w:rsidR="00094ECD" w:rsidRPr="00DB5258">
        <w:rPr>
          <w:b/>
          <w:bCs/>
          <w:color w:val="153D63" w:themeColor="text2" w:themeTint="E6"/>
        </w:rPr>
        <w:t xml:space="preserve"> </w:t>
      </w:r>
      <w:r w:rsidR="00094ECD" w:rsidRPr="00AD204E">
        <w:rPr>
          <w:rFonts w:ascii="Verdana" w:hAnsi="Verdana"/>
          <w:b/>
          <w:bCs/>
          <w:color w:val="153D63" w:themeColor="text2" w:themeTint="E6"/>
        </w:rPr>
        <w:t>Impact Level: Medium</w:t>
      </w:r>
      <w:r w:rsidR="00094ECD" w:rsidRPr="00AD204E">
        <w:rPr>
          <w:rFonts w:ascii="Verdana" w:hAnsi="Verdana"/>
          <w:color w:val="153D63" w:themeColor="text2" w:themeTint="E6"/>
        </w:rPr>
        <w:br/>
      </w:r>
      <w:r w:rsidR="00094ECD" w:rsidRPr="00AD204E">
        <w:rPr>
          <w:rFonts w:ascii="Verdana" w:hAnsi="Verdana"/>
          <w:b/>
          <w:bCs/>
          <w:color w:val="153D63" w:themeColor="text2" w:themeTint="E6"/>
        </w:rPr>
        <w:t>So What:</w:t>
      </w:r>
      <w:r w:rsidR="00094ECD" w:rsidRPr="00AD204E">
        <w:rPr>
          <w:rFonts w:ascii="Verdana" w:hAnsi="Verdana"/>
          <w:color w:val="153D63" w:themeColor="text2" w:themeTint="E6"/>
        </w:rPr>
        <w:t xml:space="preserve"> Identifies gaps in monitoring and medication use that present ongoing </w:t>
      </w:r>
      <w:r w:rsidR="00094ECD" w:rsidRPr="00DB5258">
        <w:rPr>
          <w:rFonts w:ascii="Verdana" w:hAnsi="Verdana"/>
          <w:color w:val="153D63" w:themeColor="text2" w:themeTint="E6"/>
        </w:rPr>
        <w:t>risk.</w:t>
      </w:r>
    </w:p>
    <w:p w14:paraId="18B60E17" w14:textId="187A631C" w:rsidR="00094ECD" w:rsidRPr="00AD204E" w:rsidRDefault="00252277" w:rsidP="00094ECD">
      <w:pPr>
        <w:rPr>
          <w:rFonts w:ascii="Verdana" w:hAnsi="Verdana"/>
          <w:color w:val="153D63" w:themeColor="text2" w:themeTint="E6"/>
        </w:rPr>
      </w:pPr>
      <w:r w:rsidRPr="00DB5258">
        <w:rPr>
          <w:rStyle w:val="Strong"/>
          <w:rFonts w:ascii="Verdana" w:hAnsi="Verdana" w:cs="Segoe UI"/>
          <w:b w:val="0"/>
          <w:bCs w:val="0"/>
          <w:color w:val="0F4761"/>
        </w:rPr>
        <w:t xml:space="preserve">Comparing Ultrasound </w:t>
      </w:r>
      <w:r w:rsidR="0063327B" w:rsidRPr="00DB5258">
        <w:rPr>
          <w:rStyle w:val="Strong"/>
          <w:rFonts w:ascii="Verdana" w:hAnsi="Verdana" w:cs="Segoe UI"/>
          <w:b w:val="0"/>
          <w:bCs w:val="0"/>
          <w:color w:val="0F4761"/>
        </w:rPr>
        <w:t xml:space="preserve">(US) </w:t>
      </w:r>
      <w:r w:rsidRPr="00DB5258">
        <w:rPr>
          <w:rStyle w:val="Strong"/>
          <w:rFonts w:ascii="Verdana" w:hAnsi="Verdana" w:cs="Segoe UI"/>
          <w:b w:val="0"/>
          <w:bCs w:val="0"/>
          <w:color w:val="0F4761"/>
        </w:rPr>
        <w:t>Reporting for Hepatocellular Carcinoma to the US L</w:t>
      </w:r>
      <w:r w:rsidR="0063327B" w:rsidRPr="00DB5258">
        <w:rPr>
          <w:rStyle w:val="Strong"/>
          <w:rFonts w:ascii="Verdana" w:hAnsi="Verdana" w:cs="Segoe UI"/>
          <w:b w:val="0"/>
          <w:bCs w:val="0"/>
          <w:color w:val="0F4761"/>
        </w:rPr>
        <w:t xml:space="preserve">iver </w:t>
      </w:r>
      <w:r w:rsidRPr="00DB5258">
        <w:rPr>
          <w:rStyle w:val="Strong"/>
          <w:rFonts w:ascii="Verdana" w:hAnsi="Verdana" w:cs="Segoe UI"/>
          <w:b w:val="0"/>
          <w:bCs w:val="0"/>
          <w:color w:val="0F4761"/>
        </w:rPr>
        <w:t>I</w:t>
      </w:r>
      <w:r w:rsidR="0063327B" w:rsidRPr="00DB5258">
        <w:rPr>
          <w:rStyle w:val="Strong"/>
          <w:rFonts w:ascii="Verdana" w:hAnsi="Verdana" w:cs="Segoe UI"/>
          <w:b w:val="0"/>
          <w:bCs w:val="0"/>
          <w:color w:val="0F4761"/>
        </w:rPr>
        <w:t xml:space="preserve">maging Reporting and Data System (LI-RADS) </w:t>
      </w:r>
      <w:r w:rsidRPr="00DB5258">
        <w:rPr>
          <w:rStyle w:val="Strong"/>
          <w:rFonts w:ascii="Verdana" w:hAnsi="Verdana" w:cs="Segoe UI"/>
          <w:b w:val="0"/>
          <w:bCs w:val="0"/>
          <w:color w:val="0F4761"/>
        </w:rPr>
        <w:t xml:space="preserve">Algorithm.  </w:t>
      </w:r>
      <w:r w:rsidRPr="00DB5258">
        <w:rPr>
          <w:rFonts w:ascii="Verdana" w:hAnsi="Verdana" w:cs="Segoe UI"/>
        </w:rPr>
        <w:t>Good overall compliance with recommended reporting standards (</w:t>
      </w:r>
      <w:r w:rsidRPr="00DB5258">
        <w:rPr>
          <w:rStyle w:val="Strong"/>
          <w:rFonts w:ascii="Verdana" w:eastAsiaTheme="majorEastAsia" w:hAnsi="Verdana" w:cs="Segoe UI"/>
          <w:b w:val="0"/>
          <w:bCs w:val="0"/>
        </w:rPr>
        <w:t>84% compliance</w:t>
      </w:r>
      <w:r w:rsidRPr="00DB5258">
        <w:rPr>
          <w:rFonts w:ascii="Verdana" w:hAnsi="Verdana" w:cs="Segoe UI"/>
        </w:rPr>
        <w:t>), with most reports including key elements and no immediate need for standardised templates identified.  Inconsistent reporting of lesion size and non</w:t>
      </w:r>
      <w:r w:rsidRPr="00DB5258">
        <w:rPr>
          <w:rFonts w:ascii="Verdana" w:hAnsi="Verdana" w:cs="Segoe UI"/>
        </w:rPr>
        <w:noBreakHyphen/>
        <w:t>use of formal LI</w:t>
      </w:r>
      <w:r w:rsidRPr="00DB5258">
        <w:rPr>
          <w:rFonts w:ascii="Verdana" w:hAnsi="Verdana" w:cs="Segoe UI"/>
        </w:rPr>
        <w:noBreakHyphen/>
        <w:t xml:space="preserve">RADS outcome categories limited full assurance, though overall residual risk remained low. </w:t>
      </w:r>
      <w:r w:rsidRPr="00DB5258">
        <w:rPr>
          <w:rStyle w:val="Emphasis"/>
          <w:rFonts w:ascii="Verdana" w:eastAsiaTheme="majorEastAsia" w:hAnsi="Verdana" w:cs="Segoe UI"/>
        </w:rPr>
        <w:t>(Risk score: 2)</w:t>
      </w:r>
      <w:r w:rsidR="00094ECD">
        <w:rPr>
          <w:rStyle w:val="Emphasis"/>
          <w:rFonts w:ascii="Verdana" w:eastAsiaTheme="majorEastAsia" w:hAnsi="Verdana" w:cs="Segoe UI"/>
          <w:sz w:val="24"/>
          <w:szCs w:val="24"/>
        </w:rPr>
        <w:t xml:space="preserve"> </w:t>
      </w:r>
      <w:r w:rsidR="00DB5258">
        <w:rPr>
          <w:rStyle w:val="Emphasis"/>
          <w:rFonts w:ascii="Verdana" w:eastAsiaTheme="majorEastAsia" w:hAnsi="Verdana" w:cs="Segoe UI"/>
          <w:sz w:val="24"/>
          <w:szCs w:val="24"/>
        </w:rPr>
        <w:t xml:space="preserve">                                                                          </w:t>
      </w:r>
      <w:r w:rsidR="00094ECD">
        <w:rPr>
          <w:rStyle w:val="Emphasis"/>
          <w:rFonts w:ascii="Verdana" w:eastAsiaTheme="majorEastAsia" w:hAnsi="Verdana" w:cs="Segoe UI"/>
          <w:sz w:val="24"/>
          <w:szCs w:val="24"/>
        </w:rPr>
        <w:t xml:space="preserve"> </w:t>
      </w:r>
      <w:r w:rsidR="00094ECD" w:rsidRPr="00AD204E">
        <w:rPr>
          <w:rFonts w:ascii="Verdana" w:hAnsi="Verdana"/>
          <w:b/>
          <w:bCs/>
          <w:color w:val="153D63" w:themeColor="text2" w:themeTint="E6"/>
        </w:rPr>
        <w:t>Impact Level: Assurance</w:t>
      </w:r>
    </w:p>
    <w:p w14:paraId="4BCE11B9" w14:textId="77777777" w:rsidR="00252277" w:rsidRPr="00F8655E" w:rsidRDefault="00252277" w:rsidP="00252277">
      <w:pPr>
        <w:spacing w:before="100" w:beforeAutospacing="1" w:after="100" w:afterAutospacing="1" w:line="240" w:lineRule="auto"/>
        <w:rPr>
          <w:rFonts w:ascii="Verdana" w:hAnsi="Verdana" w:cs="Segoe UI"/>
          <w:b/>
          <w:bCs/>
          <w:color w:val="0F4761"/>
          <w:sz w:val="24"/>
          <w:szCs w:val="24"/>
        </w:rPr>
      </w:pPr>
      <w:r w:rsidRPr="00F8655E">
        <w:rPr>
          <w:rFonts w:ascii="Verdana" w:hAnsi="Verdana" w:cs="Segoe UI"/>
          <w:b/>
          <w:bCs/>
          <w:color w:val="0F4761"/>
          <w:sz w:val="24"/>
          <w:szCs w:val="24"/>
        </w:rPr>
        <w:t>General Medicine</w:t>
      </w:r>
    </w:p>
    <w:p w14:paraId="3B8ACBBC" w14:textId="35F8AE67" w:rsidR="00252277" w:rsidRPr="00AD204E" w:rsidRDefault="00252277" w:rsidP="00252277">
      <w:pPr>
        <w:spacing w:before="100" w:beforeAutospacing="1" w:after="100" w:afterAutospacing="1" w:line="240" w:lineRule="auto"/>
        <w:rPr>
          <w:rStyle w:val="Emphasis"/>
          <w:rFonts w:ascii="Verdana" w:eastAsiaTheme="majorEastAsia" w:hAnsi="Verdana" w:cs="Segoe UI"/>
          <w:color w:val="153D63" w:themeColor="text2" w:themeTint="E6"/>
        </w:rPr>
      </w:pPr>
      <w:r w:rsidRPr="00DB5258">
        <w:rPr>
          <w:rStyle w:val="Strong"/>
          <w:rFonts w:ascii="Verdana" w:hAnsi="Verdana" w:cs="Segoe UI"/>
          <w:b w:val="0"/>
          <w:bCs w:val="0"/>
          <w:color w:val="0F4761"/>
        </w:rPr>
        <w:t xml:space="preserve">Patients Diagnosed with Community Acquired Pneumonia (CAP) are Booked/Referred for a Repeat Chest X-Ray (CXR) at 6 Weeks.  </w:t>
      </w:r>
      <w:r w:rsidRPr="00DB5258">
        <w:rPr>
          <w:rFonts w:ascii="Verdana" w:hAnsi="Verdana" w:cs="Segoe UI"/>
        </w:rPr>
        <w:t>Discrepancies between a clinical diagnosis and radiological confirmation, and successfully benchmarked follow</w:t>
      </w:r>
      <w:r w:rsidRPr="00DB5258">
        <w:rPr>
          <w:rFonts w:ascii="Verdana" w:hAnsi="Verdana" w:cs="Segoe UI"/>
        </w:rPr>
        <w:noBreakHyphen/>
        <w:t>up CXR compliance against national guidance. Lack of a clear discharge pathway and named consultant responsibility for arranging follow</w:t>
      </w:r>
      <w:r w:rsidRPr="00DB5258">
        <w:rPr>
          <w:rFonts w:ascii="Verdana" w:hAnsi="Verdana" w:cs="Segoe UI"/>
        </w:rPr>
        <w:noBreakHyphen/>
        <w:t xml:space="preserve">up imaging limited assurance and represents an ongoing risk. </w:t>
      </w:r>
      <w:r w:rsidRPr="00DB5258">
        <w:rPr>
          <w:rStyle w:val="Emphasis"/>
          <w:rFonts w:ascii="Verdana" w:eastAsiaTheme="majorEastAsia" w:hAnsi="Verdana" w:cs="Segoe UI"/>
        </w:rPr>
        <w:t>(Risk score: 9, outcomes pending sign-off)</w:t>
      </w:r>
      <w:r w:rsidR="00094ECD">
        <w:rPr>
          <w:rStyle w:val="Emphasis"/>
          <w:rFonts w:ascii="Verdana" w:eastAsiaTheme="majorEastAsia" w:hAnsi="Verdana" w:cs="Segoe UI"/>
          <w:sz w:val="24"/>
          <w:szCs w:val="24"/>
        </w:rPr>
        <w:t xml:space="preserve">  </w:t>
      </w:r>
      <w:r w:rsidR="00DB5258">
        <w:rPr>
          <w:rFonts w:ascii="Verdana" w:hAnsi="Verdana"/>
          <w:b/>
          <w:bCs/>
          <w:color w:val="153D63" w:themeColor="text2" w:themeTint="E6"/>
        </w:rPr>
        <w:t xml:space="preserve">                                                                                      </w:t>
      </w:r>
      <w:r w:rsidR="00094ECD" w:rsidRPr="00AD204E">
        <w:rPr>
          <w:rFonts w:ascii="Verdana" w:hAnsi="Verdana"/>
          <w:b/>
          <w:bCs/>
          <w:color w:val="153D63" w:themeColor="text2" w:themeTint="E6"/>
        </w:rPr>
        <w:t>Impact Level: Medium</w:t>
      </w:r>
      <w:r w:rsidR="00094ECD" w:rsidRPr="00AD204E">
        <w:rPr>
          <w:rFonts w:ascii="Verdana" w:hAnsi="Verdana"/>
          <w:color w:val="153D63" w:themeColor="text2" w:themeTint="E6"/>
        </w:rPr>
        <w:br/>
      </w:r>
      <w:r w:rsidR="00094ECD" w:rsidRPr="00AD204E">
        <w:rPr>
          <w:rFonts w:ascii="Verdana" w:hAnsi="Verdana"/>
          <w:b/>
          <w:bCs/>
          <w:color w:val="153D63" w:themeColor="text2" w:themeTint="E6"/>
        </w:rPr>
        <w:t>So What:</w:t>
      </w:r>
      <w:r w:rsidR="00094ECD" w:rsidRPr="00AD204E">
        <w:rPr>
          <w:rFonts w:ascii="Verdana" w:hAnsi="Verdana"/>
          <w:color w:val="153D63" w:themeColor="text2" w:themeTint="E6"/>
        </w:rPr>
        <w:t xml:space="preserve"> Highlights system gaps in follow-up responsibility that may impact patient outcomes.</w:t>
      </w:r>
    </w:p>
    <w:p w14:paraId="56B6C9DB" w14:textId="77777777" w:rsidR="00252277" w:rsidRPr="00F8655E" w:rsidRDefault="00252277" w:rsidP="00252277">
      <w:pPr>
        <w:spacing w:before="100" w:beforeAutospacing="1" w:after="100" w:afterAutospacing="1" w:line="240" w:lineRule="auto"/>
        <w:rPr>
          <w:rFonts w:ascii="Verdana" w:hAnsi="Verdana" w:cs="Segoe UI"/>
          <w:b/>
          <w:bCs/>
          <w:color w:val="0F4761"/>
          <w:sz w:val="24"/>
          <w:szCs w:val="24"/>
        </w:rPr>
      </w:pPr>
      <w:r w:rsidRPr="00F8655E">
        <w:rPr>
          <w:rFonts w:ascii="Verdana" w:hAnsi="Verdana" w:cs="Segoe UI"/>
          <w:b/>
          <w:bCs/>
          <w:color w:val="0F4761"/>
          <w:sz w:val="24"/>
          <w:szCs w:val="24"/>
        </w:rPr>
        <w:t>General Surgery</w:t>
      </w:r>
    </w:p>
    <w:p w14:paraId="598FFD14" w14:textId="3335B4AC" w:rsidR="00094ECD" w:rsidRPr="00AD204E" w:rsidRDefault="00252277" w:rsidP="00094ECD">
      <w:r w:rsidRPr="00DB5258">
        <w:rPr>
          <w:rFonts w:ascii="Verdana" w:hAnsi="Verdana" w:cs="Segoe UI"/>
          <w:color w:val="0F4761"/>
        </w:rPr>
        <w:t>Requirement of Pre</w:t>
      </w:r>
      <w:r w:rsidRPr="00DB5258">
        <w:rPr>
          <w:rFonts w:ascii="Verdana" w:hAnsi="Verdana" w:cs="Segoe UI"/>
          <w:color w:val="0F4761"/>
        </w:rPr>
        <w:noBreakHyphen/>
        <w:t xml:space="preserve">operative Blood Typing for Laparoscopic Cholecystectomy.  </w:t>
      </w:r>
      <w:r w:rsidRPr="00DB5258">
        <w:rPr>
          <w:rFonts w:ascii="Verdana" w:hAnsi="Verdana" w:cs="Segoe UI"/>
        </w:rPr>
        <w:t>Routine pre</w:t>
      </w:r>
      <w:r w:rsidRPr="00DB5258">
        <w:rPr>
          <w:rFonts w:ascii="Verdana" w:hAnsi="Verdana" w:cs="Segoe UI"/>
        </w:rPr>
        <w:noBreakHyphen/>
        <w:t>operative blood typing was largely unnecessary, with minimal transfusion requirement identified. Continued over</w:t>
      </w:r>
      <w:r w:rsidRPr="00DB5258">
        <w:rPr>
          <w:rFonts w:ascii="Verdana" w:hAnsi="Verdana" w:cs="Segoe UI"/>
        </w:rPr>
        <w:noBreakHyphen/>
        <w:t>testing represented low clinical risk but unnecessary resource use, and re</w:t>
      </w:r>
      <w:r w:rsidRPr="00DB5258">
        <w:rPr>
          <w:rFonts w:ascii="Verdana" w:hAnsi="Verdana" w:cs="Segoe UI"/>
        </w:rPr>
        <w:noBreakHyphen/>
        <w:t xml:space="preserve">audit was planned. </w:t>
      </w:r>
      <w:r w:rsidRPr="00DB5258">
        <w:rPr>
          <w:rStyle w:val="Emphasis"/>
          <w:rFonts w:ascii="Verdana" w:eastAsiaTheme="majorEastAsia" w:hAnsi="Verdana" w:cs="Segoe UI"/>
        </w:rPr>
        <w:t>(Risk score: 1)</w:t>
      </w:r>
      <w:r w:rsidR="00094ECD" w:rsidRPr="00DB5258">
        <w:rPr>
          <w:rStyle w:val="Emphasis"/>
          <w:rFonts w:ascii="Verdana" w:eastAsiaTheme="majorEastAsia" w:hAnsi="Verdana" w:cs="Segoe UI"/>
        </w:rPr>
        <w:t xml:space="preserve">                                                               </w:t>
      </w:r>
      <w:r w:rsidR="00DB5258">
        <w:rPr>
          <w:rFonts w:ascii="Verdana" w:hAnsi="Verdana"/>
          <w:b/>
          <w:bCs/>
          <w:color w:val="153D63" w:themeColor="text2" w:themeTint="E6"/>
        </w:rPr>
        <w:t xml:space="preserve">                                                                     </w:t>
      </w:r>
      <w:r w:rsidR="00094ECD" w:rsidRPr="00AD204E">
        <w:rPr>
          <w:rFonts w:ascii="Verdana" w:hAnsi="Verdana"/>
          <w:b/>
          <w:bCs/>
          <w:color w:val="153D63" w:themeColor="text2" w:themeTint="E6"/>
        </w:rPr>
        <w:t>Impact Level: Medium</w:t>
      </w:r>
      <w:r w:rsidR="00094ECD" w:rsidRPr="00AD204E">
        <w:rPr>
          <w:rFonts w:ascii="Verdana" w:hAnsi="Verdana"/>
          <w:color w:val="153D63" w:themeColor="text2" w:themeTint="E6"/>
        </w:rPr>
        <w:br/>
      </w:r>
      <w:r w:rsidR="00094ECD" w:rsidRPr="00AD204E">
        <w:rPr>
          <w:rFonts w:ascii="Verdana" w:hAnsi="Verdana"/>
          <w:b/>
          <w:bCs/>
          <w:color w:val="153D63" w:themeColor="text2" w:themeTint="E6"/>
        </w:rPr>
        <w:t>So What:</w:t>
      </w:r>
      <w:r w:rsidR="00094ECD" w:rsidRPr="00AD204E">
        <w:rPr>
          <w:rFonts w:ascii="Verdana" w:hAnsi="Verdana"/>
          <w:color w:val="153D63" w:themeColor="text2" w:themeTint="E6"/>
        </w:rPr>
        <w:t xml:space="preserve"> Identifies avoidable resource use without clinical benefit.</w:t>
      </w:r>
    </w:p>
    <w:p w14:paraId="42513B77" w14:textId="77777777" w:rsidR="00252277" w:rsidRPr="00F8655E" w:rsidRDefault="00252277" w:rsidP="00252277">
      <w:pPr>
        <w:spacing w:before="100" w:beforeAutospacing="1" w:after="100" w:afterAutospacing="1" w:line="240" w:lineRule="auto"/>
        <w:rPr>
          <w:rFonts w:ascii="Verdana" w:hAnsi="Verdana" w:cs="Segoe UI"/>
          <w:b/>
          <w:bCs/>
          <w:color w:val="0F4761"/>
          <w:sz w:val="24"/>
          <w:szCs w:val="24"/>
        </w:rPr>
      </w:pPr>
      <w:r w:rsidRPr="00F8655E">
        <w:rPr>
          <w:rFonts w:ascii="Verdana" w:hAnsi="Verdana" w:cs="Segoe UI"/>
          <w:b/>
          <w:bCs/>
          <w:color w:val="0F4761"/>
          <w:sz w:val="24"/>
          <w:szCs w:val="24"/>
        </w:rPr>
        <w:t>Intensive Care Unit (ICU)</w:t>
      </w:r>
    </w:p>
    <w:p w14:paraId="39A13C0B" w14:textId="06C8BF9A" w:rsidR="00094ECD" w:rsidRPr="00AD204E" w:rsidRDefault="00252277" w:rsidP="00094ECD">
      <w:pPr>
        <w:rPr>
          <w:rFonts w:ascii="Verdana" w:hAnsi="Verdana"/>
          <w:color w:val="153D63" w:themeColor="text2" w:themeTint="E6"/>
        </w:rPr>
      </w:pPr>
      <w:r w:rsidRPr="00DB5258">
        <w:rPr>
          <w:rFonts w:ascii="Verdana" w:hAnsi="Verdana" w:cs="Segoe UI"/>
          <w:color w:val="0F4761"/>
        </w:rPr>
        <w:t>Improving the Use of the Clinical Frailty Scale in ICU.</w:t>
      </w:r>
      <w:r w:rsidRPr="00DB5258">
        <w:rPr>
          <w:rFonts w:ascii="Verdana" w:hAnsi="Verdana" w:cs="Segoe UI"/>
        </w:rPr>
        <w:t xml:space="preserve">  Improvement in documentation of clinical frailty scores in ICU patients. Further re</w:t>
      </w:r>
      <w:r w:rsidRPr="00DB5258">
        <w:rPr>
          <w:rFonts w:ascii="Verdana" w:hAnsi="Verdana" w:cs="Segoe UI"/>
        </w:rPr>
        <w:noBreakHyphen/>
        <w:t xml:space="preserve">audits were </w:t>
      </w:r>
      <w:r w:rsidRPr="00DB5258">
        <w:rPr>
          <w:rFonts w:ascii="Verdana" w:hAnsi="Verdana" w:cs="Segoe UI"/>
        </w:rPr>
        <w:lastRenderedPageBreak/>
        <w:t xml:space="preserve">identified as necessary to sustain and embed improvements over time. </w:t>
      </w:r>
      <w:r w:rsidRPr="00DB5258">
        <w:rPr>
          <w:rStyle w:val="Emphasis"/>
          <w:rFonts w:ascii="Verdana" w:eastAsiaTheme="majorEastAsia" w:hAnsi="Verdana" w:cs="Segoe UI"/>
        </w:rPr>
        <w:t>(Risk score: 4)</w:t>
      </w:r>
      <w:r w:rsidR="00094ECD" w:rsidRPr="00DB5258">
        <w:rPr>
          <w:rStyle w:val="Emphasis"/>
          <w:rFonts w:ascii="Verdana" w:eastAsiaTheme="majorEastAsia" w:hAnsi="Verdana" w:cs="Segoe UI"/>
        </w:rPr>
        <w:t xml:space="preserve">                                                                                                         </w:t>
      </w:r>
      <w:r w:rsidR="00094ECD" w:rsidRPr="00AD204E">
        <w:rPr>
          <w:rFonts w:ascii="Verdana" w:hAnsi="Verdana"/>
          <w:b/>
          <w:bCs/>
          <w:color w:val="153D63" w:themeColor="text2" w:themeTint="E6"/>
        </w:rPr>
        <w:t>Impact Level: Medium</w:t>
      </w:r>
    </w:p>
    <w:p w14:paraId="48F5F340" w14:textId="41B32355" w:rsidR="00094ECD" w:rsidRPr="00AD204E" w:rsidRDefault="00252277" w:rsidP="00094ECD">
      <w:pPr>
        <w:rPr>
          <w:rFonts w:ascii="Verdana" w:hAnsi="Verdana"/>
          <w:color w:val="153D63" w:themeColor="text2" w:themeTint="E6"/>
        </w:rPr>
      </w:pPr>
      <w:r w:rsidRPr="00DB5258">
        <w:rPr>
          <w:rFonts w:ascii="Verdana" w:hAnsi="Verdana" w:cs="Segoe UI"/>
          <w:color w:val="0F4761"/>
        </w:rPr>
        <w:t xml:space="preserve">Screening ICU Patients for Delirium Using Confusion Assessment Method.  </w:t>
      </w:r>
      <w:r w:rsidRPr="00DB5258">
        <w:rPr>
          <w:rFonts w:ascii="Verdana" w:hAnsi="Verdana" w:cs="Segoe UI"/>
        </w:rPr>
        <w:t>The audit identified that the planned re</w:t>
      </w:r>
      <w:r w:rsidRPr="00DB5258">
        <w:rPr>
          <w:rFonts w:ascii="Verdana" w:hAnsi="Verdana" w:cs="Segoe UI"/>
        </w:rPr>
        <w:noBreakHyphen/>
        <w:t>audit was not undertaken, limiting ongoing assurance. This resulted in low but unresolved risk due to lack of follow</w:t>
      </w:r>
      <w:r w:rsidRPr="00DB5258">
        <w:rPr>
          <w:rFonts w:ascii="Verdana" w:hAnsi="Verdana" w:cs="Segoe UI"/>
        </w:rPr>
        <w:noBreakHyphen/>
        <w:t xml:space="preserve">up evaluation. </w:t>
      </w:r>
      <w:r w:rsidRPr="00DB5258">
        <w:rPr>
          <w:rStyle w:val="Emphasis"/>
          <w:rFonts w:ascii="Verdana" w:eastAsiaTheme="majorEastAsia" w:hAnsi="Verdana" w:cs="Segoe UI"/>
        </w:rPr>
        <w:t>(Risk score: 1)</w:t>
      </w:r>
      <w:r w:rsidR="00094ECD" w:rsidRPr="00DB5258">
        <w:rPr>
          <w:rStyle w:val="Emphasis"/>
          <w:rFonts w:ascii="Verdana" w:eastAsiaTheme="majorEastAsia" w:hAnsi="Verdana" w:cs="Segoe UI"/>
        </w:rPr>
        <w:t xml:space="preserve">                                                                </w:t>
      </w:r>
      <w:r w:rsidR="00DB5258">
        <w:rPr>
          <w:b/>
          <w:bCs/>
          <w:color w:val="153D63" w:themeColor="text2" w:themeTint="E6"/>
        </w:rPr>
        <w:t xml:space="preserve">                                </w:t>
      </w:r>
      <w:r w:rsidR="00094ECD" w:rsidRPr="00DB5258">
        <w:rPr>
          <w:b/>
          <w:bCs/>
          <w:color w:val="153D63" w:themeColor="text2" w:themeTint="E6"/>
        </w:rPr>
        <w:t xml:space="preserve"> </w:t>
      </w:r>
      <w:r w:rsidR="00094ECD" w:rsidRPr="00AD204E">
        <w:rPr>
          <w:rFonts w:ascii="Verdana" w:hAnsi="Verdana"/>
          <w:b/>
          <w:bCs/>
          <w:color w:val="153D63" w:themeColor="text2" w:themeTint="E6"/>
        </w:rPr>
        <w:t>Impact Level: Medium</w:t>
      </w:r>
    </w:p>
    <w:p w14:paraId="0F4AA184" w14:textId="6099C7EC" w:rsidR="00252277" w:rsidRPr="00AD204E" w:rsidRDefault="00252277" w:rsidP="00094ECD">
      <w:pPr>
        <w:rPr>
          <w:rStyle w:val="Emphasis"/>
          <w:rFonts w:ascii="Verdana" w:eastAsiaTheme="majorEastAsia" w:hAnsi="Verdana" w:cs="Segoe UI"/>
        </w:rPr>
      </w:pPr>
      <w:r w:rsidRPr="00DB5258">
        <w:rPr>
          <w:rFonts w:ascii="Verdana" w:hAnsi="Verdana" w:cs="Segoe UI"/>
          <w:color w:val="0F4761"/>
        </w:rPr>
        <w:t xml:space="preserve">Airway Documentation on ICU.  </w:t>
      </w:r>
      <w:r w:rsidRPr="00DB5258">
        <w:rPr>
          <w:rFonts w:ascii="Verdana" w:hAnsi="Verdana" w:cs="Segoe UI"/>
        </w:rPr>
        <w:t xml:space="preserve">The audit successfully completed a national project, demonstrating compliance with airway documentation standards. No risks or concerns were identified. </w:t>
      </w:r>
      <w:r w:rsidRPr="00DB5258">
        <w:rPr>
          <w:rStyle w:val="Emphasis"/>
          <w:rFonts w:ascii="Verdana" w:eastAsiaTheme="majorEastAsia" w:hAnsi="Verdana" w:cs="Segoe UI"/>
        </w:rPr>
        <w:t>(Risk score: 1)</w:t>
      </w:r>
      <w:r w:rsidR="00094ECD">
        <w:rPr>
          <w:rStyle w:val="Emphasis"/>
          <w:rFonts w:ascii="Verdana" w:eastAsiaTheme="majorEastAsia" w:hAnsi="Verdana" w:cs="Segoe UI"/>
          <w:sz w:val="24"/>
          <w:szCs w:val="24"/>
        </w:rPr>
        <w:t xml:space="preserve">                                </w:t>
      </w:r>
      <w:r w:rsidR="00DB5258">
        <w:rPr>
          <w:rStyle w:val="Emphasis"/>
          <w:rFonts w:ascii="Verdana" w:eastAsiaTheme="majorEastAsia" w:hAnsi="Verdana" w:cs="Segoe UI"/>
          <w:sz w:val="24"/>
          <w:szCs w:val="24"/>
        </w:rPr>
        <w:t xml:space="preserve">       </w:t>
      </w:r>
      <w:r w:rsidR="00094ECD" w:rsidRPr="00AD204E">
        <w:rPr>
          <w:rFonts w:ascii="Verdana" w:hAnsi="Verdana"/>
          <w:b/>
          <w:bCs/>
          <w:color w:val="153D63" w:themeColor="text2" w:themeTint="E6"/>
        </w:rPr>
        <w:t>Impact Level: Assurance</w:t>
      </w:r>
    </w:p>
    <w:p w14:paraId="3E5E1521" w14:textId="488573C4" w:rsidR="00094ECD" w:rsidRPr="00AD204E" w:rsidRDefault="00252277" w:rsidP="00094ECD">
      <w:pPr>
        <w:rPr>
          <w:rFonts w:ascii="Verdana" w:hAnsi="Verdana"/>
          <w:color w:val="153D63" w:themeColor="text2" w:themeTint="E6"/>
        </w:rPr>
      </w:pPr>
      <w:r w:rsidRPr="00DB5258">
        <w:rPr>
          <w:rFonts w:ascii="Verdana" w:hAnsi="Verdana" w:cs="Segoe UI"/>
          <w:color w:val="0F4761"/>
        </w:rPr>
        <w:t xml:space="preserve">Treatment Escalation Plans on ICU Admission.  </w:t>
      </w:r>
      <w:r w:rsidRPr="00DB5258">
        <w:rPr>
          <w:rFonts w:ascii="Verdana" w:hAnsi="Verdana" w:cs="Segoe UI"/>
        </w:rPr>
        <w:t xml:space="preserve">Improved completion of treatment escalation plans on admission to ICU. Full compliance had not yet been achieved, and further promotion was recommended. </w:t>
      </w:r>
      <w:r w:rsidRPr="00DB5258">
        <w:rPr>
          <w:rStyle w:val="Emphasis"/>
          <w:rFonts w:ascii="Verdana" w:eastAsiaTheme="majorEastAsia" w:hAnsi="Verdana" w:cs="Segoe UI"/>
        </w:rPr>
        <w:t>(Risk score: 6)</w:t>
      </w:r>
      <w:r w:rsidR="00094ECD" w:rsidRPr="00DB5258">
        <w:rPr>
          <w:rStyle w:val="Emphasis"/>
          <w:rFonts w:ascii="Verdana" w:eastAsiaTheme="majorEastAsia" w:hAnsi="Verdana" w:cs="Segoe UI"/>
        </w:rPr>
        <w:t xml:space="preserve">                                                                                                                 </w:t>
      </w:r>
      <w:r w:rsidR="00094ECD" w:rsidRPr="00AD204E">
        <w:rPr>
          <w:rFonts w:ascii="Verdana" w:hAnsi="Verdana"/>
          <w:b/>
          <w:bCs/>
          <w:color w:val="153D63" w:themeColor="text2" w:themeTint="E6"/>
        </w:rPr>
        <w:t>Impact Level: Medium</w:t>
      </w:r>
    </w:p>
    <w:p w14:paraId="27134EFB" w14:textId="2F41E121" w:rsidR="00094ECD" w:rsidRPr="00AD204E" w:rsidRDefault="00252277" w:rsidP="00094ECD">
      <w:pPr>
        <w:rPr>
          <w:rFonts w:ascii="Verdana" w:hAnsi="Verdana"/>
          <w:color w:val="153D63" w:themeColor="text2" w:themeTint="E6"/>
        </w:rPr>
      </w:pPr>
      <w:r w:rsidRPr="00DB5258">
        <w:rPr>
          <w:rFonts w:ascii="Verdana" w:hAnsi="Verdana" w:cs="Segoe UI"/>
          <w:color w:val="0F4761"/>
        </w:rPr>
        <w:t xml:space="preserve">Documentation of ICU Patient Heights.  </w:t>
      </w:r>
      <w:r w:rsidRPr="00DB5258">
        <w:rPr>
          <w:rFonts w:ascii="Verdana" w:hAnsi="Verdana" w:cs="Segoe UI"/>
        </w:rPr>
        <w:t xml:space="preserve">The audit demonstrated a marked improvement in height documentation following intervention. Although compliance was not yet 100%, residual risk was low. </w:t>
      </w:r>
      <w:r w:rsidRPr="00DB5258">
        <w:rPr>
          <w:rStyle w:val="Emphasis"/>
          <w:rFonts w:ascii="Verdana" w:eastAsiaTheme="majorEastAsia" w:hAnsi="Verdana" w:cs="Segoe UI"/>
        </w:rPr>
        <w:t>(Risk score: 4)</w:t>
      </w:r>
      <w:r w:rsidRPr="004F11D7">
        <w:rPr>
          <w:rFonts w:ascii="Verdana" w:hAnsi="Verdana" w:cs="Segoe UI"/>
          <w:sz w:val="24"/>
          <w:szCs w:val="24"/>
        </w:rPr>
        <w:t xml:space="preserve"> </w:t>
      </w:r>
      <w:r w:rsidR="00DB5258">
        <w:rPr>
          <w:rFonts w:ascii="Verdana" w:hAnsi="Verdana"/>
          <w:b/>
          <w:bCs/>
          <w:color w:val="153D63" w:themeColor="text2" w:themeTint="E6"/>
        </w:rPr>
        <w:t xml:space="preserve">                           </w:t>
      </w:r>
      <w:r w:rsidR="00094ECD" w:rsidRPr="00AD204E">
        <w:rPr>
          <w:rFonts w:ascii="Verdana" w:hAnsi="Verdana"/>
          <w:b/>
          <w:bCs/>
          <w:color w:val="153D63" w:themeColor="text2" w:themeTint="E6"/>
        </w:rPr>
        <w:t>Impact Level: Medium</w:t>
      </w:r>
    </w:p>
    <w:p w14:paraId="45C94971" w14:textId="3B2594F7" w:rsidR="00094ECD" w:rsidRPr="00AD204E" w:rsidRDefault="00252277" w:rsidP="00094ECD">
      <w:pPr>
        <w:rPr>
          <w:rStyle w:val="Emphasis"/>
          <w:rFonts w:ascii="Verdana" w:eastAsiaTheme="majorEastAsia" w:hAnsi="Verdana" w:cs="Segoe UI"/>
        </w:rPr>
      </w:pPr>
      <w:r w:rsidRPr="00DB5258">
        <w:rPr>
          <w:rFonts w:ascii="Verdana" w:hAnsi="Verdana" w:cs="Segoe UI"/>
          <w:color w:val="0F4761"/>
        </w:rPr>
        <w:t>T</w:t>
      </w:r>
      <w:r w:rsidR="002C7CB0" w:rsidRPr="00DB5258">
        <w:rPr>
          <w:rFonts w:ascii="Verdana" w:hAnsi="Verdana" w:cs="Segoe UI"/>
          <w:color w:val="0F4761"/>
        </w:rPr>
        <w:t xml:space="preserve">rainee </w:t>
      </w:r>
      <w:r w:rsidRPr="00DB5258">
        <w:rPr>
          <w:rFonts w:ascii="Verdana" w:hAnsi="Verdana" w:cs="Segoe UI"/>
          <w:color w:val="0F4761"/>
        </w:rPr>
        <w:t>R</w:t>
      </w:r>
      <w:r w:rsidR="002C7CB0" w:rsidRPr="00DB5258">
        <w:rPr>
          <w:rFonts w:ascii="Verdana" w:hAnsi="Verdana" w:cs="Segoe UI"/>
          <w:color w:val="0F4761"/>
        </w:rPr>
        <w:t xml:space="preserve">esearch </w:t>
      </w:r>
      <w:r w:rsidRPr="00DB5258">
        <w:rPr>
          <w:rFonts w:ascii="Verdana" w:hAnsi="Verdana" w:cs="Segoe UI"/>
          <w:color w:val="0F4761"/>
        </w:rPr>
        <w:t>I</w:t>
      </w:r>
      <w:r w:rsidR="002C7CB0" w:rsidRPr="00DB5258">
        <w:rPr>
          <w:rFonts w:ascii="Verdana" w:hAnsi="Verdana" w:cs="Segoe UI"/>
          <w:color w:val="0F4761"/>
        </w:rPr>
        <w:t xml:space="preserve">ntensive </w:t>
      </w:r>
      <w:r w:rsidRPr="00DB5258">
        <w:rPr>
          <w:rFonts w:ascii="Verdana" w:hAnsi="Verdana" w:cs="Segoe UI"/>
          <w:color w:val="0F4761"/>
        </w:rPr>
        <w:t>C</w:t>
      </w:r>
      <w:r w:rsidR="002C7CB0" w:rsidRPr="00DB5258">
        <w:rPr>
          <w:rFonts w:ascii="Verdana" w:hAnsi="Verdana" w:cs="Segoe UI"/>
          <w:color w:val="0F4761"/>
        </w:rPr>
        <w:t>are</w:t>
      </w:r>
      <w:r w:rsidRPr="00DB5258">
        <w:rPr>
          <w:rFonts w:ascii="Verdana" w:hAnsi="Verdana" w:cs="Segoe UI"/>
          <w:color w:val="0F4761"/>
        </w:rPr>
        <w:noBreakHyphen/>
        <w:t>M</w:t>
      </w:r>
      <w:r w:rsidR="002C7CB0" w:rsidRPr="00DB5258">
        <w:rPr>
          <w:rFonts w:ascii="Verdana" w:hAnsi="Verdana" w:cs="Segoe UI"/>
          <w:color w:val="0F4761"/>
        </w:rPr>
        <w:t xml:space="preserve">easuring </w:t>
      </w:r>
      <w:r w:rsidRPr="00DB5258">
        <w:rPr>
          <w:rFonts w:ascii="Verdana" w:hAnsi="Verdana" w:cs="Segoe UI"/>
          <w:color w:val="0F4761"/>
        </w:rPr>
        <w:t>A</w:t>
      </w:r>
      <w:r w:rsidR="002C7CB0" w:rsidRPr="00DB5258">
        <w:rPr>
          <w:rFonts w:ascii="Verdana" w:hAnsi="Verdana" w:cs="Segoe UI"/>
          <w:color w:val="0F4761"/>
        </w:rPr>
        <w:t xml:space="preserve">ntimicrobial (TRIC-MAN) </w:t>
      </w:r>
      <w:r w:rsidRPr="00DB5258">
        <w:rPr>
          <w:rFonts w:ascii="Verdana" w:hAnsi="Verdana" w:cs="Segoe UI"/>
          <w:color w:val="0F4761"/>
        </w:rPr>
        <w:t>Collaborative Antimicrobial Prescribing Audit.</w:t>
      </w:r>
      <w:r w:rsidRPr="00DB5258">
        <w:rPr>
          <w:rFonts w:ascii="Verdana" w:hAnsi="Verdana" w:cs="Segoe UI"/>
        </w:rPr>
        <w:t xml:space="preserve">  The national audit project was completed successfully. No local risks or concerns were identified. </w:t>
      </w:r>
      <w:r w:rsidRPr="00DB5258">
        <w:rPr>
          <w:rStyle w:val="Emphasis"/>
          <w:rFonts w:ascii="Verdana" w:eastAsiaTheme="majorEastAsia" w:hAnsi="Verdana" w:cs="Segoe UI"/>
        </w:rPr>
        <w:t>(Risk score: 1)</w:t>
      </w:r>
      <w:r w:rsidR="00094ECD" w:rsidRPr="00DB5258">
        <w:rPr>
          <w:rStyle w:val="Emphasis"/>
          <w:rFonts w:ascii="Verdana" w:eastAsiaTheme="majorEastAsia" w:hAnsi="Verdana" w:cs="Segoe UI"/>
        </w:rPr>
        <w:t xml:space="preserve">                                                                                              </w:t>
      </w:r>
      <w:r w:rsidR="00DB5258">
        <w:rPr>
          <w:rFonts w:ascii="Verdana" w:hAnsi="Verdana"/>
          <w:b/>
          <w:bCs/>
          <w:color w:val="153D63" w:themeColor="text2" w:themeTint="E6"/>
        </w:rPr>
        <w:t xml:space="preserve">                              </w:t>
      </w:r>
      <w:r w:rsidR="00094ECD" w:rsidRPr="00AD204E">
        <w:rPr>
          <w:rFonts w:ascii="Verdana" w:hAnsi="Verdana"/>
          <w:b/>
          <w:bCs/>
          <w:color w:val="153D63" w:themeColor="text2" w:themeTint="E6"/>
        </w:rPr>
        <w:t>Impact Level: Assurance</w:t>
      </w:r>
    </w:p>
    <w:p w14:paraId="768AE143" w14:textId="0C12A702" w:rsidR="00094ECD" w:rsidRPr="00AD204E" w:rsidRDefault="00252277" w:rsidP="00094ECD">
      <w:pPr>
        <w:rPr>
          <w:rFonts w:ascii="Verdana" w:hAnsi="Verdana"/>
          <w:color w:val="153D63" w:themeColor="text2" w:themeTint="E6"/>
        </w:rPr>
      </w:pPr>
      <w:r w:rsidRPr="00DB5258">
        <w:rPr>
          <w:rFonts w:ascii="Verdana" w:hAnsi="Verdana" w:cs="Segoe UI"/>
          <w:color w:val="0F4761"/>
        </w:rPr>
        <w:t xml:space="preserve">Proton Pump Inhibitors Prophylaxis in ICU. </w:t>
      </w:r>
      <w:r w:rsidRPr="00DB5258">
        <w:rPr>
          <w:rFonts w:ascii="Verdana" w:hAnsi="Verdana" w:cs="Segoe UI"/>
        </w:rPr>
        <w:t xml:space="preserve"> The audit identified the need for a departmental guideline, which was subsequently developed and implemented. This resulted in closure of the audit with minimal residual risk. </w:t>
      </w:r>
      <w:r w:rsidRPr="00DB5258">
        <w:rPr>
          <w:rStyle w:val="Emphasis"/>
          <w:rFonts w:ascii="Verdana" w:eastAsiaTheme="majorEastAsia" w:hAnsi="Verdana" w:cs="Segoe UI"/>
        </w:rPr>
        <w:t>(Risk score: 1)</w:t>
      </w:r>
      <w:r w:rsidR="00094ECD" w:rsidRPr="00DB5258">
        <w:rPr>
          <w:rStyle w:val="Emphasis"/>
          <w:rFonts w:ascii="Verdana" w:eastAsiaTheme="majorEastAsia" w:hAnsi="Verdana" w:cs="Segoe UI"/>
        </w:rPr>
        <w:t xml:space="preserve">                                                                                                                                        </w:t>
      </w:r>
      <w:r w:rsidR="00094ECD" w:rsidRPr="00AD204E">
        <w:rPr>
          <w:rFonts w:ascii="Verdana" w:hAnsi="Verdana"/>
          <w:b/>
          <w:bCs/>
          <w:color w:val="153D63" w:themeColor="text2" w:themeTint="E6"/>
        </w:rPr>
        <w:t>Impact Level: Strong</w:t>
      </w:r>
      <w:r w:rsidR="00094ECD" w:rsidRPr="00AD204E">
        <w:rPr>
          <w:rFonts w:ascii="Verdana" w:hAnsi="Verdana"/>
          <w:color w:val="153D63" w:themeColor="text2" w:themeTint="E6"/>
        </w:rPr>
        <w:br/>
      </w:r>
      <w:r w:rsidR="00094ECD" w:rsidRPr="00AD204E">
        <w:rPr>
          <w:rFonts w:ascii="Verdana" w:hAnsi="Verdana"/>
          <w:b/>
          <w:bCs/>
          <w:color w:val="153D63" w:themeColor="text2" w:themeTint="E6"/>
        </w:rPr>
        <w:t>So What:</w:t>
      </w:r>
      <w:r w:rsidR="00094ECD" w:rsidRPr="00AD204E">
        <w:rPr>
          <w:rFonts w:ascii="Verdana" w:hAnsi="Verdana"/>
          <w:color w:val="153D63" w:themeColor="text2" w:themeTint="E6"/>
        </w:rPr>
        <w:t xml:space="preserve"> Demonstrates successful translation of audit findings into practice change.</w:t>
      </w:r>
    </w:p>
    <w:p w14:paraId="44B45F13" w14:textId="094745F9" w:rsidR="00094ECD" w:rsidRPr="007961F6" w:rsidRDefault="00252277" w:rsidP="00094ECD">
      <w:r w:rsidRPr="00DB5258">
        <w:rPr>
          <w:rFonts w:ascii="Verdana" w:hAnsi="Verdana" w:cs="Segoe UI"/>
          <w:color w:val="0F4761"/>
        </w:rPr>
        <w:t xml:space="preserve">Critical Care Transfer Documentation.  </w:t>
      </w:r>
      <w:r w:rsidRPr="00DB5258">
        <w:rPr>
          <w:rFonts w:ascii="Verdana" w:hAnsi="Verdana" w:cs="Segoe UI"/>
        </w:rPr>
        <w:t xml:space="preserve">The audit demonstrated very low compliance with transfer checklist use. Incomplete documentation resulted in low to moderate residual risk. </w:t>
      </w:r>
      <w:r w:rsidRPr="00DB5258">
        <w:rPr>
          <w:rStyle w:val="Emphasis"/>
          <w:rFonts w:ascii="Verdana" w:eastAsiaTheme="majorEastAsia" w:hAnsi="Verdana" w:cs="Segoe UI"/>
        </w:rPr>
        <w:t>(Risk score: 4)</w:t>
      </w:r>
      <w:r w:rsidR="00094ECD" w:rsidRPr="00DB5258">
        <w:rPr>
          <w:rStyle w:val="Emphasis"/>
          <w:rFonts w:ascii="Verdana" w:eastAsiaTheme="majorEastAsia" w:hAnsi="Verdana" w:cs="Segoe UI"/>
        </w:rPr>
        <w:t xml:space="preserve">                                                 </w:t>
      </w:r>
      <w:r w:rsidR="00094ECD" w:rsidRPr="00DB5258">
        <w:rPr>
          <w:rFonts w:ascii="Verdana" w:hAnsi="Verdana"/>
          <w:b/>
          <w:bCs/>
          <w:color w:val="153D63" w:themeColor="text2" w:themeTint="E6"/>
        </w:rPr>
        <w:t>Impact Level: Medium</w:t>
      </w:r>
      <w:r w:rsidR="00094ECD" w:rsidRPr="00DB5258">
        <w:rPr>
          <w:rFonts w:ascii="Verdana" w:hAnsi="Verdana"/>
          <w:color w:val="153D63" w:themeColor="text2" w:themeTint="E6"/>
        </w:rPr>
        <w:br/>
      </w:r>
      <w:r w:rsidR="00094ECD" w:rsidRPr="00AD204E">
        <w:rPr>
          <w:rFonts w:ascii="Verdana" w:hAnsi="Verdana"/>
          <w:b/>
          <w:bCs/>
          <w:color w:val="153D63" w:themeColor="text2" w:themeTint="E6"/>
        </w:rPr>
        <w:t>So What:</w:t>
      </w:r>
      <w:r w:rsidR="00094ECD" w:rsidRPr="00AD204E">
        <w:rPr>
          <w:rFonts w:ascii="Verdana" w:hAnsi="Verdana"/>
          <w:color w:val="153D63" w:themeColor="text2" w:themeTint="E6"/>
        </w:rPr>
        <w:t xml:space="preserve"> Identifies documentation gaps that may impact patient safety during transfer.</w:t>
      </w:r>
    </w:p>
    <w:p w14:paraId="50BDB965" w14:textId="767712C0" w:rsidR="00094ECD" w:rsidRPr="00AD204E" w:rsidRDefault="00252277" w:rsidP="00094ECD">
      <w:pPr>
        <w:rPr>
          <w:rFonts w:ascii="Verdana" w:hAnsi="Verdana"/>
          <w:color w:val="153D63" w:themeColor="text2" w:themeTint="E6"/>
        </w:rPr>
      </w:pPr>
      <w:r w:rsidRPr="00DB5258">
        <w:rPr>
          <w:rFonts w:ascii="Verdana" w:hAnsi="Verdana" w:cs="Segoe UI"/>
          <w:color w:val="0F4761"/>
        </w:rPr>
        <w:t xml:space="preserve">Promoting Sleep Hygiene in ICU.  </w:t>
      </w:r>
      <w:r w:rsidRPr="00DB5258">
        <w:rPr>
          <w:rFonts w:ascii="Verdana" w:hAnsi="Verdana" w:cs="Segoe UI"/>
        </w:rPr>
        <w:t xml:space="preserve">Inconsistent assessment, documentation, and management of sleep hygiene. Although risk was low, further standardisation was recommended. </w:t>
      </w:r>
      <w:r w:rsidRPr="00DB5258">
        <w:rPr>
          <w:rStyle w:val="Emphasis"/>
          <w:rFonts w:ascii="Verdana" w:eastAsiaTheme="majorEastAsia" w:hAnsi="Verdana" w:cs="Segoe UI"/>
        </w:rPr>
        <w:t>(Risk score: 1)</w:t>
      </w:r>
      <w:r w:rsidR="00094ECD">
        <w:rPr>
          <w:rStyle w:val="Emphasis"/>
          <w:rFonts w:ascii="Verdana" w:eastAsiaTheme="majorEastAsia" w:hAnsi="Verdana" w:cs="Segoe UI"/>
          <w:sz w:val="24"/>
          <w:szCs w:val="24"/>
        </w:rPr>
        <w:t xml:space="preserve">                            </w:t>
      </w:r>
      <w:r w:rsidR="00DB5258">
        <w:rPr>
          <w:rFonts w:ascii="Verdana" w:hAnsi="Verdana"/>
          <w:b/>
          <w:bCs/>
          <w:color w:val="153D63" w:themeColor="text2" w:themeTint="E6"/>
        </w:rPr>
        <w:t xml:space="preserve">                                              </w:t>
      </w:r>
      <w:r w:rsidR="00094ECD" w:rsidRPr="00AD204E">
        <w:rPr>
          <w:rFonts w:ascii="Verdana" w:hAnsi="Verdana"/>
          <w:b/>
          <w:bCs/>
          <w:color w:val="153D63" w:themeColor="text2" w:themeTint="E6"/>
        </w:rPr>
        <w:t>Impact Level: Medium</w:t>
      </w:r>
    </w:p>
    <w:p w14:paraId="0609F953" w14:textId="77777777" w:rsidR="00DB5258" w:rsidRDefault="00DB5258" w:rsidP="00094ECD">
      <w:pPr>
        <w:rPr>
          <w:rFonts w:ascii="Verdana" w:hAnsi="Verdana" w:cs="Segoe UI"/>
          <w:b/>
          <w:bCs/>
          <w:color w:val="0F4761"/>
          <w:sz w:val="24"/>
          <w:szCs w:val="24"/>
        </w:rPr>
      </w:pPr>
    </w:p>
    <w:p w14:paraId="11F6B515" w14:textId="77777777" w:rsidR="00DB5258" w:rsidRDefault="00DB5258" w:rsidP="00094ECD">
      <w:pPr>
        <w:rPr>
          <w:rFonts w:ascii="Verdana" w:hAnsi="Verdana" w:cs="Segoe UI"/>
          <w:b/>
          <w:bCs/>
          <w:color w:val="0F4761"/>
          <w:sz w:val="24"/>
          <w:szCs w:val="24"/>
        </w:rPr>
      </w:pPr>
    </w:p>
    <w:p w14:paraId="77785BD5" w14:textId="47AEA4D7" w:rsidR="00252277" w:rsidRPr="0045633F" w:rsidRDefault="00252277" w:rsidP="00094ECD">
      <w:pPr>
        <w:rPr>
          <w:rFonts w:ascii="Verdana" w:hAnsi="Verdana" w:cs="Segoe UI"/>
          <w:b/>
          <w:bCs/>
          <w:color w:val="0F4761"/>
          <w:sz w:val="24"/>
          <w:szCs w:val="24"/>
        </w:rPr>
      </w:pPr>
      <w:r w:rsidRPr="0045633F">
        <w:rPr>
          <w:rFonts w:ascii="Verdana" w:hAnsi="Verdana" w:cs="Segoe UI"/>
          <w:b/>
          <w:bCs/>
          <w:color w:val="0F4761"/>
          <w:sz w:val="24"/>
          <w:szCs w:val="24"/>
        </w:rPr>
        <w:lastRenderedPageBreak/>
        <w:t>Neurology</w:t>
      </w:r>
    </w:p>
    <w:p w14:paraId="4B19F677" w14:textId="23D9B3BB" w:rsidR="00094ECD" w:rsidRPr="00AD204E" w:rsidRDefault="00252277" w:rsidP="00094ECD">
      <w:pPr>
        <w:rPr>
          <w:rFonts w:ascii="Verdana" w:hAnsi="Verdana"/>
          <w:color w:val="153D63" w:themeColor="text2" w:themeTint="E6"/>
        </w:rPr>
      </w:pPr>
      <w:r w:rsidRPr="00DB5258">
        <w:rPr>
          <w:rFonts w:ascii="Verdana" w:hAnsi="Verdana" w:cs="Segoe UI"/>
          <w:color w:val="0F4761"/>
        </w:rPr>
        <w:t>Myelin Oligodendrocyte Glycoprotein Anti-body Disease (MOGAD) Retrospective Review.</w:t>
      </w:r>
      <w:r w:rsidRPr="00DB5258">
        <w:rPr>
          <w:rFonts w:ascii="Verdana" w:hAnsi="Verdana" w:cs="Segoe UI"/>
        </w:rPr>
        <w:t xml:space="preserve">  The audit provided valuable epidemiological insight within a stable population. Limitations in record completeness were acknowledged but did not result in significant clinical risk. </w:t>
      </w:r>
      <w:r w:rsidRPr="00DB5258">
        <w:rPr>
          <w:rStyle w:val="Emphasis"/>
          <w:rFonts w:ascii="Verdana" w:eastAsiaTheme="majorEastAsia" w:hAnsi="Verdana" w:cs="Segoe UI"/>
        </w:rPr>
        <w:t>(Risk score: 1)</w:t>
      </w:r>
      <w:r w:rsidR="00094ECD">
        <w:rPr>
          <w:rStyle w:val="Emphasis"/>
          <w:rFonts w:ascii="Verdana" w:eastAsiaTheme="majorEastAsia" w:hAnsi="Verdana" w:cs="Segoe UI"/>
          <w:sz w:val="24"/>
          <w:szCs w:val="24"/>
        </w:rPr>
        <w:t xml:space="preserve"> </w:t>
      </w:r>
      <w:r w:rsidR="00DB5258">
        <w:rPr>
          <w:rFonts w:ascii="Verdana" w:hAnsi="Verdana"/>
          <w:b/>
          <w:bCs/>
          <w:color w:val="153D63" w:themeColor="text2" w:themeTint="E6"/>
        </w:rPr>
        <w:t xml:space="preserve">                                                           </w:t>
      </w:r>
      <w:r w:rsidR="00094ECD" w:rsidRPr="00AD204E">
        <w:rPr>
          <w:rFonts w:ascii="Verdana" w:hAnsi="Verdana"/>
          <w:b/>
          <w:bCs/>
          <w:color w:val="153D63" w:themeColor="text2" w:themeTint="E6"/>
        </w:rPr>
        <w:t>Impact Level: Assurance</w:t>
      </w:r>
    </w:p>
    <w:p w14:paraId="3155CB47" w14:textId="77777777" w:rsidR="00252277" w:rsidRPr="0045633F" w:rsidRDefault="00252277" w:rsidP="00252277">
      <w:pPr>
        <w:spacing w:before="100" w:beforeAutospacing="1" w:after="100" w:afterAutospacing="1" w:line="240" w:lineRule="auto"/>
        <w:rPr>
          <w:rFonts w:ascii="Verdana" w:hAnsi="Verdana" w:cs="Segoe UI"/>
          <w:b/>
          <w:bCs/>
          <w:color w:val="0F4761"/>
          <w:sz w:val="24"/>
          <w:szCs w:val="24"/>
        </w:rPr>
      </w:pPr>
      <w:r w:rsidRPr="0045633F">
        <w:rPr>
          <w:rFonts w:ascii="Verdana" w:hAnsi="Verdana" w:cs="Segoe UI"/>
          <w:b/>
          <w:bCs/>
          <w:color w:val="0F4761"/>
          <w:sz w:val="24"/>
          <w:szCs w:val="24"/>
        </w:rPr>
        <w:t>Radiology</w:t>
      </w:r>
    </w:p>
    <w:p w14:paraId="6DDF815D" w14:textId="77777777" w:rsidR="00E423C7" w:rsidRPr="00AD204E" w:rsidRDefault="00252277" w:rsidP="004877C6">
      <w:pPr>
        <w:spacing w:before="100" w:beforeAutospacing="1" w:after="100" w:afterAutospacing="1" w:line="240" w:lineRule="auto"/>
        <w:rPr>
          <w:rFonts w:ascii="Verdana" w:hAnsi="Verdana"/>
          <w:color w:val="153D63" w:themeColor="text2" w:themeTint="E6"/>
        </w:rPr>
      </w:pPr>
      <w:r w:rsidRPr="00DB5258">
        <w:rPr>
          <w:rStyle w:val="Strong"/>
          <w:rFonts w:ascii="Verdana" w:hAnsi="Verdana" w:cs="Segoe UI"/>
          <w:b w:val="0"/>
          <w:bCs w:val="0"/>
          <w:color w:val="0F4761"/>
        </w:rPr>
        <w:t>Review of Neuroradiology Neuro</w:t>
      </w:r>
      <w:r w:rsidRPr="00DB5258">
        <w:rPr>
          <w:rStyle w:val="Strong"/>
          <w:rFonts w:ascii="Verdana" w:hAnsi="Verdana" w:cs="Segoe UI"/>
          <w:b w:val="0"/>
          <w:bCs w:val="0"/>
          <w:color w:val="0F4761"/>
        </w:rPr>
        <w:noBreakHyphen/>
        <w:t xml:space="preserve">oncology Reporting.  </w:t>
      </w:r>
      <w:r w:rsidRPr="00DB5258">
        <w:rPr>
          <w:rFonts w:ascii="Verdana" w:hAnsi="Verdana" w:cs="Segoe UI"/>
        </w:rPr>
        <w:t>High diagnostic accuracy of neuroradiology opinions (</w:t>
      </w:r>
      <w:r w:rsidRPr="00DB5258">
        <w:rPr>
          <w:rStyle w:val="Strong"/>
          <w:rFonts w:ascii="Verdana" w:eastAsiaTheme="majorEastAsia" w:hAnsi="Verdana" w:cs="Segoe UI"/>
          <w:b w:val="0"/>
          <w:bCs w:val="0"/>
        </w:rPr>
        <w:t>92% agreement with pathology</w:t>
      </w:r>
      <w:r w:rsidRPr="00DB5258">
        <w:rPr>
          <w:rFonts w:ascii="Verdana" w:hAnsi="Verdana" w:cs="Segoe UI"/>
        </w:rPr>
        <w:t>), providing strong assurance. Educational value was further supported through shared learning from complex paediatric cases, with moderate residual risk pending formal sign</w:t>
      </w:r>
      <w:r w:rsidRPr="00DB5258">
        <w:rPr>
          <w:rFonts w:ascii="Verdana" w:hAnsi="Verdana" w:cs="Segoe UI"/>
        </w:rPr>
        <w:noBreakHyphen/>
        <w:t xml:space="preserve">off. </w:t>
      </w:r>
      <w:r w:rsidRPr="00DB5258">
        <w:rPr>
          <w:rStyle w:val="Emphasis"/>
          <w:rFonts w:ascii="Verdana" w:eastAsiaTheme="majorEastAsia" w:hAnsi="Verdana" w:cs="Segoe UI"/>
        </w:rPr>
        <w:t>(Risk score: 9, outcomes pending sign</w:t>
      </w:r>
      <w:r w:rsidRPr="00DB5258">
        <w:rPr>
          <w:rStyle w:val="Emphasis"/>
          <w:rFonts w:ascii="Verdana" w:eastAsiaTheme="majorEastAsia" w:hAnsi="Verdana" w:cs="Segoe UI"/>
        </w:rPr>
        <w:noBreakHyphen/>
        <w:t>off)</w:t>
      </w:r>
      <w:r w:rsidR="00D037D6" w:rsidRPr="00DB5258">
        <w:rPr>
          <w:rStyle w:val="Emphasis"/>
          <w:rFonts w:ascii="Verdana" w:eastAsiaTheme="majorEastAsia" w:hAnsi="Verdana" w:cs="Segoe UI"/>
        </w:rPr>
        <w:t xml:space="preserve">                                                                                                                     </w:t>
      </w:r>
      <w:r w:rsidR="00D037D6" w:rsidRPr="00AD204E">
        <w:rPr>
          <w:rFonts w:ascii="Verdana" w:hAnsi="Verdana"/>
          <w:b/>
          <w:bCs/>
          <w:color w:val="153D63" w:themeColor="text2" w:themeTint="E6"/>
        </w:rPr>
        <w:t>Impact Level: Strong</w:t>
      </w:r>
      <w:r w:rsidR="00D037D6" w:rsidRPr="00AD204E">
        <w:rPr>
          <w:rFonts w:ascii="Verdana" w:hAnsi="Verdana"/>
          <w:color w:val="153D63" w:themeColor="text2" w:themeTint="E6"/>
        </w:rPr>
        <w:br/>
      </w:r>
      <w:r w:rsidR="00D037D6" w:rsidRPr="00AD204E">
        <w:rPr>
          <w:rFonts w:ascii="Verdana" w:hAnsi="Verdana"/>
          <w:b/>
          <w:bCs/>
          <w:color w:val="153D63" w:themeColor="text2" w:themeTint="E6"/>
        </w:rPr>
        <w:t>So What:</w:t>
      </w:r>
      <w:r w:rsidR="00D037D6" w:rsidRPr="00AD204E">
        <w:rPr>
          <w:rFonts w:ascii="Verdana" w:hAnsi="Verdana"/>
          <w:color w:val="153D63" w:themeColor="text2" w:themeTint="E6"/>
        </w:rPr>
        <w:t xml:space="preserve"> Demonstrates high diagnostic accuracy supporting reliable </w:t>
      </w:r>
      <w:r w:rsidR="004877C6" w:rsidRPr="00AD204E">
        <w:rPr>
          <w:rFonts w:ascii="Verdana" w:hAnsi="Verdana"/>
          <w:color w:val="153D63" w:themeColor="text2" w:themeTint="E6"/>
        </w:rPr>
        <w:t xml:space="preserve">clinical decision making.                                                                                                           </w:t>
      </w:r>
      <w:r w:rsidR="00E423C7" w:rsidRPr="00AD204E">
        <w:rPr>
          <w:rFonts w:ascii="Verdana" w:hAnsi="Verdana"/>
          <w:color w:val="153D63" w:themeColor="text2" w:themeTint="E6"/>
        </w:rPr>
        <w:t xml:space="preserve">              </w:t>
      </w:r>
    </w:p>
    <w:p w14:paraId="7D5D2E28" w14:textId="15CFC906" w:rsidR="002B0D76" w:rsidRDefault="004877C6" w:rsidP="00DF7905">
      <w:pPr>
        <w:pStyle w:val="Heading3"/>
        <w:spacing w:line="240" w:lineRule="auto"/>
        <w:rPr>
          <w:rFonts w:ascii="Verdana" w:hAnsi="Verdana" w:cs="Segoe UI"/>
          <w:b/>
          <w:bCs/>
          <w:color w:val="153D63" w:themeColor="text2" w:themeTint="E6"/>
          <w:sz w:val="24"/>
          <w:szCs w:val="24"/>
        </w:rPr>
      </w:pPr>
      <w:r w:rsidRPr="00DB5258">
        <w:rPr>
          <w:rStyle w:val="Strong"/>
          <w:rFonts w:ascii="Verdana" w:hAnsi="Verdana" w:cs="Segoe UI"/>
          <w:b w:val="0"/>
          <w:bCs w:val="0"/>
          <w:color w:val="153D63" w:themeColor="text2" w:themeTint="E6"/>
          <w:sz w:val="22"/>
          <w:szCs w:val="22"/>
        </w:rPr>
        <w:t>Radiology Computed Tomography Pulmonary Angiogram (CTPA) Audit – Clinical Information Provision and Technical Factors.</w:t>
      </w:r>
      <w:r w:rsidRPr="00DB5258">
        <w:rPr>
          <w:rStyle w:val="Strong"/>
          <w:rFonts w:ascii="Verdana" w:hAnsi="Verdana" w:cs="Segoe UI"/>
          <w:b w:val="0"/>
          <w:bCs w:val="0"/>
          <w:sz w:val="22"/>
          <w:szCs w:val="22"/>
        </w:rPr>
        <w:t xml:space="preserve">  </w:t>
      </w:r>
      <w:r w:rsidRPr="00DB5258">
        <w:rPr>
          <w:rFonts w:ascii="Verdana" w:hAnsi="Verdana" w:cs="Segoe UI"/>
          <w:color w:val="auto"/>
          <w:sz w:val="22"/>
          <w:szCs w:val="22"/>
        </w:rPr>
        <w:t>Generally good technical image quality, with most studies meeting Royal College of Radiologists thresholds, though variation suggests scope for optimisation. Incomplete clinical information on request forms and a low positivity rate highlight concerns around investigation appropriateness and pre</w:t>
      </w:r>
      <w:r w:rsidRPr="00DB5258">
        <w:rPr>
          <w:rFonts w:ascii="Verdana" w:hAnsi="Verdana" w:cs="Segoe UI"/>
          <w:color w:val="auto"/>
          <w:sz w:val="22"/>
          <w:szCs w:val="22"/>
        </w:rPr>
        <w:noBreakHyphen/>
        <w:t xml:space="preserve">test patient selection. </w:t>
      </w:r>
      <w:r w:rsidRPr="00DB5258">
        <w:rPr>
          <w:rStyle w:val="Emphasis"/>
          <w:rFonts w:ascii="Verdana" w:hAnsi="Verdana" w:cs="Segoe UI"/>
          <w:color w:val="auto"/>
          <w:sz w:val="22"/>
          <w:szCs w:val="22"/>
        </w:rPr>
        <w:t>(Risk score: 6, outcomes pending sign</w:t>
      </w:r>
      <w:r w:rsidRPr="00DB5258">
        <w:rPr>
          <w:rStyle w:val="Emphasis"/>
          <w:rFonts w:ascii="Verdana" w:hAnsi="Verdana" w:cs="Segoe UI"/>
          <w:color w:val="auto"/>
          <w:sz w:val="22"/>
          <w:szCs w:val="22"/>
        </w:rPr>
        <w:noBreakHyphen/>
        <w:t>off)</w:t>
      </w:r>
      <w:r>
        <w:rPr>
          <w:rStyle w:val="Emphasis"/>
          <w:rFonts w:ascii="Verdana" w:hAnsi="Verdana" w:cs="Segoe UI"/>
          <w:sz w:val="24"/>
          <w:szCs w:val="24"/>
        </w:rPr>
        <w:t xml:space="preserve">                     </w:t>
      </w:r>
      <w:r w:rsidR="00DB5258">
        <w:rPr>
          <w:b/>
          <w:bCs/>
          <w:color w:val="153D63" w:themeColor="text2" w:themeTint="E6"/>
          <w:sz w:val="22"/>
          <w:szCs w:val="22"/>
        </w:rPr>
        <w:t xml:space="preserve">                                                                                         </w:t>
      </w:r>
      <w:r w:rsidRPr="00DB5258">
        <w:rPr>
          <w:b/>
          <w:bCs/>
          <w:color w:val="153D63" w:themeColor="text2" w:themeTint="E6"/>
          <w:sz w:val="22"/>
          <w:szCs w:val="22"/>
        </w:rPr>
        <w:t xml:space="preserve"> </w:t>
      </w:r>
      <w:r w:rsidRPr="00AD204E">
        <w:rPr>
          <w:rFonts w:ascii="Verdana" w:hAnsi="Verdana"/>
          <w:b/>
          <w:bCs/>
          <w:color w:val="153D63" w:themeColor="text2" w:themeTint="E6"/>
          <w:sz w:val="22"/>
          <w:szCs w:val="22"/>
        </w:rPr>
        <w:t>Impact Level: Medium</w:t>
      </w:r>
      <w:r w:rsidRPr="00AD204E">
        <w:rPr>
          <w:rFonts w:ascii="Verdana" w:hAnsi="Verdana"/>
          <w:color w:val="153D63" w:themeColor="text2" w:themeTint="E6"/>
          <w:sz w:val="22"/>
          <w:szCs w:val="22"/>
        </w:rPr>
        <w:br/>
      </w:r>
      <w:r w:rsidRPr="00AD204E">
        <w:rPr>
          <w:rFonts w:ascii="Verdana" w:hAnsi="Verdana"/>
          <w:b/>
          <w:bCs/>
          <w:color w:val="153D63" w:themeColor="text2" w:themeTint="E6"/>
          <w:sz w:val="22"/>
          <w:szCs w:val="22"/>
        </w:rPr>
        <w:t>So What:</w:t>
      </w:r>
      <w:r w:rsidRPr="00AD204E">
        <w:rPr>
          <w:rFonts w:ascii="Verdana" w:hAnsi="Verdana"/>
          <w:color w:val="153D63" w:themeColor="text2" w:themeTint="E6"/>
          <w:sz w:val="22"/>
          <w:szCs w:val="22"/>
        </w:rPr>
        <w:t xml:space="preserve"> Highlights potential issues in investigation appropriateness and patient selection.</w:t>
      </w:r>
      <w:r w:rsidRPr="00AD204E">
        <w:rPr>
          <w:rFonts w:ascii="Verdana" w:hAnsi="Verdana" w:cs="Segoe UI"/>
          <w:b/>
          <w:bCs/>
          <w:color w:val="153D63" w:themeColor="text2" w:themeTint="E6"/>
          <w:sz w:val="22"/>
          <w:szCs w:val="22"/>
        </w:rPr>
        <w:t xml:space="preserve"> </w:t>
      </w:r>
    </w:p>
    <w:p w14:paraId="461F9D23" w14:textId="4248C93E" w:rsidR="00DF7905" w:rsidRDefault="00DF7905" w:rsidP="00DF7905">
      <w:pPr>
        <w:pStyle w:val="Heading3"/>
        <w:spacing w:line="240" w:lineRule="auto"/>
        <w:rPr>
          <w:rFonts w:ascii="Verdana" w:hAnsi="Verdana" w:cs="Segoe UI"/>
          <w:sz w:val="24"/>
          <w:szCs w:val="24"/>
        </w:rPr>
      </w:pPr>
      <w:r w:rsidRPr="00D037D6">
        <w:rPr>
          <w:rFonts w:ascii="Verdana" w:hAnsi="Verdana" w:cs="Segoe UI"/>
          <w:b/>
          <w:bCs/>
          <w:color w:val="153D63" w:themeColor="text2" w:themeTint="E6"/>
          <w:sz w:val="24"/>
          <w:szCs w:val="24"/>
        </w:rPr>
        <w:t>Renal</w:t>
      </w:r>
      <w:r w:rsidRPr="00D037D6">
        <w:rPr>
          <w:rFonts w:ascii="Verdana" w:hAnsi="Verdana" w:cs="Segoe UI"/>
          <w:sz w:val="24"/>
          <w:szCs w:val="24"/>
        </w:rPr>
        <w:t xml:space="preserve"> </w:t>
      </w:r>
    </w:p>
    <w:p w14:paraId="3AB97956" w14:textId="194CAC36" w:rsidR="00D037D6" w:rsidRPr="004877C6" w:rsidRDefault="00DF7905" w:rsidP="002B0D76">
      <w:pPr>
        <w:spacing w:before="100" w:beforeAutospacing="1" w:after="100" w:afterAutospacing="1" w:line="240" w:lineRule="auto"/>
        <w:rPr>
          <w:rFonts w:ascii="Verdana" w:hAnsi="Verdana" w:cs="Segoe UI"/>
          <w:sz w:val="24"/>
          <w:szCs w:val="24"/>
        </w:rPr>
      </w:pPr>
      <w:r w:rsidRPr="00DB5258">
        <w:rPr>
          <w:rFonts w:ascii="Verdana" w:hAnsi="Verdana" w:cs="Segoe UI"/>
          <w:color w:val="153D63" w:themeColor="text2" w:themeTint="E6"/>
        </w:rPr>
        <w:t xml:space="preserve">Peritoneal Dialysis (PD): Peritonitis and Access.  </w:t>
      </w:r>
      <w:r w:rsidRPr="00DB5258">
        <w:rPr>
          <w:rFonts w:ascii="Verdana" w:hAnsi="Verdana" w:cs="Segoe UI"/>
        </w:rPr>
        <w:t>The audit demonstrated low infection rates for peritoneal dialysis patients, providing assurance in relation to peritonitis risk. Reduced patency of PD catheters was identified as an ongoing concern, necessitating re</w:t>
      </w:r>
      <w:r w:rsidRPr="00DB5258">
        <w:rPr>
          <w:rFonts w:ascii="Verdana" w:hAnsi="Verdana" w:cs="Segoe UI"/>
        </w:rPr>
        <w:noBreakHyphen/>
        <w:t xml:space="preserve">audit. </w:t>
      </w:r>
      <w:r w:rsidRPr="00DB5258">
        <w:rPr>
          <w:rStyle w:val="Emphasis"/>
          <w:rFonts w:ascii="Verdana" w:hAnsi="Verdana" w:cs="Segoe UI"/>
        </w:rPr>
        <w:t>(Risk score: 9)</w:t>
      </w:r>
      <w:r>
        <w:rPr>
          <w:rStyle w:val="Emphasis"/>
          <w:rFonts w:ascii="Verdana" w:hAnsi="Verdana" w:cs="Segoe UI"/>
          <w:sz w:val="24"/>
          <w:szCs w:val="24"/>
        </w:rPr>
        <w:t xml:space="preserve"> </w:t>
      </w:r>
      <w:r w:rsidR="002B0D76">
        <w:rPr>
          <w:rStyle w:val="Emphasis"/>
          <w:rFonts w:ascii="Verdana" w:hAnsi="Verdana" w:cs="Segoe UI"/>
          <w:sz w:val="24"/>
          <w:szCs w:val="24"/>
        </w:rPr>
        <w:t xml:space="preserve">                   </w:t>
      </w:r>
      <w:r w:rsidR="00DB5258">
        <w:rPr>
          <w:rStyle w:val="Emphasis"/>
          <w:rFonts w:ascii="Verdana" w:hAnsi="Verdana" w:cs="Segoe UI"/>
          <w:b/>
          <w:bCs/>
          <w:i w:val="0"/>
          <w:iCs w:val="0"/>
          <w:color w:val="153D63" w:themeColor="text2" w:themeTint="E6"/>
        </w:rPr>
        <w:t xml:space="preserve">                                       </w:t>
      </w:r>
      <w:r w:rsidR="002B0D76" w:rsidRPr="00DB5258">
        <w:rPr>
          <w:rStyle w:val="Emphasis"/>
          <w:rFonts w:ascii="Verdana" w:hAnsi="Verdana" w:cs="Segoe UI"/>
          <w:b/>
          <w:bCs/>
          <w:i w:val="0"/>
          <w:iCs w:val="0"/>
          <w:color w:val="153D63" w:themeColor="text2" w:themeTint="E6"/>
        </w:rPr>
        <w:t xml:space="preserve"> </w:t>
      </w:r>
      <w:r w:rsidR="002B0D76" w:rsidRPr="002B0D76">
        <w:rPr>
          <w:rStyle w:val="Emphasis"/>
          <w:rFonts w:ascii="Verdana" w:hAnsi="Verdana" w:cs="Segoe UI"/>
          <w:b/>
          <w:bCs/>
          <w:i w:val="0"/>
          <w:iCs w:val="0"/>
          <w:color w:val="153D63" w:themeColor="text2" w:themeTint="E6"/>
        </w:rPr>
        <w:t>Impa</w:t>
      </w:r>
      <w:r w:rsidR="00D037D6" w:rsidRPr="002B0D76">
        <w:rPr>
          <w:rFonts w:ascii="Verdana" w:hAnsi="Verdana"/>
          <w:b/>
          <w:bCs/>
          <w:color w:val="153D63" w:themeColor="text2" w:themeTint="E6"/>
        </w:rPr>
        <w:t>ct Level: Medium</w:t>
      </w:r>
      <w:r w:rsidR="00D037D6" w:rsidRPr="002B0D76">
        <w:rPr>
          <w:rFonts w:ascii="Verdana" w:hAnsi="Verdana"/>
          <w:color w:val="153D63" w:themeColor="text2" w:themeTint="E6"/>
        </w:rPr>
        <w:br/>
      </w:r>
      <w:r w:rsidR="00D037D6" w:rsidRPr="002B0D76">
        <w:rPr>
          <w:rFonts w:ascii="Verdana" w:hAnsi="Verdana"/>
          <w:b/>
          <w:bCs/>
          <w:color w:val="153D63" w:themeColor="text2" w:themeTint="E6"/>
        </w:rPr>
        <w:t>So What:</w:t>
      </w:r>
      <w:r w:rsidR="00D037D6" w:rsidRPr="002B0D76">
        <w:rPr>
          <w:rFonts w:ascii="Verdana" w:hAnsi="Verdana"/>
          <w:color w:val="153D63" w:themeColor="text2" w:themeTint="E6"/>
        </w:rPr>
        <w:t xml:space="preserve"> Identifies device-related issues impacting long-term treatment effectiveness.</w:t>
      </w:r>
    </w:p>
    <w:p w14:paraId="21F828E6" w14:textId="4D7B5785" w:rsidR="00A86513" w:rsidRPr="007961F6" w:rsidRDefault="00D037D6" w:rsidP="00A86513">
      <w:r w:rsidRPr="00DB5258">
        <w:rPr>
          <w:rFonts w:ascii="Verdana" w:hAnsi="Verdana" w:cs="Segoe UI"/>
          <w:color w:val="153D63" w:themeColor="text2" w:themeTint="E6"/>
        </w:rPr>
        <w:t>Prevention of Bloodstream Infections in Haemodialysis Patients</w:t>
      </w:r>
      <w:r w:rsidRPr="00DB5258">
        <w:rPr>
          <w:rFonts w:ascii="Verdana" w:hAnsi="Verdana" w:cs="Segoe UI"/>
        </w:rPr>
        <w:t>.  The audit demonstrated reductions in bacteraemia rates and strengthened governance through implementation of national audit tools. However, delays in vascular access and rates remaining above national standards resulted in high residual risk and re</w:t>
      </w:r>
      <w:r w:rsidRPr="00DB5258">
        <w:rPr>
          <w:rFonts w:ascii="Verdana" w:hAnsi="Verdana" w:cs="Segoe UI"/>
        </w:rPr>
        <w:noBreakHyphen/>
        <w:t xml:space="preserve">audit planning. </w:t>
      </w:r>
      <w:r w:rsidRPr="00DB5258">
        <w:rPr>
          <w:rStyle w:val="Emphasis"/>
          <w:rFonts w:ascii="Verdana" w:hAnsi="Verdana" w:cs="Segoe UI"/>
        </w:rPr>
        <w:t>(Risk score: 16)</w:t>
      </w:r>
      <w:r w:rsidR="00A86513">
        <w:rPr>
          <w:rStyle w:val="Emphasis"/>
          <w:rFonts w:ascii="Verdana" w:hAnsi="Verdana" w:cs="Segoe UI"/>
          <w:sz w:val="24"/>
          <w:szCs w:val="24"/>
        </w:rPr>
        <w:t xml:space="preserve"> </w:t>
      </w:r>
      <w:r w:rsidR="00DB5258">
        <w:rPr>
          <w:b/>
          <w:bCs/>
          <w:color w:val="153D63" w:themeColor="text2" w:themeTint="E6"/>
        </w:rPr>
        <w:t xml:space="preserve">                                                                                        </w:t>
      </w:r>
      <w:r w:rsidR="00A86513" w:rsidRPr="00DB5258">
        <w:rPr>
          <w:b/>
          <w:bCs/>
          <w:color w:val="153D63" w:themeColor="text2" w:themeTint="E6"/>
        </w:rPr>
        <w:t xml:space="preserve"> </w:t>
      </w:r>
      <w:r w:rsidR="00A86513" w:rsidRPr="000F0BEC">
        <w:rPr>
          <w:rFonts w:ascii="Verdana" w:hAnsi="Verdana"/>
          <w:b/>
          <w:bCs/>
          <w:color w:val="153D63" w:themeColor="text2" w:themeTint="E6"/>
        </w:rPr>
        <w:t>Impact Level: Strong</w:t>
      </w:r>
      <w:r w:rsidR="00A86513" w:rsidRPr="000F0BEC">
        <w:rPr>
          <w:rFonts w:ascii="Verdana" w:hAnsi="Verdana"/>
          <w:color w:val="153D63" w:themeColor="text2" w:themeTint="E6"/>
        </w:rPr>
        <w:br/>
      </w:r>
      <w:r w:rsidR="00A86513" w:rsidRPr="000F0BEC">
        <w:rPr>
          <w:rFonts w:ascii="Verdana" w:hAnsi="Verdana"/>
          <w:b/>
          <w:bCs/>
          <w:color w:val="153D63" w:themeColor="text2" w:themeTint="E6"/>
        </w:rPr>
        <w:t>So What:</w:t>
      </w:r>
      <w:r w:rsidR="00A86513" w:rsidRPr="000F0BEC">
        <w:rPr>
          <w:rFonts w:ascii="Verdana" w:hAnsi="Verdana"/>
          <w:color w:val="153D63" w:themeColor="text2" w:themeTint="E6"/>
        </w:rPr>
        <w:t xml:space="preserve"> Indicates ongoing high-risk areas requiring urgent improvement.</w:t>
      </w:r>
    </w:p>
    <w:p w14:paraId="47BDF819" w14:textId="406C6D06" w:rsidR="00252277" w:rsidRDefault="00252277" w:rsidP="009718E4">
      <w:pPr>
        <w:rPr>
          <w:rStyle w:val="Emphasis"/>
          <w:rFonts w:ascii="Verdana" w:eastAsiaTheme="majorEastAsia" w:hAnsi="Verdana" w:cs="Segoe UI"/>
          <w:sz w:val="24"/>
          <w:szCs w:val="24"/>
        </w:rPr>
      </w:pPr>
      <w:r w:rsidRPr="00DB5258">
        <w:rPr>
          <w:rFonts w:ascii="Verdana" w:eastAsia="Times New Roman" w:hAnsi="Verdana" w:cs="Segoe UI"/>
          <w:color w:val="153D63" w:themeColor="text2" w:themeTint="E6"/>
          <w:lang w:eastAsia="en-GB"/>
        </w:rPr>
        <w:t xml:space="preserve">InvestigatinG kidNey bIopsy pracTice and outcomEs (IGNITE) </w:t>
      </w:r>
      <w:r w:rsidRPr="00DB5258">
        <w:rPr>
          <w:rFonts w:ascii="Verdana" w:hAnsi="Verdana" w:cs="Segoe UI"/>
          <w:color w:val="153D63" w:themeColor="text2" w:themeTint="E6"/>
        </w:rPr>
        <w:t xml:space="preserve">National Kidney Biopsy Audit.  </w:t>
      </w:r>
      <w:r w:rsidRPr="00DB5258">
        <w:rPr>
          <w:rFonts w:ascii="Verdana" w:hAnsi="Verdana" w:cs="Segoe UI"/>
        </w:rPr>
        <w:t xml:space="preserve">The audit contributed to identification of national variation in kidney biopsy practice and supported guideline development. Local practice </w:t>
      </w:r>
      <w:r w:rsidRPr="00DB5258">
        <w:rPr>
          <w:rFonts w:ascii="Verdana" w:hAnsi="Verdana" w:cs="Segoe UI"/>
        </w:rPr>
        <w:lastRenderedPageBreak/>
        <w:t xml:space="preserve">demonstrated compliance, with low residual risk. </w:t>
      </w:r>
      <w:r w:rsidRPr="00DB5258">
        <w:rPr>
          <w:rStyle w:val="Emphasis"/>
          <w:rFonts w:ascii="Verdana" w:eastAsiaTheme="majorEastAsia" w:hAnsi="Verdana" w:cs="Segoe UI"/>
        </w:rPr>
        <w:t>(Risk score: 2)</w:t>
      </w:r>
      <w:r w:rsidR="009718E4" w:rsidRPr="00DB5258">
        <w:rPr>
          <w:rStyle w:val="Emphasis"/>
          <w:rFonts w:ascii="Verdana" w:eastAsiaTheme="majorEastAsia" w:hAnsi="Verdana" w:cs="Segoe UI"/>
        </w:rPr>
        <w:t xml:space="preserve">                                                                                                                 </w:t>
      </w:r>
      <w:r w:rsidR="009718E4" w:rsidRPr="000F0BEC">
        <w:rPr>
          <w:rFonts w:ascii="Verdana" w:hAnsi="Verdana"/>
          <w:b/>
          <w:bCs/>
          <w:color w:val="153D63" w:themeColor="text2" w:themeTint="E6"/>
        </w:rPr>
        <w:t>Impact Level: Assurance</w:t>
      </w:r>
    </w:p>
    <w:p w14:paraId="5DE3BBC9" w14:textId="77777777" w:rsidR="00252277" w:rsidRPr="0045633F" w:rsidRDefault="00252277" w:rsidP="00252277">
      <w:pPr>
        <w:spacing w:line="240" w:lineRule="auto"/>
        <w:rPr>
          <w:rFonts w:ascii="Verdana" w:hAnsi="Verdana" w:cs="Segoe UI"/>
          <w:b/>
          <w:bCs/>
          <w:color w:val="0F4761"/>
          <w:sz w:val="24"/>
          <w:szCs w:val="24"/>
        </w:rPr>
      </w:pPr>
      <w:r w:rsidRPr="0045633F">
        <w:rPr>
          <w:rFonts w:ascii="Verdana" w:hAnsi="Verdana" w:cs="Segoe UI"/>
          <w:b/>
          <w:bCs/>
          <w:color w:val="0F4761"/>
          <w:sz w:val="24"/>
          <w:szCs w:val="24"/>
        </w:rPr>
        <w:t>Spinal Surgery</w:t>
      </w:r>
    </w:p>
    <w:p w14:paraId="04A7ECA8" w14:textId="4EC321C2" w:rsidR="00252277" w:rsidRPr="000F0BEC" w:rsidRDefault="00252277" w:rsidP="009718E4">
      <w:pPr>
        <w:rPr>
          <w:rStyle w:val="Emphasis"/>
          <w:rFonts w:ascii="Verdana" w:eastAsiaTheme="majorEastAsia" w:hAnsi="Verdana" w:cs="Segoe UI"/>
        </w:rPr>
      </w:pPr>
      <w:r w:rsidRPr="00DB5258">
        <w:rPr>
          <w:rFonts w:ascii="Verdana" w:hAnsi="Verdana" w:cs="Segoe UI"/>
          <w:color w:val="0F4761"/>
        </w:rPr>
        <w:t>Post</w:t>
      </w:r>
      <w:r w:rsidRPr="00DB5258">
        <w:rPr>
          <w:rFonts w:ascii="Verdana" w:hAnsi="Verdana" w:cs="Segoe UI"/>
          <w:color w:val="0F4761"/>
        </w:rPr>
        <w:noBreakHyphen/>
        <w:t>operative Rehabilitation Following Lumbar Decompression.</w:t>
      </w:r>
      <w:r w:rsidRPr="00DB5258">
        <w:rPr>
          <w:rFonts w:ascii="Verdana" w:hAnsi="Verdana" w:cs="Segoe UI"/>
        </w:rPr>
        <w:t xml:space="preserve"> Reasonable compliance with rehabilitation timing recommendations, with the majority of patients accessing physiotherapy within recommended timeframes. Some delays persisted, resulting in low to moderate residual risk. </w:t>
      </w:r>
      <w:r w:rsidRPr="00DB5258">
        <w:rPr>
          <w:rStyle w:val="Emphasis"/>
          <w:rFonts w:ascii="Verdana" w:eastAsiaTheme="majorEastAsia" w:hAnsi="Verdana" w:cs="Segoe UI"/>
        </w:rPr>
        <w:t>(Risk score: 4)</w:t>
      </w:r>
      <w:r w:rsidR="009718E4" w:rsidRPr="00DB5258">
        <w:rPr>
          <w:rStyle w:val="Emphasis"/>
          <w:rFonts w:ascii="Verdana" w:eastAsiaTheme="majorEastAsia" w:hAnsi="Verdana" w:cs="Segoe UI"/>
        </w:rPr>
        <w:t xml:space="preserve">                                                                                      </w:t>
      </w:r>
      <w:r w:rsidR="009718E4" w:rsidRPr="000F0BEC">
        <w:rPr>
          <w:rFonts w:ascii="Verdana" w:hAnsi="Verdana"/>
          <w:b/>
          <w:bCs/>
          <w:color w:val="153D63" w:themeColor="text2" w:themeTint="E6"/>
        </w:rPr>
        <w:t>Impact Level: Medium</w:t>
      </w:r>
    </w:p>
    <w:p w14:paraId="49923ADA" w14:textId="446D3469" w:rsidR="00E423C7" w:rsidRDefault="00252277" w:rsidP="00E423C7">
      <w:pPr>
        <w:rPr>
          <w:rStyle w:val="Emphasis"/>
          <w:rFonts w:ascii="Verdana" w:eastAsiaTheme="majorEastAsia" w:hAnsi="Verdana" w:cs="Segoe UI"/>
          <w:sz w:val="24"/>
          <w:szCs w:val="24"/>
        </w:rPr>
      </w:pPr>
      <w:r w:rsidRPr="00DB5258">
        <w:rPr>
          <w:rFonts w:ascii="Verdana" w:hAnsi="Verdana" w:cs="Segoe UI"/>
          <w:color w:val="0F4761"/>
        </w:rPr>
        <w:t xml:space="preserve">Surgical Site Infection in Spinal Surgery.  </w:t>
      </w:r>
      <w:r w:rsidRPr="00DB5258">
        <w:rPr>
          <w:rFonts w:ascii="Verdana" w:hAnsi="Verdana" w:cs="Segoe UI"/>
        </w:rPr>
        <w:t xml:space="preserve">The audit demonstrated infection rates aligned with national benchmarks and provided robust baseline data. Limitations in sample size and case mix were identified, but overall risk remained moderate. </w:t>
      </w:r>
      <w:r w:rsidRPr="00DB5258">
        <w:rPr>
          <w:rStyle w:val="Emphasis"/>
          <w:rFonts w:ascii="Verdana" w:eastAsiaTheme="majorEastAsia" w:hAnsi="Verdana" w:cs="Segoe UI"/>
        </w:rPr>
        <w:t>(Risk score: 9)</w:t>
      </w:r>
      <w:r w:rsidR="00E423C7">
        <w:rPr>
          <w:rStyle w:val="Emphasis"/>
          <w:rFonts w:ascii="Verdana" w:eastAsiaTheme="majorEastAsia" w:hAnsi="Verdana" w:cs="Segoe UI"/>
          <w:sz w:val="24"/>
          <w:szCs w:val="24"/>
        </w:rPr>
        <w:t xml:space="preserve">                                                    </w:t>
      </w:r>
      <w:r w:rsidR="00DB5258">
        <w:rPr>
          <w:rFonts w:ascii="Verdana" w:hAnsi="Verdana"/>
          <w:b/>
          <w:bCs/>
          <w:color w:val="153D63" w:themeColor="text2" w:themeTint="E6"/>
        </w:rPr>
        <w:t xml:space="preserve">                                                     </w:t>
      </w:r>
      <w:r w:rsidR="00E423C7" w:rsidRPr="000F0BEC">
        <w:rPr>
          <w:rFonts w:ascii="Verdana" w:hAnsi="Verdana"/>
          <w:b/>
          <w:bCs/>
          <w:color w:val="153D63" w:themeColor="text2" w:themeTint="E6"/>
        </w:rPr>
        <w:t>Impact Level: Medium</w:t>
      </w:r>
    </w:p>
    <w:p w14:paraId="4E957D9C" w14:textId="77777777" w:rsidR="00252277" w:rsidRPr="0045633F" w:rsidRDefault="00252277" w:rsidP="00252277">
      <w:pPr>
        <w:spacing w:line="240" w:lineRule="auto"/>
        <w:rPr>
          <w:rFonts w:ascii="Verdana" w:hAnsi="Verdana" w:cs="Segoe UI"/>
          <w:b/>
          <w:bCs/>
          <w:color w:val="0F4761"/>
          <w:sz w:val="24"/>
          <w:szCs w:val="24"/>
        </w:rPr>
      </w:pPr>
      <w:r w:rsidRPr="0045633F">
        <w:rPr>
          <w:rFonts w:ascii="Verdana" w:hAnsi="Verdana" w:cs="Segoe UI"/>
          <w:b/>
          <w:bCs/>
          <w:color w:val="0F4761"/>
          <w:sz w:val="24"/>
          <w:szCs w:val="24"/>
        </w:rPr>
        <w:t>Stroke</w:t>
      </w:r>
    </w:p>
    <w:p w14:paraId="5800AFDF" w14:textId="593DF7EB" w:rsidR="00252277" w:rsidRDefault="00252277" w:rsidP="009718E4">
      <w:pPr>
        <w:rPr>
          <w:rStyle w:val="Emphasis"/>
          <w:rFonts w:ascii="Verdana" w:eastAsiaTheme="majorEastAsia" w:hAnsi="Verdana" w:cs="Segoe UI"/>
          <w:sz w:val="24"/>
          <w:szCs w:val="24"/>
        </w:rPr>
      </w:pPr>
      <w:r w:rsidRPr="00DB5258">
        <w:rPr>
          <w:rFonts w:ascii="Verdana" w:hAnsi="Verdana" w:cs="Segoe UI"/>
          <w:color w:val="0F4761"/>
        </w:rPr>
        <w:t xml:space="preserve">Do Not Attempt Cardiopulmonary Resuscitation (DNACPR) Audit in Stroke.  </w:t>
      </w:r>
      <w:r w:rsidRPr="00DB5258">
        <w:rPr>
          <w:rFonts w:ascii="Verdana" w:hAnsi="Verdana" w:cs="Segoe UI"/>
        </w:rPr>
        <w:t xml:space="preserve">The audit confirmed improvement in DNACPR documentation in line with national guidance. Some variability in completion and discharge processes remains, but overall risk was low. </w:t>
      </w:r>
      <w:r w:rsidRPr="00DB5258">
        <w:rPr>
          <w:rStyle w:val="Emphasis"/>
          <w:rFonts w:ascii="Verdana" w:eastAsiaTheme="majorEastAsia" w:hAnsi="Verdana" w:cs="Segoe UI"/>
        </w:rPr>
        <w:t>(Risk score: 1)</w:t>
      </w:r>
      <w:r w:rsidR="009718E4">
        <w:rPr>
          <w:rStyle w:val="Emphasis"/>
          <w:rFonts w:ascii="Verdana" w:eastAsiaTheme="majorEastAsia" w:hAnsi="Verdana" w:cs="Segoe UI"/>
          <w:sz w:val="24"/>
          <w:szCs w:val="24"/>
        </w:rPr>
        <w:t xml:space="preserve">                                                        </w:t>
      </w:r>
      <w:r w:rsidR="009718E4" w:rsidRPr="000F0BEC">
        <w:rPr>
          <w:rFonts w:ascii="Verdana" w:hAnsi="Verdana"/>
          <w:b/>
          <w:bCs/>
          <w:color w:val="153D63" w:themeColor="text2" w:themeTint="E6"/>
        </w:rPr>
        <w:t>Impact Level: Medium</w:t>
      </w:r>
    </w:p>
    <w:p w14:paraId="2D67F4ED" w14:textId="12BBE627" w:rsidR="00252277" w:rsidRPr="0045633F" w:rsidRDefault="00252277" w:rsidP="00252277">
      <w:pPr>
        <w:spacing w:line="240" w:lineRule="auto"/>
        <w:rPr>
          <w:rFonts w:ascii="Verdana" w:hAnsi="Verdana" w:cs="Segoe UI"/>
          <w:b/>
          <w:bCs/>
          <w:color w:val="0F4761"/>
          <w:sz w:val="24"/>
          <w:szCs w:val="24"/>
        </w:rPr>
      </w:pPr>
      <w:r w:rsidRPr="0045633F">
        <w:rPr>
          <w:rFonts w:ascii="Verdana" w:hAnsi="Verdana" w:cs="Segoe UI"/>
          <w:b/>
          <w:bCs/>
          <w:color w:val="0F4761"/>
          <w:sz w:val="24"/>
          <w:szCs w:val="24"/>
        </w:rPr>
        <w:t>Urology</w:t>
      </w:r>
    </w:p>
    <w:p w14:paraId="14CCDC8C" w14:textId="5C90777C" w:rsidR="009718E4" w:rsidRPr="000F0BEC" w:rsidRDefault="00252277" w:rsidP="009718E4">
      <w:r w:rsidRPr="00DB5258">
        <w:rPr>
          <w:rFonts w:ascii="Verdana" w:hAnsi="Verdana" w:cs="Segoe UI"/>
          <w:color w:val="0F4761"/>
        </w:rPr>
        <w:t xml:space="preserve">British Association of Urological Surgeons National Nephrostomy Audit.  </w:t>
      </w:r>
      <w:r w:rsidRPr="00DB5258">
        <w:rPr>
          <w:rFonts w:ascii="Verdana" w:hAnsi="Verdana" w:cs="Segoe UI"/>
        </w:rPr>
        <w:t>The audit showed good performance for admission</w:t>
      </w:r>
      <w:r w:rsidRPr="00DB5258">
        <w:rPr>
          <w:rFonts w:ascii="Verdana" w:hAnsi="Verdana" w:cs="Segoe UI"/>
        </w:rPr>
        <w:noBreakHyphen/>
        <w:t>to</w:t>
      </w:r>
      <w:r w:rsidRPr="00DB5258">
        <w:rPr>
          <w:rFonts w:ascii="Verdana" w:hAnsi="Verdana" w:cs="Segoe UI"/>
        </w:rPr>
        <w:noBreakHyphen/>
        <w:t xml:space="preserve">diagnosis times compared with national benchmarks. Delays from diagnosis to nephrostomy insertion were identified locally, resulting in moderate residual risk. </w:t>
      </w:r>
      <w:r w:rsidRPr="00DB5258">
        <w:rPr>
          <w:rStyle w:val="Emphasis"/>
          <w:rFonts w:ascii="Verdana" w:eastAsiaTheme="majorEastAsia" w:hAnsi="Verdana" w:cs="Segoe UI"/>
        </w:rPr>
        <w:t>(Risk score: 8)</w:t>
      </w:r>
      <w:r w:rsidR="009718E4" w:rsidRPr="00DB5258">
        <w:rPr>
          <w:rStyle w:val="Emphasis"/>
          <w:rFonts w:ascii="Verdana" w:eastAsiaTheme="majorEastAsia" w:hAnsi="Verdana" w:cs="Segoe UI"/>
        </w:rPr>
        <w:t xml:space="preserve">                                                                                       </w:t>
      </w:r>
      <w:r w:rsidR="009718E4" w:rsidRPr="000F0BEC">
        <w:rPr>
          <w:rFonts w:ascii="Verdana" w:hAnsi="Verdana"/>
          <w:b/>
          <w:bCs/>
          <w:color w:val="153D63" w:themeColor="text2" w:themeTint="E6"/>
        </w:rPr>
        <w:t>Impact Level: Medium</w:t>
      </w:r>
      <w:r w:rsidR="009718E4" w:rsidRPr="000F0BEC">
        <w:rPr>
          <w:rFonts w:ascii="Verdana" w:hAnsi="Verdana"/>
          <w:color w:val="153D63" w:themeColor="text2" w:themeTint="E6"/>
        </w:rPr>
        <w:br/>
      </w:r>
      <w:r w:rsidR="009718E4" w:rsidRPr="000F0BEC">
        <w:rPr>
          <w:rFonts w:ascii="Verdana" w:hAnsi="Verdana"/>
          <w:b/>
          <w:bCs/>
          <w:color w:val="153D63" w:themeColor="text2" w:themeTint="E6"/>
        </w:rPr>
        <w:t>So What:</w:t>
      </w:r>
      <w:r w:rsidR="009718E4" w:rsidRPr="000F0BEC">
        <w:rPr>
          <w:rFonts w:ascii="Verdana" w:hAnsi="Verdana"/>
          <w:color w:val="153D63" w:themeColor="text2" w:themeTint="E6"/>
        </w:rPr>
        <w:t xml:space="preserve"> Identifies delays impacting timely treatment delivery.</w:t>
      </w:r>
    </w:p>
    <w:p w14:paraId="02CE0AE4" w14:textId="2BD8AE04" w:rsidR="009718E4" w:rsidRPr="007961F6" w:rsidRDefault="00252277" w:rsidP="009718E4">
      <w:r w:rsidRPr="00DB5258">
        <w:rPr>
          <w:rFonts w:ascii="Verdana" w:hAnsi="Verdana" w:cs="Segoe UI"/>
          <w:color w:val="153D63" w:themeColor="text2" w:themeTint="E6"/>
        </w:rPr>
        <w:t xml:space="preserve">Transurethral Resection of Bladder Tumour Operation Note Documentation.  </w:t>
      </w:r>
      <w:r w:rsidRPr="00DB5258">
        <w:rPr>
          <w:rFonts w:ascii="Verdana" w:hAnsi="Verdana" w:cs="Segoe UI"/>
        </w:rPr>
        <w:t xml:space="preserve">The audit demonstrated low postoperative complication rates. Variability in documentation quality resulted in low to moderate residual risk. </w:t>
      </w:r>
      <w:r w:rsidRPr="00DB5258">
        <w:rPr>
          <w:rStyle w:val="Emphasis"/>
          <w:rFonts w:ascii="Verdana" w:hAnsi="Verdana" w:cs="Segoe UI"/>
        </w:rPr>
        <w:t xml:space="preserve">(Risk score: 3) </w:t>
      </w:r>
      <w:r w:rsidR="009718E4" w:rsidRPr="00DB5258">
        <w:rPr>
          <w:rStyle w:val="Emphasis"/>
          <w:rFonts w:ascii="Verdana" w:hAnsi="Verdana" w:cs="Segoe UI"/>
        </w:rPr>
        <w:t xml:space="preserve">                                                                                                </w:t>
      </w:r>
      <w:r w:rsidR="009718E4" w:rsidRPr="000F0BEC">
        <w:rPr>
          <w:rFonts w:ascii="Verdana" w:hAnsi="Verdana"/>
          <w:b/>
          <w:bCs/>
          <w:color w:val="153D63" w:themeColor="text2" w:themeTint="E6"/>
        </w:rPr>
        <w:t>Impact Level: Medium</w:t>
      </w:r>
      <w:r w:rsidR="009718E4" w:rsidRPr="000F0BEC">
        <w:rPr>
          <w:rFonts w:ascii="Verdana" w:hAnsi="Verdana"/>
          <w:color w:val="153D63" w:themeColor="text2" w:themeTint="E6"/>
        </w:rPr>
        <w:br/>
      </w:r>
    </w:p>
    <w:p w14:paraId="1717769E" w14:textId="35846D20" w:rsidR="00252277" w:rsidRDefault="00252277" w:rsidP="00252277">
      <w:pPr>
        <w:pStyle w:val="Heading3"/>
        <w:spacing w:line="240" w:lineRule="auto"/>
      </w:pPr>
      <w:r>
        <w:rPr>
          <w:rStyle w:val="Emphasis"/>
          <w:rFonts w:ascii="Verdana" w:hAnsi="Verdana" w:cs="Segoe UI"/>
          <w:color w:val="auto"/>
          <w:sz w:val="24"/>
          <w:szCs w:val="24"/>
        </w:rPr>
        <w:t xml:space="preserve">                                                                                                                                          </w:t>
      </w:r>
    </w:p>
    <w:p w14:paraId="2DA681CD" w14:textId="5DFAA8D8" w:rsidR="00252277" w:rsidRDefault="00252277" w:rsidP="000628F5">
      <w:pPr>
        <w:tabs>
          <w:tab w:val="left" w:pos="567"/>
          <w:tab w:val="left" w:pos="709"/>
          <w:tab w:val="left" w:pos="851"/>
        </w:tabs>
        <w:rPr>
          <w:rFonts w:ascii="Verdana" w:hAnsi="Verdana" w:cs="Arial"/>
          <w:b/>
          <w:bCs/>
          <w:sz w:val="24"/>
          <w:szCs w:val="24"/>
        </w:rPr>
      </w:pPr>
    </w:p>
    <w:p w14:paraId="742C4999" w14:textId="62105855" w:rsidR="00252277" w:rsidRDefault="00252277" w:rsidP="000628F5">
      <w:pPr>
        <w:tabs>
          <w:tab w:val="left" w:pos="567"/>
          <w:tab w:val="left" w:pos="709"/>
          <w:tab w:val="left" w:pos="851"/>
        </w:tabs>
        <w:rPr>
          <w:rFonts w:ascii="Verdana" w:hAnsi="Verdana" w:cs="Arial"/>
          <w:b/>
          <w:bCs/>
          <w:sz w:val="24"/>
          <w:szCs w:val="24"/>
        </w:rPr>
      </w:pPr>
    </w:p>
    <w:p w14:paraId="2819A87F" w14:textId="7B61CE06" w:rsidR="00252277" w:rsidRDefault="00252277" w:rsidP="000628F5">
      <w:pPr>
        <w:tabs>
          <w:tab w:val="left" w:pos="567"/>
          <w:tab w:val="left" w:pos="709"/>
          <w:tab w:val="left" w:pos="851"/>
        </w:tabs>
        <w:rPr>
          <w:rFonts w:ascii="Verdana" w:hAnsi="Verdana" w:cs="Arial"/>
          <w:b/>
          <w:bCs/>
          <w:sz w:val="24"/>
          <w:szCs w:val="24"/>
        </w:rPr>
      </w:pPr>
    </w:p>
    <w:p w14:paraId="7229BDBA" w14:textId="46608B05" w:rsidR="00252277" w:rsidRDefault="00252277" w:rsidP="000628F5">
      <w:pPr>
        <w:tabs>
          <w:tab w:val="left" w:pos="567"/>
          <w:tab w:val="left" w:pos="709"/>
          <w:tab w:val="left" w:pos="851"/>
        </w:tabs>
        <w:rPr>
          <w:rFonts w:ascii="Verdana" w:hAnsi="Verdana" w:cs="Arial"/>
          <w:b/>
          <w:bCs/>
          <w:sz w:val="24"/>
          <w:szCs w:val="24"/>
        </w:rPr>
      </w:pPr>
    </w:p>
    <w:p w14:paraId="00C221CD" w14:textId="329766ED" w:rsidR="00252277" w:rsidRDefault="00252277" w:rsidP="000628F5">
      <w:pPr>
        <w:tabs>
          <w:tab w:val="left" w:pos="567"/>
          <w:tab w:val="left" w:pos="709"/>
          <w:tab w:val="left" w:pos="851"/>
        </w:tabs>
        <w:rPr>
          <w:rFonts w:ascii="Verdana" w:hAnsi="Verdana" w:cs="Arial"/>
          <w:b/>
          <w:bCs/>
          <w:sz w:val="24"/>
          <w:szCs w:val="24"/>
        </w:rPr>
      </w:pPr>
    </w:p>
    <w:p w14:paraId="75546770" w14:textId="42113B1F" w:rsidR="00252277" w:rsidRDefault="00252277" w:rsidP="000628F5">
      <w:pPr>
        <w:tabs>
          <w:tab w:val="left" w:pos="567"/>
          <w:tab w:val="left" w:pos="709"/>
          <w:tab w:val="left" w:pos="851"/>
        </w:tabs>
        <w:rPr>
          <w:rFonts w:ascii="Verdana" w:hAnsi="Verdana" w:cs="Arial"/>
          <w:b/>
          <w:bCs/>
          <w:sz w:val="24"/>
          <w:szCs w:val="24"/>
        </w:rPr>
      </w:pPr>
    </w:p>
    <w:p w14:paraId="2A15E70F" w14:textId="254DF947" w:rsidR="00252277" w:rsidRDefault="00252277" w:rsidP="000628F5">
      <w:pPr>
        <w:tabs>
          <w:tab w:val="left" w:pos="567"/>
          <w:tab w:val="left" w:pos="709"/>
          <w:tab w:val="left" w:pos="851"/>
        </w:tabs>
        <w:rPr>
          <w:rFonts w:ascii="Verdana" w:hAnsi="Verdana" w:cs="Arial"/>
          <w:b/>
          <w:bCs/>
          <w:sz w:val="24"/>
          <w:szCs w:val="24"/>
        </w:rPr>
      </w:pPr>
    </w:p>
    <w:p w14:paraId="0298D9B0" w14:textId="17DA8A50" w:rsidR="00252277" w:rsidRDefault="00252277" w:rsidP="00252277">
      <w:pPr>
        <w:tabs>
          <w:tab w:val="left" w:pos="567"/>
          <w:tab w:val="left" w:pos="709"/>
          <w:tab w:val="left" w:pos="851"/>
        </w:tabs>
        <w:rPr>
          <w:rFonts w:ascii="Verdana" w:hAnsi="Verdana" w:cs="Arial"/>
          <w:b/>
          <w:bCs/>
          <w:sz w:val="24"/>
          <w:szCs w:val="24"/>
        </w:rPr>
      </w:pPr>
      <w:r w:rsidRPr="00252277">
        <w:rPr>
          <w:rFonts w:ascii="Verdana" w:hAnsi="Verdana" w:cs="Arial"/>
          <w:b/>
          <w:bCs/>
          <w:sz w:val="24"/>
          <w:szCs w:val="24"/>
        </w:rPr>
        <w:lastRenderedPageBreak/>
        <w:t xml:space="preserve">Appendix </w:t>
      </w:r>
      <w:r>
        <w:rPr>
          <w:rFonts w:ascii="Verdana" w:hAnsi="Verdana" w:cs="Arial"/>
          <w:b/>
          <w:bCs/>
          <w:sz w:val="24"/>
          <w:szCs w:val="24"/>
        </w:rPr>
        <w:t>3</w:t>
      </w:r>
      <w:r w:rsidRPr="00252277">
        <w:rPr>
          <w:rFonts w:ascii="Verdana" w:hAnsi="Verdana" w:cs="Arial"/>
          <w:b/>
          <w:bCs/>
          <w:sz w:val="24"/>
          <w:szCs w:val="24"/>
        </w:rPr>
        <w:t xml:space="preserve">.  </w:t>
      </w:r>
      <w:r>
        <w:rPr>
          <w:rFonts w:ascii="Verdana" w:hAnsi="Verdana" w:cs="Arial"/>
          <w:b/>
          <w:bCs/>
          <w:sz w:val="24"/>
          <w:szCs w:val="24"/>
        </w:rPr>
        <w:t>Primary, Community Care and Therapies Service Group</w:t>
      </w:r>
      <w:r w:rsidRPr="00252277">
        <w:rPr>
          <w:rFonts w:ascii="Verdana" w:hAnsi="Verdana" w:cs="Arial"/>
          <w:b/>
          <w:bCs/>
          <w:sz w:val="24"/>
          <w:szCs w:val="24"/>
        </w:rPr>
        <w:t xml:space="preserve"> Completed Audits</w:t>
      </w:r>
    </w:p>
    <w:p w14:paraId="2A18971C" w14:textId="77777777" w:rsidR="004877C6" w:rsidRPr="00DB5258" w:rsidRDefault="004877C6" w:rsidP="004877C6">
      <w:pPr>
        <w:rPr>
          <w:rFonts w:ascii="Verdana" w:hAnsi="Verdana"/>
          <w:b/>
          <w:bCs/>
        </w:rPr>
      </w:pPr>
      <w:r w:rsidRPr="00DB5258">
        <w:rPr>
          <w:rFonts w:ascii="Verdana" w:hAnsi="Verdana"/>
          <w:b/>
          <w:bCs/>
        </w:rPr>
        <w:t>Key;</w:t>
      </w:r>
    </w:p>
    <w:p w14:paraId="0C69E25E" w14:textId="77777777" w:rsidR="004877C6" w:rsidRPr="00DB5258" w:rsidRDefault="004877C6" w:rsidP="004877C6">
      <w:pPr>
        <w:spacing w:line="240" w:lineRule="auto"/>
        <w:rPr>
          <w:rFonts w:ascii="Verdana" w:hAnsi="Verdana"/>
          <w:b/>
          <w:bCs/>
        </w:rPr>
      </w:pPr>
      <w:r w:rsidRPr="00DB5258">
        <w:rPr>
          <w:rFonts w:ascii="Verdana" w:hAnsi="Verdana"/>
          <w:b/>
          <w:bCs/>
        </w:rPr>
        <w:t>Impact Level</w:t>
      </w:r>
    </w:p>
    <w:p w14:paraId="551DF7C7" w14:textId="77777777" w:rsidR="004877C6" w:rsidRPr="00DB5258" w:rsidRDefault="004877C6" w:rsidP="004877C6">
      <w:pPr>
        <w:numPr>
          <w:ilvl w:val="0"/>
          <w:numId w:val="28"/>
        </w:numPr>
        <w:spacing w:line="240" w:lineRule="auto"/>
        <w:rPr>
          <w:rFonts w:ascii="Verdana" w:hAnsi="Verdana"/>
        </w:rPr>
      </w:pPr>
      <w:r w:rsidRPr="00DB5258">
        <w:rPr>
          <w:rFonts w:ascii="Verdana" w:hAnsi="Verdana"/>
          <w:b/>
          <w:bCs/>
        </w:rPr>
        <w:t>Assurance</w:t>
      </w:r>
      <w:r w:rsidRPr="00DB5258">
        <w:rPr>
          <w:rFonts w:ascii="Verdana" w:hAnsi="Verdana"/>
        </w:rPr>
        <w:t xml:space="preserve"> – Confirms practice meets expected standards; no significant concerns identified</w:t>
      </w:r>
    </w:p>
    <w:p w14:paraId="79B78001" w14:textId="77777777" w:rsidR="004877C6" w:rsidRPr="00DB5258" w:rsidRDefault="004877C6" w:rsidP="004877C6">
      <w:pPr>
        <w:numPr>
          <w:ilvl w:val="0"/>
          <w:numId w:val="28"/>
        </w:numPr>
        <w:spacing w:line="240" w:lineRule="auto"/>
        <w:rPr>
          <w:rFonts w:ascii="Verdana" w:hAnsi="Verdana"/>
        </w:rPr>
      </w:pPr>
      <w:r w:rsidRPr="00DB5258">
        <w:rPr>
          <w:rFonts w:ascii="Verdana" w:hAnsi="Verdana"/>
          <w:b/>
          <w:bCs/>
        </w:rPr>
        <w:t>Medium</w:t>
      </w:r>
      <w:r w:rsidRPr="00DB5258">
        <w:rPr>
          <w:rFonts w:ascii="Verdana" w:hAnsi="Verdana"/>
        </w:rPr>
        <w:t xml:space="preserve"> – Issues or variation identified requiring improvement, further review, or strengthening of consistency</w:t>
      </w:r>
    </w:p>
    <w:p w14:paraId="0FB6AA17" w14:textId="77777777" w:rsidR="004877C6" w:rsidRPr="00DB5258" w:rsidRDefault="004877C6" w:rsidP="004877C6">
      <w:pPr>
        <w:numPr>
          <w:ilvl w:val="0"/>
          <w:numId w:val="28"/>
        </w:numPr>
        <w:spacing w:line="240" w:lineRule="auto"/>
        <w:rPr>
          <w:rFonts w:ascii="Verdana" w:hAnsi="Verdana"/>
        </w:rPr>
      </w:pPr>
      <w:r w:rsidRPr="00DB5258">
        <w:rPr>
          <w:rFonts w:ascii="Verdana" w:hAnsi="Verdana"/>
          <w:b/>
          <w:bCs/>
        </w:rPr>
        <w:t>Strong</w:t>
      </w:r>
      <w:r w:rsidRPr="00DB5258">
        <w:rPr>
          <w:rFonts w:ascii="Verdana" w:hAnsi="Verdana"/>
        </w:rPr>
        <w:t xml:space="preserve"> – Significant findings with clear implications for patient safety, system performance, access, or quality</w:t>
      </w:r>
    </w:p>
    <w:p w14:paraId="6DA7F46B" w14:textId="77777777" w:rsidR="004877C6" w:rsidRPr="00DB5258" w:rsidRDefault="004877C6" w:rsidP="004877C6">
      <w:pPr>
        <w:spacing w:line="240" w:lineRule="auto"/>
        <w:rPr>
          <w:rFonts w:ascii="Verdana" w:hAnsi="Verdana"/>
          <w:b/>
          <w:bCs/>
        </w:rPr>
      </w:pPr>
      <w:r w:rsidRPr="00DB5258">
        <w:rPr>
          <w:rFonts w:ascii="Verdana" w:hAnsi="Verdana"/>
          <w:b/>
          <w:bCs/>
        </w:rPr>
        <w:t>The “So What?”</w:t>
      </w:r>
    </w:p>
    <w:p w14:paraId="5F589253" w14:textId="77777777" w:rsidR="004877C6" w:rsidRPr="00DB5258" w:rsidRDefault="004877C6" w:rsidP="004877C6">
      <w:pPr>
        <w:numPr>
          <w:ilvl w:val="0"/>
          <w:numId w:val="29"/>
        </w:numPr>
        <w:spacing w:line="240" w:lineRule="auto"/>
        <w:rPr>
          <w:rFonts w:ascii="Verdana" w:hAnsi="Verdana"/>
        </w:rPr>
      </w:pPr>
      <w:r w:rsidRPr="00DB5258">
        <w:rPr>
          <w:rFonts w:ascii="Verdana" w:hAnsi="Verdana"/>
        </w:rPr>
        <w:t>Included only where findings clearly support a meaningful conclusion</w:t>
      </w:r>
    </w:p>
    <w:p w14:paraId="63F251E4" w14:textId="77777777" w:rsidR="004877C6" w:rsidRPr="00DB5258" w:rsidRDefault="004877C6" w:rsidP="004877C6">
      <w:pPr>
        <w:numPr>
          <w:ilvl w:val="0"/>
          <w:numId w:val="29"/>
        </w:numPr>
        <w:spacing w:line="240" w:lineRule="auto"/>
        <w:rPr>
          <w:rFonts w:ascii="Verdana" w:hAnsi="Verdana"/>
        </w:rPr>
      </w:pPr>
      <w:r w:rsidRPr="00DB5258">
        <w:rPr>
          <w:rFonts w:ascii="Verdana" w:hAnsi="Verdana"/>
        </w:rPr>
        <w:t>Highlights why the audit matters in practice (risk, improvement, system impact, or benefit)</w:t>
      </w:r>
    </w:p>
    <w:p w14:paraId="70E9C3CF" w14:textId="77777777" w:rsidR="009115B6" w:rsidRPr="00082B76" w:rsidRDefault="009115B6" w:rsidP="009115B6">
      <w:pPr>
        <w:spacing w:before="100" w:beforeAutospacing="1" w:after="100" w:afterAutospacing="1" w:line="240" w:lineRule="auto"/>
        <w:rPr>
          <w:rFonts w:ascii="Verdana" w:hAnsi="Verdana" w:cs="Segoe UI"/>
          <w:b/>
          <w:bCs/>
          <w:color w:val="0F4761"/>
          <w:sz w:val="24"/>
          <w:szCs w:val="24"/>
        </w:rPr>
      </w:pPr>
      <w:r w:rsidRPr="00082B76">
        <w:rPr>
          <w:rFonts w:ascii="Verdana" w:hAnsi="Verdana" w:cs="Segoe UI"/>
          <w:b/>
          <w:bCs/>
          <w:color w:val="0F4761"/>
          <w:sz w:val="24"/>
          <w:szCs w:val="24"/>
        </w:rPr>
        <w:t>Audiology</w:t>
      </w:r>
    </w:p>
    <w:p w14:paraId="5309BD88" w14:textId="3E3C1CE5" w:rsidR="009115B6" w:rsidRPr="00DB5258" w:rsidRDefault="009115B6" w:rsidP="009115B6">
      <w:pPr>
        <w:spacing w:before="100" w:beforeAutospacing="1" w:after="100" w:afterAutospacing="1" w:line="240" w:lineRule="auto"/>
        <w:rPr>
          <w:rStyle w:val="Emphasis"/>
          <w:rFonts w:ascii="Verdana" w:eastAsiaTheme="majorEastAsia" w:hAnsi="Verdana" w:cs="Segoe UI"/>
        </w:rPr>
      </w:pPr>
      <w:r w:rsidRPr="00DB5258">
        <w:rPr>
          <w:rFonts w:ascii="Verdana" w:hAnsi="Verdana" w:cs="Segoe UI"/>
          <w:color w:val="0F4761"/>
        </w:rPr>
        <w:t xml:space="preserve">Cochlear Implant Assessment Referrals Audit.  </w:t>
      </w:r>
      <w:r w:rsidRPr="00DB5258">
        <w:rPr>
          <w:rFonts w:ascii="Verdana" w:hAnsi="Verdana" w:cs="Segoe UI"/>
        </w:rPr>
        <w:t>The audit identified ongoing failure to consistently recognise or discuss cochlear implant eligibility with suitable patients. This represents a significant access and equity risk, with re</w:t>
      </w:r>
      <w:r w:rsidRPr="00DB5258">
        <w:rPr>
          <w:rFonts w:ascii="Verdana" w:hAnsi="Verdana" w:cs="Segoe UI"/>
        </w:rPr>
        <w:noBreakHyphen/>
        <w:t xml:space="preserve">audit required to assess improvement. </w:t>
      </w:r>
      <w:r w:rsidRPr="00DB5258">
        <w:rPr>
          <w:rStyle w:val="Emphasis"/>
          <w:rFonts w:ascii="Verdana" w:eastAsiaTheme="majorEastAsia" w:hAnsi="Verdana" w:cs="Segoe UI"/>
        </w:rPr>
        <w:t>(Risk score: 12)</w:t>
      </w:r>
      <w:r w:rsidR="002E7834" w:rsidRPr="00DB5258">
        <w:rPr>
          <w:rStyle w:val="Emphasis"/>
          <w:rFonts w:ascii="Verdana" w:eastAsiaTheme="majorEastAsia" w:hAnsi="Verdana" w:cs="Segoe UI"/>
        </w:rPr>
        <w:t xml:space="preserve">                                                                                                                   </w:t>
      </w:r>
      <w:r w:rsidR="002E7834" w:rsidRPr="00DB5258">
        <w:rPr>
          <w:rFonts w:ascii="Verdana" w:hAnsi="Verdana"/>
          <w:b/>
          <w:bCs/>
          <w:color w:val="153D63" w:themeColor="text2" w:themeTint="E6"/>
        </w:rPr>
        <w:t>Impact Level: Strong</w:t>
      </w:r>
      <w:r w:rsidR="002E7834" w:rsidRPr="00DB5258">
        <w:rPr>
          <w:rFonts w:ascii="Verdana" w:hAnsi="Verdana"/>
          <w:color w:val="153D63" w:themeColor="text2" w:themeTint="E6"/>
        </w:rPr>
        <w:br/>
      </w:r>
      <w:r w:rsidR="002E7834" w:rsidRPr="00DB5258">
        <w:rPr>
          <w:rFonts w:ascii="Verdana" w:hAnsi="Verdana"/>
          <w:b/>
          <w:bCs/>
          <w:color w:val="153D63" w:themeColor="text2" w:themeTint="E6"/>
        </w:rPr>
        <w:t>So What:</w:t>
      </w:r>
      <w:r w:rsidR="002E7834" w:rsidRPr="00DB5258">
        <w:rPr>
          <w:rFonts w:ascii="Verdana" w:hAnsi="Verdana"/>
          <w:color w:val="153D63" w:themeColor="text2" w:themeTint="E6"/>
        </w:rPr>
        <w:t xml:space="preserve"> Identifies inequity in access to treatment due to inconsistent recognition of eligibility.</w:t>
      </w:r>
    </w:p>
    <w:p w14:paraId="37B8E273" w14:textId="77777777" w:rsidR="009115B6" w:rsidRPr="00DB5258" w:rsidRDefault="009115B6" w:rsidP="009115B6">
      <w:pPr>
        <w:spacing w:before="100" w:beforeAutospacing="1" w:after="100" w:afterAutospacing="1" w:line="240" w:lineRule="auto"/>
        <w:rPr>
          <w:rFonts w:ascii="Verdana" w:hAnsi="Verdana" w:cs="Segoe UI"/>
          <w:b/>
          <w:bCs/>
          <w:color w:val="0F4761"/>
          <w:sz w:val="24"/>
          <w:szCs w:val="24"/>
        </w:rPr>
      </w:pPr>
      <w:r w:rsidRPr="00DB5258">
        <w:rPr>
          <w:rFonts w:ascii="Verdana" w:hAnsi="Verdana" w:cs="Segoe UI"/>
          <w:b/>
          <w:bCs/>
          <w:color w:val="0F4761"/>
          <w:sz w:val="24"/>
          <w:szCs w:val="24"/>
        </w:rPr>
        <w:t>Cardiac Rehabilitation</w:t>
      </w:r>
    </w:p>
    <w:p w14:paraId="4AD419A9" w14:textId="10C16347" w:rsidR="009115B6" w:rsidRPr="00DB5258" w:rsidRDefault="009115B6" w:rsidP="009115B6">
      <w:pPr>
        <w:spacing w:before="100" w:beforeAutospacing="1" w:after="100" w:afterAutospacing="1" w:line="240" w:lineRule="auto"/>
        <w:rPr>
          <w:rStyle w:val="Emphasis"/>
          <w:rFonts w:ascii="Verdana" w:eastAsiaTheme="majorEastAsia" w:hAnsi="Verdana" w:cs="Segoe UI"/>
        </w:rPr>
      </w:pPr>
      <w:r w:rsidRPr="00DB5258">
        <w:rPr>
          <w:rFonts w:ascii="Verdana" w:hAnsi="Verdana" w:cs="Segoe UI"/>
          <w:color w:val="0F4761"/>
        </w:rPr>
        <w:t xml:space="preserve">Referral of Patients with Heart Failure to Cardiac Rehabilitation.  </w:t>
      </w:r>
      <w:r w:rsidRPr="00DB5258">
        <w:rPr>
          <w:rFonts w:ascii="Verdana" w:hAnsi="Verdana" w:cs="Segoe UI"/>
        </w:rPr>
        <w:t>Many eligible patients with heart failure were not accessing cardiac rehabilitation, resulting in potential adverse patient and organisational outcomes. While awareness of service improved, limited programme capacity resulted in ongoing moderate to high residual risk and the need for re</w:t>
      </w:r>
      <w:r w:rsidRPr="00DB5258">
        <w:rPr>
          <w:rFonts w:ascii="Verdana" w:hAnsi="Verdana" w:cs="Segoe UI"/>
        </w:rPr>
        <w:noBreakHyphen/>
        <w:t xml:space="preserve">audit. </w:t>
      </w:r>
      <w:r w:rsidRPr="00DB5258">
        <w:rPr>
          <w:rStyle w:val="Emphasis"/>
          <w:rFonts w:ascii="Verdana" w:eastAsiaTheme="majorEastAsia" w:hAnsi="Verdana" w:cs="Segoe UI"/>
        </w:rPr>
        <w:t>(Risk score: 12)</w:t>
      </w:r>
      <w:r w:rsidR="002E7834" w:rsidRPr="00DB5258">
        <w:rPr>
          <w:rStyle w:val="Emphasis"/>
          <w:rFonts w:ascii="Verdana" w:eastAsiaTheme="majorEastAsia" w:hAnsi="Verdana" w:cs="Segoe UI"/>
        </w:rPr>
        <w:t xml:space="preserve">                                                                                     </w:t>
      </w:r>
      <w:r w:rsidR="002E7834" w:rsidRPr="00DB5258">
        <w:rPr>
          <w:rFonts w:ascii="Verdana" w:hAnsi="Verdana"/>
          <w:b/>
          <w:bCs/>
          <w:color w:val="153D63" w:themeColor="text2" w:themeTint="E6"/>
        </w:rPr>
        <w:t>Impact Level: Strong</w:t>
      </w:r>
      <w:r w:rsidR="002E7834" w:rsidRPr="00DB5258">
        <w:rPr>
          <w:rFonts w:ascii="Verdana" w:hAnsi="Verdana"/>
          <w:color w:val="153D63" w:themeColor="text2" w:themeTint="E6"/>
        </w:rPr>
        <w:br/>
      </w:r>
      <w:r w:rsidR="002E7834" w:rsidRPr="00DB5258">
        <w:rPr>
          <w:rFonts w:ascii="Verdana" w:hAnsi="Verdana"/>
          <w:b/>
          <w:bCs/>
          <w:color w:val="153D63" w:themeColor="text2" w:themeTint="E6"/>
        </w:rPr>
        <w:t>So What:</w:t>
      </w:r>
      <w:r w:rsidR="002E7834" w:rsidRPr="00DB5258">
        <w:rPr>
          <w:rFonts w:ascii="Verdana" w:hAnsi="Verdana"/>
          <w:color w:val="153D63" w:themeColor="text2" w:themeTint="E6"/>
        </w:rPr>
        <w:t xml:space="preserve"> Highlights capacity constraints limiting access to beneficial services and impacting patient outcomes.</w:t>
      </w:r>
    </w:p>
    <w:p w14:paraId="45E957F6" w14:textId="77777777" w:rsidR="009115B6" w:rsidRPr="00082B76" w:rsidRDefault="009115B6" w:rsidP="009115B6">
      <w:pPr>
        <w:spacing w:before="100" w:beforeAutospacing="1" w:after="100" w:afterAutospacing="1" w:line="240" w:lineRule="auto"/>
        <w:rPr>
          <w:rFonts w:ascii="Verdana" w:hAnsi="Verdana" w:cs="Segoe UI"/>
          <w:b/>
          <w:bCs/>
          <w:color w:val="0F4761"/>
          <w:sz w:val="24"/>
          <w:szCs w:val="24"/>
        </w:rPr>
      </w:pPr>
      <w:r w:rsidRPr="00082B76">
        <w:rPr>
          <w:rFonts w:ascii="Verdana" w:hAnsi="Verdana" w:cs="Segoe UI"/>
          <w:b/>
          <w:bCs/>
          <w:color w:val="0F4761"/>
          <w:sz w:val="24"/>
          <w:szCs w:val="24"/>
        </w:rPr>
        <w:t>Community Dental Services</w:t>
      </w:r>
    </w:p>
    <w:p w14:paraId="38B356EF" w14:textId="4D622106" w:rsidR="002E7834" w:rsidRPr="00DB5258" w:rsidRDefault="009115B6" w:rsidP="002E7834">
      <w:pPr>
        <w:rPr>
          <w:rFonts w:ascii="Verdana" w:hAnsi="Verdana"/>
          <w:color w:val="153D63" w:themeColor="text2" w:themeTint="E6"/>
        </w:rPr>
      </w:pPr>
      <w:r w:rsidRPr="00DB5258">
        <w:rPr>
          <w:rFonts w:ascii="Verdana" w:hAnsi="Verdana" w:cs="Segoe UI"/>
          <w:color w:val="0F4761"/>
        </w:rPr>
        <w:t>Re</w:t>
      </w:r>
      <w:r w:rsidRPr="00DB5258">
        <w:rPr>
          <w:rFonts w:ascii="Verdana" w:hAnsi="Verdana" w:cs="Segoe UI"/>
          <w:color w:val="0F4761"/>
        </w:rPr>
        <w:noBreakHyphen/>
        <w:t xml:space="preserve">audit of the Use of Flumazenil within Swansea Bay UHB.  </w:t>
      </w:r>
      <w:r w:rsidRPr="00DB5258">
        <w:rPr>
          <w:rFonts w:ascii="Verdana" w:hAnsi="Verdana" w:cs="Segoe UI"/>
        </w:rPr>
        <w:t>The re</w:t>
      </w:r>
      <w:r w:rsidRPr="00DB5258">
        <w:rPr>
          <w:rFonts w:ascii="Verdana" w:hAnsi="Verdana" w:cs="Segoe UI"/>
        </w:rPr>
        <w:noBreakHyphen/>
        <w:t xml:space="preserve">audit demonstrated appropriate and infrequent use of flumazenil, with administration limited to a single patient on two occasions to support safe recovery. Dosing was appropriate and compliant with guidance, resulting in minimal residual risk. </w:t>
      </w:r>
      <w:r w:rsidRPr="00DB5258">
        <w:rPr>
          <w:rStyle w:val="Emphasis"/>
          <w:rFonts w:ascii="Verdana" w:eastAsiaTheme="majorEastAsia" w:hAnsi="Verdana" w:cs="Segoe UI"/>
        </w:rPr>
        <w:t>(Risk score: 1)</w:t>
      </w:r>
      <w:r w:rsidR="002E7834" w:rsidRPr="00DB5258">
        <w:rPr>
          <w:rStyle w:val="Emphasis"/>
          <w:rFonts w:ascii="Verdana" w:eastAsiaTheme="majorEastAsia" w:hAnsi="Verdana" w:cs="Segoe UI"/>
        </w:rPr>
        <w:t xml:space="preserve">                                                                      </w:t>
      </w:r>
      <w:r w:rsidR="00DB5258">
        <w:rPr>
          <w:rStyle w:val="Emphasis"/>
          <w:rFonts w:ascii="Verdana" w:eastAsiaTheme="majorEastAsia" w:hAnsi="Verdana" w:cs="Segoe UI"/>
        </w:rPr>
        <w:t xml:space="preserve">                                                 </w:t>
      </w:r>
      <w:r w:rsidR="002E7834" w:rsidRPr="00DB5258">
        <w:rPr>
          <w:rStyle w:val="Emphasis"/>
          <w:rFonts w:ascii="Verdana" w:eastAsiaTheme="majorEastAsia" w:hAnsi="Verdana" w:cs="Segoe UI"/>
        </w:rPr>
        <w:t xml:space="preserve"> </w:t>
      </w:r>
      <w:r w:rsidR="002E7834" w:rsidRPr="00DB5258">
        <w:rPr>
          <w:rFonts w:ascii="Verdana" w:hAnsi="Verdana"/>
          <w:b/>
          <w:bCs/>
          <w:color w:val="153D63" w:themeColor="text2" w:themeTint="E6"/>
        </w:rPr>
        <w:t>Impact Level: Assurance</w:t>
      </w:r>
    </w:p>
    <w:p w14:paraId="438FE776" w14:textId="7106EEDA" w:rsidR="002E7834" w:rsidRPr="00DB5258" w:rsidRDefault="009115B6" w:rsidP="002E7834">
      <w:pPr>
        <w:rPr>
          <w:rFonts w:ascii="Verdana" w:hAnsi="Verdana"/>
          <w:color w:val="153D63" w:themeColor="text2" w:themeTint="E6"/>
        </w:rPr>
      </w:pPr>
      <w:r w:rsidRPr="00DB5258">
        <w:rPr>
          <w:rStyle w:val="Strong"/>
          <w:rFonts w:ascii="Verdana" w:hAnsi="Verdana" w:cs="Segoe UI"/>
          <w:b w:val="0"/>
          <w:bCs w:val="0"/>
          <w:color w:val="0F4761"/>
        </w:rPr>
        <w:t xml:space="preserve">National Smoking Cessation Audit (NICE NG209) in the Dental Service.  </w:t>
      </w:r>
      <w:r w:rsidRPr="00DB5258">
        <w:rPr>
          <w:rFonts w:ascii="Verdana" w:hAnsi="Verdana" w:cs="Segoe UI"/>
        </w:rPr>
        <w:t xml:space="preserve">High compliance with oral cancer screening and brief smoking cessation interventions </w:t>
      </w:r>
      <w:r w:rsidRPr="00DB5258">
        <w:rPr>
          <w:rFonts w:ascii="Verdana" w:hAnsi="Verdana" w:cs="Segoe UI"/>
        </w:rPr>
        <w:lastRenderedPageBreak/>
        <w:t>during dental check</w:t>
      </w:r>
      <w:r w:rsidRPr="00DB5258">
        <w:rPr>
          <w:rFonts w:ascii="Verdana" w:hAnsi="Verdana" w:cs="Segoe UI"/>
        </w:rPr>
        <w:noBreakHyphen/>
        <w:t xml:space="preserve">ups, with appropriate referral where patients were ready to quit. Inconsistent provision of combined pharmacotherapy and support information, though overall residual risk remained low. </w:t>
      </w:r>
      <w:r w:rsidRPr="00DB5258">
        <w:rPr>
          <w:rStyle w:val="Emphasis"/>
          <w:rFonts w:ascii="Verdana" w:eastAsiaTheme="majorEastAsia" w:hAnsi="Verdana" w:cs="Segoe UI"/>
        </w:rPr>
        <w:t>(Risk score: 2)</w:t>
      </w:r>
      <w:r w:rsidR="002E7834" w:rsidRPr="00DB5258">
        <w:rPr>
          <w:rStyle w:val="Emphasis"/>
          <w:rFonts w:ascii="Verdana" w:eastAsiaTheme="majorEastAsia" w:hAnsi="Verdana" w:cs="Segoe UI"/>
        </w:rPr>
        <w:t xml:space="preserve">                                   </w:t>
      </w:r>
      <w:r w:rsidR="00DB5258">
        <w:rPr>
          <w:rStyle w:val="Emphasis"/>
          <w:rFonts w:ascii="Verdana" w:eastAsiaTheme="majorEastAsia" w:hAnsi="Verdana" w:cs="Segoe UI"/>
        </w:rPr>
        <w:t xml:space="preserve">                                                                           </w:t>
      </w:r>
      <w:r w:rsidR="002E7834" w:rsidRPr="00DB5258">
        <w:rPr>
          <w:rFonts w:ascii="Verdana" w:hAnsi="Verdana"/>
          <w:b/>
          <w:bCs/>
          <w:color w:val="153D63" w:themeColor="text2" w:themeTint="E6"/>
        </w:rPr>
        <w:t>Impact Level: Medium</w:t>
      </w:r>
    </w:p>
    <w:p w14:paraId="13614194" w14:textId="77777777" w:rsidR="009115B6" w:rsidRDefault="009115B6" w:rsidP="009115B6">
      <w:pPr>
        <w:spacing w:before="100" w:beforeAutospacing="1" w:after="100" w:afterAutospacing="1" w:line="240" w:lineRule="auto"/>
        <w:rPr>
          <w:rFonts w:ascii="Verdana" w:hAnsi="Verdana" w:cs="Segoe UI"/>
          <w:b/>
          <w:bCs/>
          <w:color w:val="0F4761"/>
          <w:sz w:val="24"/>
          <w:szCs w:val="24"/>
        </w:rPr>
      </w:pPr>
      <w:r w:rsidRPr="00082B76">
        <w:rPr>
          <w:rFonts w:ascii="Verdana" w:hAnsi="Verdana" w:cs="Segoe UI"/>
          <w:b/>
          <w:bCs/>
          <w:color w:val="0F4761"/>
          <w:sz w:val="24"/>
          <w:szCs w:val="24"/>
        </w:rPr>
        <w:t>Occupational Therapy</w:t>
      </w:r>
    </w:p>
    <w:p w14:paraId="4C622EEE" w14:textId="001219E0" w:rsidR="002E7834" w:rsidRPr="00DB5258" w:rsidRDefault="009115B6" w:rsidP="002E7834">
      <w:pPr>
        <w:rPr>
          <w:rFonts w:ascii="Verdana" w:hAnsi="Verdana"/>
          <w:color w:val="153D63" w:themeColor="text2" w:themeTint="E6"/>
        </w:rPr>
      </w:pPr>
      <w:r w:rsidRPr="00DB5258">
        <w:rPr>
          <w:rFonts w:ascii="Verdana" w:hAnsi="Verdana" w:cs="Segoe UI"/>
          <w:color w:val="0F4761"/>
        </w:rPr>
        <w:t>Neurological Upper Limb Splinting Re</w:t>
      </w:r>
      <w:r w:rsidRPr="00DB5258">
        <w:rPr>
          <w:rFonts w:ascii="Verdana" w:hAnsi="Verdana" w:cs="Segoe UI"/>
          <w:color w:val="0F4761"/>
        </w:rPr>
        <w:noBreakHyphen/>
        <w:t xml:space="preserve">audit (Occupational Therapy).  </w:t>
      </w:r>
      <w:r w:rsidRPr="00DB5258">
        <w:rPr>
          <w:rFonts w:ascii="Verdana" w:hAnsi="Verdana" w:cs="Segoe UI"/>
        </w:rPr>
        <w:t>The re</w:t>
      </w:r>
      <w:r w:rsidRPr="00DB5258">
        <w:rPr>
          <w:rFonts w:ascii="Verdana" w:hAnsi="Verdana" w:cs="Segoe UI"/>
        </w:rPr>
        <w:noBreakHyphen/>
        <w:t xml:space="preserve">audit demonstrated 100% compliance with professional standards for outcome measure use and documentation. Omission of separate monitoring paperwork was deemed appropriate and proportionate, resulting in minimal residual risk. </w:t>
      </w:r>
      <w:r w:rsidRPr="00DB5258">
        <w:rPr>
          <w:rStyle w:val="Emphasis"/>
          <w:rFonts w:ascii="Verdana" w:eastAsiaTheme="majorEastAsia" w:hAnsi="Verdana" w:cs="Segoe UI"/>
        </w:rPr>
        <w:t>(Risk score: 1)</w:t>
      </w:r>
      <w:r w:rsidRPr="00DB5258">
        <w:rPr>
          <w:rFonts w:ascii="Verdana" w:hAnsi="Verdana" w:cs="Segoe UI"/>
          <w:b/>
          <w:bCs/>
        </w:rPr>
        <w:t xml:space="preserve"> </w:t>
      </w:r>
      <w:r w:rsidR="002E7834" w:rsidRPr="00DB5258">
        <w:rPr>
          <w:rFonts w:ascii="Verdana" w:hAnsi="Verdana" w:cs="Segoe UI"/>
          <w:b/>
          <w:bCs/>
        </w:rPr>
        <w:t xml:space="preserve">                                                             </w:t>
      </w:r>
      <w:r w:rsidR="00DB5258">
        <w:rPr>
          <w:rFonts w:ascii="Verdana" w:hAnsi="Verdana" w:cs="Segoe UI"/>
          <w:b/>
          <w:bCs/>
        </w:rPr>
        <w:t xml:space="preserve">                            </w:t>
      </w:r>
      <w:r w:rsidR="002E7834" w:rsidRPr="00DB5258">
        <w:rPr>
          <w:rFonts w:ascii="Verdana" w:hAnsi="Verdana" w:cs="Segoe UI"/>
          <w:b/>
          <w:bCs/>
        </w:rPr>
        <w:t xml:space="preserve">  </w:t>
      </w:r>
      <w:r w:rsidR="002E7834" w:rsidRPr="00DB5258">
        <w:rPr>
          <w:rFonts w:ascii="Verdana" w:hAnsi="Verdana"/>
          <w:b/>
          <w:bCs/>
          <w:color w:val="153D63" w:themeColor="text2" w:themeTint="E6"/>
        </w:rPr>
        <w:t>Impact Level: Assurance</w:t>
      </w:r>
    </w:p>
    <w:p w14:paraId="2797E12A" w14:textId="77777777" w:rsidR="009115B6" w:rsidRPr="00FD76FD" w:rsidRDefault="009115B6" w:rsidP="009115B6">
      <w:pPr>
        <w:spacing w:before="100" w:beforeAutospacing="1" w:after="100" w:afterAutospacing="1" w:line="240" w:lineRule="auto"/>
        <w:rPr>
          <w:rFonts w:ascii="Verdana" w:hAnsi="Verdana" w:cs="Segoe UI"/>
          <w:b/>
          <w:bCs/>
          <w:color w:val="0F4761"/>
          <w:sz w:val="24"/>
          <w:szCs w:val="24"/>
        </w:rPr>
      </w:pPr>
      <w:r w:rsidRPr="00FD76FD">
        <w:rPr>
          <w:rFonts w:ascii="Verdana" w:hAnsi="Verdana" w:cs="Segoe UI"/>
          <w:b/>
          <w:bCs/>
          <w:color w:val="0F4761"/>
          <w:sz w:val="24"/>
          <w:szCs w:val="24"/>
        </w:rPr>
        <w:t>Podiatry</w:t>
      </w:r>
    </w:p>
    <w:p w14:paraId="2F9CE30A" w14:textId="572F0E12" w:rsidR="002E7834" w:rsidRPr="00DB5258" w:rsidRDefault="009115B6" w:rsidP="002E7834">
      <w:pPr>
        <w:rPr>
          <w:rFonts w:ascii="Verdana" w:hAnsi="Verdana"/>
          <w:color w:val="153D63" w:themeColor="text2" w:themeTint="E6"/>
        </w:rPr>
      </w:pPr>
      <w:r w:rsidRPr="00DB5258">
        <w:rPr>
          <w:rFonts w:ascii="Verdana" w:hAnsi="Verdana" w:cs="Segoe UI"/>
          <w:color w:val="0F4761"/>
        </w:rPr>
        <w:t>Defensive Documentation Re</w:t>
      </w:r>
      <w:r w:rsidRPr="00DB5258">
        <w:rPr>
          <w:rFonts w:ascii="Verdana" w:hAnsi="Verdana" w:cs="Segoe UI"/>
          <w:color w:val="0F4761"/>
        </w:rPr>
        <w:noBreakHyphen/>
        <w:t xml:space="preserve">audit (Podiatry). </w:t>
      </w:r>
      <w:r w:rsidRPr="00DB5258">
        <w:rPr>
          <w:rFonts w:ascii="Verdana" w:hAnsi="Verdana" w:cs="Segoe UI"/>
        </w:rPr>
        <w:t xml:space="preserve"> Good compliance with demographic, medical history, and neurovascular documentation standards. However, gaps in care planning, patient activation documentation, and footwear/offloading plans limited full assurance. </w:t>
      </w:r>
      <w:r w:rsidRPr="00DB5258">
        <w:rPr>
          <w:rStyle w:val="Emphasis"/>
          <w:rFonts w:ascii="Verdana" w:eastAsiaTheme="majorEastAsia" w:hAnsi="Verdana" w:cs="Segoe UI"/>
        </w:rPr>
        <w:t>(Risk score: 9)</w:t>
      </w:r>
      <w:r w:rsidR="002E7834" w:rsidRPr="00DB5258">
        <w:rPr>
          <w:rStyle w:val="Emphasis"/>
          <w:rFonts w:ascii="Verdana" w:eastAsiaTheme="majorEastAsia" w:hAnsi="Verdana" w:cs="Segoe UI"/>
        </w:rPr>
        <w:t xml:space="preserve">                                                                                                                                                                </w:t>
      </w:r>
      <w:r w:rsidR="002E7834" w:rsidRPr="00DB5258">
        <w:rPr>
          <w:rFonts w:ascii="Verdana" w:hAnsi="Verdana"/>
          <w:b/>
          <w:bCs/>
          <w:color w:val="153D63" w:themeColor="text2" w:themeTint="E6"/>
        </w:rPr>
        <w:t>Impact Level: Medium</w:t>
      </w:r>
      <w:r w:rsidR="002E7834" w:rsidRPr="00DB5258">
        <w:rPr>
          <w:rFonts w:ascii="Verdana" w:hAnsi="Verdana"/>
          <w:color w:val="153D63" w:themeColor="text2" w:themeTint="E6"/>
        </w:rPr>
        <w:br/>
      </w:r>
      <w:r w:rsidR="002E7834" w:rsidRPr="00DB5258">
        <w:rPr>
          <w:rFonts w:ascii="Verdana" w:hAnsi="Verdana"/>
          <w:b/>
          <w:bCs/>
          <w:color w:val="153D63" w:themeColor="text2" w:themeTint="E6"/>
        </w:rPr>
        <w:t>So What:</w:t>
      </w:r>
      <w:r w:rsidR="002E7834" w:rsidRPr="00DB5258">
        <w:rPr>
          <w:rFonts w:ascii="Verdana" w:hAnsi="Verdana"/>
          <w:color w:val="153D63" w:themeColor="text2" w:themeTint="E6"/>
        </w:rPr>
        <w:t xml:space="preserve"> Identifies documentation gaps that may impact effective care planning and patient engagement.</w:t>
      </w:r>
    </w:p>
    <w:p w14:paraId="59DDA46F" w14:textId="77777777" w:rsidR="009115B6" w:rsidRPr="00FD76FD" w:rsidRDefault="009115B6" w:rsidP="009115B6">
      <w:pPr>
        <w:spacing w:before="100" w:beforeAutospacing="1" w:after="100" w:afterAutospacing="1" w:line="240" w:lineRule="auto"/>
        <w:rPr>
          <w:rFonts w:ascii="Verdana" w:hAnsi="Verdana" w:cs="Segoe UI"/>
          <w:b/>
          <w:bCs/>
          <w:color w:val="0F4761"/>
          <w:sz w:val="24"/>
          <w:szCs w:val="24"/>
        </w:rPr>
      </w:pPr>
      <w:r w:rsidRPr="00FD76FD">
        <w:rPr>
          <w:rFonts w:ascii="Verdana" w:hAnsi="Verdana" w:cs="Segoe UI"/>
          <w:b/>
          <w:bCs/>
          <w:color w:val="0F4761"/>
          <w:sz w:val="24"/>
          <w:szCs w:val="24"/>
        </w:rPr>
        <w:t>Restorative Dentistry</w:t>
      </w:r>
    </w:p>
    <w:p w14:paraId="5E567228" w14:textId="35AF27EF" w:rsidR="00C157CE" w:rsidRPr="00DB5258" w:rsidRDefault="009115B6" w:rsidP="00C157CE">
      <w:pPr>
        <w:rPr>
          <w:rFonts w:ascii="Verdana" w:hAnsi="Verdana"/>
          <w:color w:val="153D63" w:themeColor="text2" w:themeTint="E6"/>
        </w:rPr>
      </w:pPr>
      <w:r w:rsidRPr="00DB5258">
        <w:rPr>
          <w:rFonts w:ascii="Verdana" w:hAnsi="Verdana" w:cs="Segoe UI"/>
          <w:color w:val="0F4761"/>
        </w:rPr>
        <w:t xml:space="preserve">Dental Oncology Timeline Audit.  </w:t>
      </w:r>
      <w:r w:rsidRPr="00DB5258">
        <w:rPr>
          <w:rFonts w:ascii="Verdana" w:hAnsi="Verdana" w:cs="Segoe UI"/>
        </w:rPr>
        <w:t>The audit identified pathway delays that increased the risk of osteoradionecrosis due to bottlenecks and inconsistent processes. Improvements in recall times were achieved following intervention, though ongoing monitoring and re</w:t>
      </w:r>
      <w:r w:rsidRPr="00DB5258">
        <w:rPr>
          <w:rFonts w:ascii="Verdana" w:hAnsi="Verdana" w:cs="Segoe UI"/>
        </w:rPr>
        <w:noBreakHyphen/>
        <w:t xml:space="preserve">audit were required to meet national standards. </w:t>
      </w:r>
      <w:r w:rsidRPr="00DB5258">
        <w:rPr>
          <w:rStyle w:val="Emphasis"/>
          <w:rFonts w:ascii="Verdana" w:eastAsiaTheme="majorEastAsia" w:hAnsi="Verdana" w:cs="Segoe UI"/>
        </w:rPr>
        <w:t>(Risk score: 12)</w:t>
      </w:r>
      <w:r w:rsidR="00C157CE" w:rsidRPr="00DB5258">
        <w:rPr>
          <w:rStyle w:val="Emphasis"/>
          <w:rFonts w:ascii="Verdana" w:eastAsiaTheme="majorEastAsia" w:hAnsi="Verdana" w:cs="Segoe UI"/>
        </w:rPr>
        <w:t xml:space="preserve">                                                </w:t>
      </w:r>
      <w:r w:rsidR="00DB5258">
        <w:rPr>
          <w:rStyle w:val="Emphasis"/>
          <w:rFonts w:ascii="Verdana" w:eastAsiaTheme="majorEastAsia" w:hAnsi="Verdana" w:cs="Segoe UI"/>
        </w:rPr>
        <w:t xml:space="preserve">                                               </w:t>
      </w:r>
      <w:r w:rsidR="00C157CE" w:rsidRPr="00DB5258">
        <w:rPr>
          <w:rFonts w:ascii="Verdana" w:hAnsi="Verdana"/>
          <w:b/>
          <w:bCs/>
          <w:color w:val="153D63" w:themeColor="text2" w:themeTint="E6"/>
        </w:rPr>
        <w:t>Impact Level: Strong</w:t>
      </w:r>
      <w:r w:rsidR="00C157CE" w:rsidRPr="00DB5258">
        <w:rPr>
          <w:rFonts w:ascii="Verdana" w:hAnsi="Verdana"/>
          <w:color w:val="153D63" w:themeColor="text2" w:themeTint="E6"/>
        </w:rPr>
        <w:br/>
      </w:r>
      <w:r w:rsidR="00C157CE" w:rsidRPr="00DB5258">
        <w:rPr>
          <w:rFonts w:ascii="Verdana" w:hAnsi="Verdana"/>
          <w:b/>
          <w:bCs/>
          <w:color w:val="153D63" w:themeColor="text2" w:themeTint="E6"/>
        </w:rPr>
        <w:t>So What:</w:t>
      </w:r>
      <w:r w:rsidR="00C157CE" w:rsidRPr="00DB5258">
        <w:rPr>
          <w:rFonts w:ascii="Verdana" w:hAnsi="Verdana"/>
          <w:color w:val="153D63" w:themeColor="text2" w:themeTint="E6"/>
        </w:rPr>
        <w:t xml:space="preserve"> Identifies pathway delays impacting patient safety and requiring ongoing system improvement.</w:t>
      </w:r>
    </w:p>
    <w:p w14:paraId="23CDFFA9" w14:textId="7C221507" w:rsidR="00B4291E" w:rsidRPr="00DB5258" w:rsidRDefault="009115B6" w:rsidP="00B4291E">
      <w:pPr>
        <w:rPr>
          <w:rFonts w:ascii="Verdana" w:hAnsi="Verdana"/>
          <w:color w:val="153D63" w:themeColor="text2" w:themeTint="E6"/>
        </w:rPr>
      </w:pPr>
      <w:r w:rsidRPr="00DB5258">
        <w:rPr>
          <w:rFonts w:ascii="Verdana" w:hAnsi="Verdana" w:cs="Segoe UI"/>
          <w:color w:val="0F4761"/>
        </w:rPr>
        <w:t xml:space="preserve">Improving Staff Access to Medical Emergency Equipment (Restorative Dentistry). </w:t>
      </w:r>
      <w:r w:rsidRPr="00DB5258">
        <w:rPr>
          <w:rFonts w:ascii="Verdana" w:hAnsi="Verdana" w:cs="Segoe UI"/>
        </w:rPr>
        <w:t xml:space="preserve"> The audit demonstrated reduced time to access emergency equipment during simulated scenarios. No risks were identified, providing full assurance for this service area. </w:t>
      </w:r>
      <w:r w:rsidRPr="00DB5258">
        <w:rPr>
          <w:rStyle w:val="Emphasis"/>
          <w:rFonts w:ascii="Verdana" w:eastAsiaTheme="majorEastAsia" w:hAnsi="Verdana" w:cs="Segoe UI"/>
        </w:rPr>
        <w:t>(Risk score</w:t>
      </w:r>
      <w:r w:rsidR="00DB5258">
        <w:rPr>
          <w:rStyle w:val="Emphasis"/>
          <w:rFonts w:ascii="Verdana" w:eastAsiaTheme="majorEastAsia" w:hAnsi="Verdana" w:cs="Segoe UI"/>
        </w:rPr>
        <w:t xml:space="preserve"> n</w:t>
      </w:r>
      <w:r w:rsidR="00B4291E" w:rsidRPr="00DB5258">
        <w:rPr>
          <w:rStyle w:val="Emphasis"/>
          <w:rFonts w:ascii="Verdana" w:eastAsiaTheme="majorEastAsia" w:hAnsi="Verdana" w:cs="Segoe UI"/>
        </w:rPr>
        <w:t>ot provided</w:t>
      </w:r>
      <w:r w:rsidRPr="00DB5258">
        <w:rPr>
          <w:rStyle w:val="Emphasis"/>
          <w:rFonts w:ascii="Verdana" w:eastAsiaTheme="majorEastAsia" w:hAnsi="Verdana" w:cs="Segoe UI"/>
        </w:rPr>
        <w:t>)</w:t>
      </w:r>
      <w:r w:rsidR="00B4291E" w:rsidRPr="00DB5258">
        <w:rPr>
          <w:rStyle w:val="Emphasis"/>
          <w:rFonts w:ascii="Verdana" w:eastAsiaTheme="majorEastAsia" w:hAnsi="Verdana" w:cs="Segoe UI"/>
        </w:rPr>
        <w:t xml:space="preserve">                                                              </w:t>
      </w:r>
      <w:r w:rsidR="00B4291E" w:rsidRPr="00DB5258">
        <w:rPr>
          <w:rFonts w:ascii="Verdana" w:hAnsi="Verdana"/>
          <w:b/>
          <w:bCs/>
          <w:color w:val="153D63" w:themeColor="text2" w:themeTint="E6"/>
        </w:rPr>
        <w:t>Impact Level: Assurance</w:t>
      </w:r>
    </w:p>
    <w:p w14:paraId="0922BD8A" w14:textId="77777777" w:rsidR="009115B6" w:rsidRPr="00FD76FD" w:rsidRDefault="009115B6" w:rsidP="009115B6">
      <w:pPr>
        <w:spacing w:before="100" w:beforeAutospacing="1" w:after="100" w:afterAutospacing="1" w:line="240" w:lineRule="auto"/>
        <w:rPr>
          <w:rFonts w:ascii="Verdana" w:hAnsi="Verdana" w:cs="Segoe UI"/>
          <w:b/>
          <w:bCs/>
          <w:color w:val="0F4761"/>
          <w:sz w:val="24"/>
          <w:szCs w:val="24"/>
        </w:rPr>
      </w:pPr>
      <w:r w:rsidRPr="00FD76FD">
        <w:rPr>
          <w:rFonts w:ascii="Verdana" w:hAnsi="Verdana" w:cs="Segoe UI"/>
          <w:b/>
          <w:bCs/>
          <w:color w:val="0F4761"/>
          <w:sz w:val="24"/>
          <w:szCs w:val="24"/>
        </w:rPr>
        <w:t>Sexual Health</w:t>
      </w:r>
    </w:p>
    <w:p w14:paraId="4226DE22" w14:textId="401CB5E8" w:rsidR="000638D4" w:rsidRPr="00DB5258" w:rsidRDefault="009115B6" w:rsidP="000638D4">
      <w:pPr>
        <w:rPr>
          <w:rFonts w:ascii="Verdana" w:hAnsi="Verdana"/>
          <w:color w:val="153D63" w:themeColor="text2" w:themeTint="E6"/>
        </w:rPr>
      </w:pPr>
      <w:r w:rsidRPr="00DB5258">
        <w:rPr>
          <w:rFonts w:ascii="Verdana" w:hAnsi="Verdana" w:cs="Segoe UI"/>
          <w:color w:val="0F4761"/>
        </w:rPr>
        <w:t>Compliance with B</w:t>
      </w:r>
      <w:r w:rsidR="00874D71" w:rsidRPr="00DB5258">
        <w:rPr>
          <w:rFonts w:ascii="Verdana" w:hAnsi="Verdana" w:cs="Segoe UI"/>
          <w:color w:val="0F4761"/>
        </w:rPr>
        <w:t xml:space="preserve">ritish </w:t>
      </w:r>
      <w:r w:rsidRPr="00DB5258">
        <w:rPr>
          <w:rFonts w:ascii="Verdana" w:hAnsi="Verdana" w:cs="Segoe UI"/>
          <w:color w:val="0F4761"/>
        </w:rPr>
        <w:t>A</w:t>
      </w:r>
      <w:r w:rsidR="00874D71" w:rsidRPr="00DB5258">
        <w:rPr>
          <w:rFonts w:ascii="Verdana" w:hAnsi="Verdana" w:cs="Segoe UI"/>
          <w:color w:val="0F4761"/>
        </w:rPr>
        <w:t xml:space="preserve">ssociation for </w:t>
      </w:r>
      <w:r w:rsidRPr="00DB5258">
        <w:rPr>
          <w:rFonts w:ascii="Verdana" w:hAnsi="Verdana" w:cs="Segoe UI"/>
          <w:color w:val="0F4761"/>
        </w:rPr>
        <w:t>S</w:t>
      </w:r>
      <w:r w:rsidR="00874D71" w:rsidRPr="00DB5258">
        <w:rPr>
          <w:rFonts w:ascii="Verdana" w:hAnsi="Verdana" w:cs="Segoe UI"/>
          <w:color w:val="0F4761"/>
        </w:rPr>
        <w:t xml:space="preserve">exual </w:t>
      </w:r>
      <w:r w:rsidRPr="00DB5258">
        <w:rPr>
          <w:rFonts w:ascii="Verdana" w:hAnsi="Verdana" w:cs="Segoe UI"/>
          <w:color w:val="0F4761"/>
        </w:rPr>
        <w:t>H</w:t>
      </w:r>
      <w:r w:rsidR="00874D71" w:rsidRPr="00DB5258">
        <w:rPr>
          <w:rFonts w:ascii="Verdana" w:hAnsi="Verdana" w:cs="Segoe UI"/>
          <w:color w:val="0F4761"/>
        </w:rPr>
        <w:t xml:space="preserve">ealth and </w:t>
      </w:r>
      <w:r w:rsidRPr="00DB5258">
        <w:rPr>
          <w:rFonts w:ascii="Verdana" w:hAnsi="Verdana" w:cs="Segoe UI"/>
          <w:color w:val="0F4761"/>
        </w:rPr>
        <w:t>H</w:t>
      </w:r>
      <w:r w:rsidR="00874D71" w:rsidRPr="00DB5258">
        <w:rPr>
          <w:rFonts w:ascii="Verdana" w:hAnsi="Verdana" w:cs="Segoe UI"/>
          <w:color w:val="0F4761"/>
        </w:rPr>
        <w:t>uman Immunodeficiency Virus (HIV)</w:t>
      </w:r>
      <w:r w:rsidRPr="00DB5258">
        <w:rPr>
          <w:rFonts w:ascii="Verdana" w:hAnsi="Verdana" w:cs="Segoe UI"/>
          <w:color w:val="0F4761"/>
        </w:rPr>
        <w:t xml:space="preserve"> Standards for S</w:t>
      </w:r>
      <w:r w:rsidR="00874D71" w:rsidRPr="00DB5258">
        <w:rPr>
          <w:rFonts w:ascii="Verdana" w:hAnsi="Verdana" w:cs="Segoe UI"/>
          <w:color w:val="0F4761"/>
        </w:rPr>
        <w:t xml:space="preserve">exually </w:t>
      </w:r>
      <w:r w:rsidRPr="00DB5258">
        <w:rPr>
          <w:rFonts w:ascii="Verdana" w:hAnsi="Verdana" w:cs="Segoe UI"/>
          <w:color w:val="0F4761"/>
        </w:rPr>
        <w:t>T</w:t>
      </w:r>
      <w:r w:rsidR="00874D71" w:rsidRPr="00DB5258">
        <w:rPr>
          <w:rFonts w:ascii="Verdana" w:hAnsi="Verdana" w:cs="Segoe UI"/>
          <w:color w:val="0F4761"/>
        </w:rPr>
        <w:t xml:space="preserve">ransmitted </w:t>
      </w:r>
      <w:r w:rsidRPr="00DB5258">
        <w:rPr>
          <w:rFonts w:ascii="Verdana" w:hAnsi="Verdana" w:cs="Segoe UI"/>
          <w:color w:val="0F4761"/>
        </w:rPr>
        <w:t>I</w:t>
      </w:r>
      <w:r w:rsidR="00874D71" w:rsidRPr="00DB5258">
        <w:rPr>
          <w:rFonts w:ascii="Verdana" w:hAnsi="Verdana" w:cs="Segoe UI"/>
          <w:color w:val="0F4761"/>
        </w:rPr>
        <w:t>nfections</w:t>
      </w:r>
      <w:r w:rsidRPr="00DB5258">
        <w:rPr>
          <w:rFonts w:ascii="Verdana" w:hAnsi="Verdana" w:cs="Segoe UI"/>
          <w:color w:val="0F4761"/>
        </w:rPr>
        <w:t xml:space="preserve"> Management.  </w:t>
      </w:r>
      <w:r w:rsidRPr="00DB5258">
        <w:rPr>
          <w:rFonts w:ascii="Verdana" w:hAnsi="Verdana" w:cs="Segoe UI"/>
        </w:rPr>
        <w:t xml:space="preserve">High compliance with result turnaround times, treatment, and referral to health advisors. Minor documentation gaps were identified but overall residual risk was low. </w:t>
      </w:r>
      <w:r w:rsidRPr="00DB5258">
        <w:rPr>
          <w:rStyle w:val="Emphasis"/>
          <w:rFonts w:ascii="Verdana" w:eastAsiaTheme="majorEastAsia" w:hAnsi="Verdana" w:cs="Segoe UI"/>
        </w:rPr>
        <w:t>(Risk score: 2)</w:t>
      </w:r>
      <w:r w:rsidR="000638D4" w:rsidRPr="00DB5258">
        <w:rPr>
          <w:rStyle w:val="Emphasis"/>
          <w:rFonts w:ascii="Verdana" w:eastAsiaTheme="majorEastAsia" w:hAnsi="Verdana" w:cs="Segoe UI"/>
        </w:rPr>
        <w:t xml:space="preserve">                          </w:t>
      </w:r>
      <w:r w:rsidR="009440BD">
        <w:rPr>
          <w:rStyle w:val="Emphasis"/>
          <w:rFonts w:ascii="Verdana" w:eastAsiaTheme="majorEastAsia" w:hAnsi="Verdana" w:cs="Segoe UI"/>
        </w:rPr>
        <w:t xml:space="preserve">                                                </w:t>
      </w:r>
      <w:r w:rsidR="000638D4" w:rsidRPr="00DB5258">
        <w:rPr>
          <w:rStyle w:val="Emphasis"/>
          <w:rFonts w:ascii="Verdana" w:eastAsiaTheme="majorEastAsia" w:hAnsi="Verdana" w:cs="Segoe UI"/>
        </w:rPr>
        <w:t xml:space="preserve"> </w:t>
      </w:r>
      <w:r w:rsidR="000638D4" w:rsidRPr="00DB5258">
        <w:rPr>
          <w:rFonts w:ascii="Verdana" w:hAnsi="Verdana"/>
          <w:b/>
          <w:bCs/>
          <w:color w:val="153D63" w:themeColor="text2" w:themeTint="E6"/>
        </w:rPr>
        <w:t>Impact Level: Assurance</w:t>
      </w:r>
    </w:p>
    <w:p w14:paraId="4090A7CD" w14:textId="77777777" w:rsidR="009115B6" w:rsidRPr="00FD76FD" w:rsidRDefault="009115B6" w:rsidP="009115B6">
      <w:pPr>
        <w:spacing w:before="100" w:beforeAutospacing="1" w:after="100" w:afterAutospacing="1" w:line="240" w:lineRule="auto"/>
        <w:rPr>
          <w:rFonts w:ascii="Verdana" w:hAnsi="Verdana" w:cs="Segoe UI"/>
          <w:b/>
          <w:bCs/>
          <w:color w:val="0F4761"/>
          <w:sz w:val="24"/>
          <w:szCs w:val="24"/>
        </w:rPr>
      </w:pPr>
      <w:r w:rsidRPr="00FD76FD">
        <w:rPr>
          <w:rFonts w:ascii="Verdana" w:hAnsi="Verdana" w:cs="Segoe UI"/>
          <w:b/>
          <w:bCs/>
          <w:color w:val="0F4761"/>
          <w:sz w:val="24"/>
          <w:szCs w:val="24"/>
        </w:rPr>
        <w:lastRenderedPageBreak/>
        <w:t>Specialist Palliative Care</w:t>
      </w:r>
    </w:p>
    <w:p w14:paraId="75862551" w14:textId="175AC2C1" w:rsidR="000638D4" w:rsidRPr="009440BD" w:rsidRDefault="009115B6" w:rsidP="000638D4">
      <w:r w:rsidRPr="009440BD">
        <w:rPr>
          <w:rFonts w:ascii="Verdana" w:hAnsi="Verdana" w:cs="Segoe UI"/>
          <w:color w:val="0F4761"/>
        </w:rPr>
        <w:t>Improving Palliative and End</w:t>
      </w:r>
      <w:r w:rsidRPr="009440BD">
        <w:rPr>
          <w:rFonts w:ascii="Verdana" w:hAnsi="Verdana" w:cs="Segoe UI"/>
          <w:color w:val="0F4761"/>
        </w:rPr>
        <w:noBreakHyphen/>
        <w:t>of</w:t>
      </w:r>
      <w:r w:rsidRPr="009440BD">
        <w:rPr>
          <w:rFonts w:ascii="Verdana" w:hAnsi="Verdana" w:cs="Segoe UI"/>
          <w:color w:val="0F4761"/>
        </w:rPr>
        <w:noBreakHyphen/>
        <w:t>Life Physiotherapy</w:t>
      </w:r>
      <w:r w:rsidR="00874D71" w:rsidRPr="009440BD">
        <w:rPr>
          <w:rFonts w:ascii="Verdana" w:hAnsi="Verdana" w:cs="Segoe UI"/>
          <w:color w:val="0F4761"/>
        </w:rPr>
        <w:t xml:space="preserve"> </w:t>
      </w:r>
      <w:r w:rsidRPr="009440BD">
        <w:rPr>
          <w:rFonts w:ascii="Verdana" w:hAnsi="Verdana" w:cs="Segoe UI"/>
          <w:color w:val="0F4761"/>
        </w:rPr>
        <w:t xml:space="preserve">in Bay Cluster.  </w:t>
      </w:r>
      <w:r w:rsidRPr="009440BD">
        <w:rPr>
          <w:rFonts w:ascii="Verdana" w:hAnsi="Verdana" w:cs="Segoe UI"/>
        </w:rPr>
        <w:t xml:space="preserve">The audit demonstrated that temporary funding supported improved patient outcomes and provided positive proof of concept for enhanced physiotherapy input. Increasing demand without recurrent funding remains a risk to service sustainability. </w:t>
      </w:r>
      <w:r w:rsidRPr="009440BD">
        <w:rPr>
          <w:rStyle w:val="Emphasis"/>
          <w:rFonts w:ascii="Verdana" w:eastAsiaTheme="majorEastAsia" w:hAnsi="Verdana" w:cs="Segoe UI"/>
        </w:rPr>
        <w:t>(Risk score: 6)</w:t>
      </w:r>
      <w:r w:rsidR="000638D4" w:rsidRPr="009440BD">
        <w:rPr>
          <w:rStyle w:val="Emphasis"/>
          <w:rFonts w:ascii="Verdana" w:eastAsiaTheme="majorEastAsia" w:hAnsi="Verdana" w:cs="Segoe UI"/>
        </w:rPr>
        <w:t xml:space="preserve">                                                 </w:t>
      </w:r>
      <w:r w:rsidR="009440BD">
        <w:rPr>
          <w:rStyle w:val="Emphasis"/>
          <w:rFonts w:ascii="Verdana" w:eastAsiaTheme="majorEastAsia" w:hAnsi="Verdana" w:cs="Segoe UI"/>
        </w:rPr>
        <w:t xml:space="preserve">                                                                             </w:t>
      </w:r>
      <w:r w:rsidR="000638D4" w:rsidRPr="009440BD">
        <w:rPr>
          <w:rFonts w:ascii="Verdana" w:hAnsi="Verdana"/>
          <w:b/>
          <w:bCs/>
          <w:color w:val="153D63" w:themeColor="text2" w:themeTint="E6"/>
        </w:rPr>
        <w:t>Impact Level: Medium</w:t>
      </w:r>
      <w:r w:rsidR="000638D4" w:rsidRPr="009440BD">
        <w:rPr>
          <w:rFonts w:ascii="Verdana" w:hAnsi="Verdana"/>
          <w:color w:val="153D63" w:themeColor="text2" w:themeTint="E6"/>
        </w:rPr>
        <w:br/>
      </w:r>
      <w:r w:rsidR="000638D4" w:rsidRPr="009440BD">
        <w:rPr>
          <w:rFonts w:ascii="Verdana" w:hAnsi="Verdana"/>
          <w:b/>
          <w:bCs/>
          <w:color w:val="153D63" w:themeColor="text2" w:themeTint="E6"/>
        </w:rPr>
        <w:t>So What:</w:t>
      </w:r>
      <w:r w:rsidR="000638D4" w:rsidRPr="009440BD">
        <w:rPr>
          <w:rFonts w:ascii="Verdana" w:hAnsi="Verdana"/>
          <w:color w:val="153D63" w:themeColor="text2" w:themeTint="E6"/>
        </w:rPr>
        <w:t xml:space="preserve"> Highlights sustainability risk where service improvement is dependent on non-recurrent funding.</w:t>
      </w:r>
    </w:p>
    <w:p w14:paraId="08822CC2" w14:textId="36529022" w:rsidR="009115B6" w:rsidRPr="00FD76FD" w:rsidRDefault="009115B6" w:rsidP="009115B6">
      <w:pPr>
        <w:spacing w:before="100" w:beforeAutospacing="1" w:after="100" w:afterAutospacing="1" w:line="240" w:lineRule="auto"/>
        <w:rPr>
          <w:rStyle w:val="Emphasis"/>
          <w:rFonts w:ascii="Verdana" w:hAnsi="Verdana" w:cs="Segoe UI"/>
          <w:b/>
          <w:bCs/>
          <w:i w:val="0"/>
          <w:iCs w:val="0"/>
          <w:color w:val="0F4761"/>
          <w:sz w:val="24"/>
          <w:szCs w:val="24"/>
        </w:rPr>
      </w:pPr>
    </w:p>
    <w:p w14:paraId="3543BC3A" w14:textId="474156DA" w:rsidR="00252277" w:rsidRDefault="00252277" w:rsidP="000628F5">
      <w:pPr>
        <w:tabs>
          <w:tab w:val="left" w:pos="567"/>
          <w:tab w:val="left" w:pos="709"/>
          <w:tab w:val="left" w:pos="851"/>
        </w:tabs>
        <w:rPr>
          <w:rFonts w:ascii="Verdana" w:hAnsi="Verdana" w:cs="Arial"/>
          <w:b/>
          <w:bCs/>
          <w:sz w:val="24"/>
          <w:szCs w:val="24"/>
        </w:rPr>
      </w:pPr>
    </w:p>
    <w:p w14:paraId="30ADB15A" w14:textId="1279A077" w:rsidR="009115B6" w:rsidRDefault="009115B6" w:rsidP="000628F5">
      <w:pPr>
        <w:tabs>
          <w:tab w:val="left" w:pos="567"/>
          <w:tab w:val="left" w:pos="709"/>
          <w:tab w:val="left" w:pos="851"/>
        </w:tabs>
        <w:rPr>
          <w:rFonts w:ascii="Verdana" w:hAnsi="Verdana" w:cs="Arial"/>
          <w:b/>
          <w:bCs/>
          <w:sz w:val="24"/>
          <w:szCs w:val="24"/>
        </w:rPr>
      </w:pPr>
    </w:p>
    <w:p w14:paraId="5F0DB5BE" w14:textId="2C0222ED" w:rsidR="009115B6" w:rsidRDefault="009115B6" w:rsidP="000628F5">
      <w:pPr>
        <w:tabs>
          <w:tab w:val="left" w:pos="567"/>
          <w:tab w:val="left" w:pos="709"/>
          <w:tab w:val="left" w:pos="851"/>
        </w:tabs>
        <w:rPr>
          <w:rFonts w:ascii="Verdana" w:hAnsi="Verdana" w:cs="Arial"/>
          <w:b/>
          <w:bCs/>
          <w:sz w:val="24"/>
          <w:szCs w:val="24"/>
        </w:rPr>
      </w:pPr>
    </w:p>
    <w:p w14:paraId="69029CF6" w14:textId="244C726B" w:rsidR="009115B6" w:rsidRDefault="009115B6" w:rsidP="000628F5">
      <w:pPr>
        <w:tabs>
          <w:tab w:val="left" w:pos="567"/>
          <w:tab w:val="left" w:pos="709"/>
          <w:tab w:val="left" w:pos="851"/>
        </w:tabs>
        <w:rPr>
          <w:rFonts w:ascii="Verdana" w:hAnsi="Verdana" w:cs="Arial"/>
          <w:b/>
          <w:bCs/>
          <w:sz w:val="24"/>
          <w:szCs w:val="24"/>
        </w:rPr>
      </w:pPr>
    </w:p>
    <w:p w14:paraId="23CE3FAD" w14:textId="3A6D8A4B" w:rsidR="009115B6" w:rsidRDefault="009115B6" w:rsidP="000628F5">
      <w:pPr>
        <w:tabs>
          <w:tab w:val="left" w:pos="567"/>
          <w:tab w:val="left" w:pos="709"/>
          <w:tab w:val="left" w:pos="851"/>
        </w:tabs>
        <w:rPr>
          <w:rFonts w:ascii="Verdana" w:hAnsi="Verdana" w:cs="Arial"/>
          <w:b/>
          <w:bCs/>
          <w:sz w:val="24"/>
          <w:szCs w:val="24"/>
        </w:rPr>
      </w:pPr>
    </w:p>
    <w:p w14:paraId="175F2CCD" w14:textId="394667E0" w:rsidR="009115B6" w:rsidRDefault="009115B6" w:rsidP="000628F5">
      <w:pPr>
        <w:tabs>
          <w:tab w:val="left" w:pos="567"/>
          <w:tab w:val="left" w:pos="709"/>
          <w:tab w:val="left" w:pos="851"/>
        </w:tabs>
        <w:rPr>
          <w:rFonts w:ascii="Verdana" w:hAnsi="Verdana" w:cs="Arial"/>
          <w:b/>
          <w:bCs/>
          <w:sz w:val="24"/>
          <w:szCs w:val="24"/>
        </w:rPr>
      </w:pPr>
    </w:p>
    <w:p w14:paraId="5D0BC714" w14:textId="5035D057" w:rsidR="009115B6" w:rsidRDefault="009115B6" w:rsidP="000628F5">
      <w:pPr>
        <w:tabs>
          <w:tab w:val="left" w:pos="567"/>
          <w:tab w:val="left" w:pos="709"/>
          <w:tab w:val="left" w:pos="851"/>
        </w:tabs>
        <w:rPr>
          <w:rFonts w:ascii="Verdana" w:hAnsi="Verdana" w:cs="Arial"/>
          <w:b/>
          <w:bCs/>
          <w:sz w:val="24"/>
          <w:szCs w:val="24"/>
        </w:rPr>
      </w:pPr>
    </w:p>
    <w:p w14:paraId="3B867A1D" w14:textId="31078294" w:rsidR="000638D4" w:rsidRDefault="000638D4" w:rsidP="000628F5">
      <w:pPr>
        <w:tabs>
          <w:tab w:val="left" w:pos="567"/>
          <w:tab w:val="left" w:pos="709"/>
          <w:tab w:val="left" w:pos="851"/>
        </w:tabs>
        <w:rPr>
          <w:rFonts w:ascii="Verdana" w:hAnsi="Verdana" w:cs="Arial"/>
          <w:b/>
          <w:bCs/>
          <w:sz w:val="24"/>
          <w:szCs w:val="24"/>
        </w:rPr>
      </w:pPr>
    </w:p>
    <w:p w14:paraId="08292BA8" w14:textId="2E7C6EE0" w:rsidR="000638D4" w:rsidRDefault="000638D4" w:rsidP="000628F5">
      <w:pPr>
        <w:tabs>
          <w:tab w:val="left" w:pos="567"/>
          <w:tab w:val="left" w:pos="709"/>
          <w:tab w:val="left" w:pos="851"/>
        </w:tabs>
        <w:rPr>
          <w:rFonts w:ascii="Verdana" w:hAnsi="Verdana" w:cs="Arial"/>
          <w:b/>
          <w:bCs/>
          <w:sz w:val="24"/>
          <w:szCs w:val="24"/>
        </w:rPr>
      </w:pPr>
    </w:p>
    <w:p w14:paraId="76B64C9B" w14:textId="4AA5D037" w:rsidR="000638D4" w:rsidRDefault="000638D4" w:rsidP="000628F5">
      <w:pPr>
        <w:tabs>
          <w:tab w:val="left" w:pos="567"/>
          <w:tab w:val="left" w:pos="709"/>
          <w:tab w:val="left" w:pos="851"/>
        </w:tabs>
        <w:rPr>
          <w:rFonts w:ascii="Verdana" w:hAnsi="Verdana" w:cs="Arial"/>
          <w:b/>
          <w:bCs/>
          <w:sz w:val="24"/>
          <w:szCs w:val="24"/>
        </w:rPr>
      </w:pPr>
    </w:p>
    <w:p w14:paraId="5631BC33" w14:textId="4D0DD1C9" w:rsidR="000638D4" w:rsidRDefault="000638D4" w:rsidP="000628F5">
      <w:pPr>
        <w:tabs>
          <w:tab w:val="left" w:pos="567"/>
          <w:tab w:val="left" w:pos="709"/>
          <w:tab w:val="left" w:pos="851"/>
        </w:tabs>
        <w:rPr>
          <w:rFonts w:ascii="Verdana" w:hAnsi="Verdana" w:cs="Arial"/>
          <w:b/>
          <w:bCs/>
          <w:sz w:val="24"/>
          <w:szCs w:val="24"/>
        </w:rPr>
      </w:pPr>
    </w:p>
    <w:p w14:paraId="2635DD05" w14:textId="7B6CC9DA" w:rsidR="000638D4" w:rsidRDefault="000638D4" w:rsidP="000628F5">
      <w:pPr>
        <w:tabs>
          <w:tab w:val="left" w:pos="567"/>
          <w:tab w:val="left" w:pos="709"/>
          <w:tab w:val="left" w:pos="851"/>
        </w:tabs>
        <w:rPr>
          <w:rFonts w:ascii="Verdana" w:hAnsi="Verdana" w:cs="Arial"/>
          <w:b/>
          <w:bCs/>
          <w:sz w:val="24"/>
          <w:szCs w:val="24"/>
        </w:rPr>
      </w:pPr>
    </w:p>
    <w:p w14:paraId="1788A383" w14:textId="0FEE2E92" w:rsidR="000638D4" w:rsidRDefault="000638D4" w:rsidP="000628F5">
      <w:pPr>
        <w:tabs>
          <w:tab w:val="left" w:pos="567"/>
          <w:tab w:val="left" w:pos="709"/>
          <w:tab w:val="left" w:pos="851"/>
        </w:tabs>
        <w:rPr>
          <w:rFonts w:ascii="Verdana" w:hAnsi="Verdana" w:cs="Arial"/>
          <w:b/>
          <w:bCs/>
          <w:sz w:val="24"/>
          <w:szCs w:val="24"/>
        </w:rPr>
      </w:pPr>
    </w:p>
    <w:p w14:paraId="3F7D6351" w14:textId="4857F0D1" w:rsidR="009440BD" w:rsidRDefault="009440BD" w:rsidP="000628F5">
      <w:pPr>
        <w:tabs>
          <w:tab w:val="left" w:pos="567"/>
          <w:tab w:val="left" w:pos="709"/>
          <w:tab w:val="left" w:pos="851"/>
        </w:tabs>
        <w:rPr>
          <w:rFonts w:ascii="Verdana" w:hAnsi="Verdana" w:cs="Arial"/>
          <w:b/>
          <w:bCs/>
          <w:sz w:val="24"/>
          <w:szCs w:val="24"/>
        </w:rPr>
      </w:pPr>
    </w:p>
    <w:p w14:paraId="70BE6C52" w14:textId="544E834B" w:rsidR="009440BD" w:rsidRDefault="009440BD" w:rsidP="000628F5">
      <w:pPr>
        <w:tabs>
          <w:tab w:val="left" w:pos="567"/>
          <w:tab w:val="left" w:pos="709"/>
          <w:tab w:val="left" w:pos="851"/>
        </w:tabs>
        <w:rPr>
          <w:rFonts w:ascii="Verdana" w:hAnsi="Verdana" w:cs="Arial"/>
          <w:b/>
          <w:bCs/>
          <w:sz w:val="24"/>
          <w:szCs w:val="24"/>
        </w:rPr>
      </w:pPr>
    </w:p>
    <w:p w14:paraId="630FB7AD" w14:textId="6D06431C" w:rsidR="009440BD" w:rsidRDefault="009440BD" w:rsidP="000628F5">
      <w:pPr>
        <w:tabs>
          <w:tab w:val="left" w:pos="567"/>
          <w:tab w:val="left" w:pos="709"/>
          <w:tab w:val="left" w:pos="851"/>
        </w:tabs>
        <w:rPr>
          <w:rFonts w:ascii="Verdana" w:hAnsi="Verdana" w:cs="Arial"/>
          <w:b/>
          <w:bCs/>
          <w:sz w:val="24"/>
          <w:szCs w:val="24"/>
        </w:rPr>
      </w:pPr>
    </w:p>
    <w:p w14:paraId="24496C27" w14:textId="2FC6EC0F" w:rsidR="009440BD" w:rsidRDefault="009440BD" w:rsidP="000628F5">
      <w:pPr>
        <w:tabs>
          <w:tab w:val="left" w:pos="567"/>
          <w:tab w:val="left" w:pos="709"/>
          <w:tab w:val="left" w:pos="851"/>
        </w:tabs>
        <w:rPr>
          <w:rFonts w:ascii="Verdana" w:hAnsi="Verdana" w:cs="Arial"/>
          <w:b/>
          <w:bCs/>
          <w:sz w:val="24"/>
          <w:szCs w:val="24"/>
        </w:rPr>
      </w:pPr>
    </w:p>
    <w:p w14:paraId="7D5AD7C2" w14:textId="2114254A" w:rsidR="009440BD" w:rsidRDefault="009440BD" w:rsidP="000628F5">
      <w:pPr>
        <w:tabs>
          <w:tab w:val="left" w:pos="567"/>
          <w:tab w:val="left" w:pos="709"/>
          <w:tab w:val="left" w:pos="851"/>
        </w:tabs>
        <w:rPr>
          <w:rFonts w:ascii="Verdana" w:hAnsi="Verdana" w:cs="Arial"/>
          <w:b/>
          <w:bCs/>
          <w:sz w:val="24"/>
          <w:szCs w:val="24"/>
        </w:rPr>
      </w:pPr>
    </w:p>
    <w:p w14:paraId="1CE74C72" w14:textId="706C6C9B" w:rsidR="009440BD" w:rsidRDefault="009440BD" w:rsidP="000628F5">
      <w:pPr>
        <w:tabs>
          <w:tab w:val="left" w:pos="567"/>
          <w:tab w:val="left" w:pos="709"/>
          <w:tab w:val="left" w:pos="851"/>
        </w:tabs>
        <w:rPr>
          <w:rFonts w:ascii="Verdana" w:hAnsi="Verdana" w:cs="Arial"/>
          <w:b/>
          <w:bCs/>
          <w:sz w:val="24"/>
          <w:szCs w:val="24"/>
        </w:rPr>
      </w:pPr>
    </w:p>
    <w:p w14:paraId="0A8F632F" w14:textId="77777777" w:rsidR="009440BD" w:rsidRDefault="009440BD" w:rsidP="000628F5">
      <w:pPr>
        <w:tabs>
          <w:tab w:val="left" w:pos="567"/>
          <w:tab w:val="left" w:pos="709"/>
          <w:tab w:val="left" w:pos="851"/>
        </w:tabs>
        <w:rPr>
          <w:rFonts w:ascii="Verdana" w:hAnsi="Verdana" w:cs="Arial"/>
          <w:b/>
          <w:bCs/>
          <w:sz w:val="24"/>
          <w:szCs w:val="24"/>
        </w:rPr>
      </w:pPr>
    </w:p>
    <w:p w14:paraId="3D3015A3" w14:textId="78BAE4C1" w:rsidR="000638D4" w:rsidRDefault="000638D4" w:rsidP="000628F5">
      <w:pPr>
        <w:tabs>
          <w:tab w:val="left" w:pos="567"/>
          <w:tab w:val="left" w:pos="709"/>
          <w:tab w:val="left" w:pos="851"/>
        </w:tabs>
        <w:rPr>
          <w:rFonts w:ascii="Verdana" w:hAnsi="Verdana" w:cs="Arial"/>
          <w:b/>
          <w:bCs/>
          <w:sz w:val="24"/>
          <w:szCs w:val="24"/>
        </w:rPr>
      </w:pPr>
    </w:p>
    <w:p w14:paraId="2631845E" w14:textId="71DA4D2C" w:rsidR="009115B6" w:rsidRDefault="009115B6" w:rsidP="009115B6">
      <w:pPr>
        <w:tabs>
          <w:tab w:val="left" w:pos="567"/>
          <w:tab w:val="left" w:pos="709"/>
          <w:tab w:val="left" w:pos="851"/>
        </w:tabs>
        <w:rPr>
          <w:rFonts w:ascii="Verdana" w:hAnsi="Verdana" w:cs="Arial"/>
          <w:b/>
          <w:bCs/>
          <w:sz w:val="24"/>
          <w:szCs w:val="24"/>
        </w:rPr>
      </w:pPr>
      <w:r w:rsidRPr="00252277">
        <w:rPr>
          <w:rFonts w:ascii="Verdana" w:hAnsi="Verdana" w:cs="Arial"/>
          <w:b/>
          <w:bCs/>
          <w:sz w:val="24"/>
          <w:szCs w:val="24"/>
        </w:rPr>
        <w:lastRenderedPageBreak/>
        <w:t xml:space="preserve">Appendix </w:t>
      </w:r>
      <w:r>
        <w:rPr>
          <w:rFonts w:ascii="Verdana" w:hAnsi="Verdana" w:cs="Arial"/>
          <w:b/>
          <w:bCs/>
          <w:sz w:val="24"/>
          <w:szCs w:val="24"/>
        </w:rPr>
        <w:t>4</w:t>
      </w:r>
      <w:r w:rsidRPr="00252277">
        <w:rPr>
          <w:rFonts w:ascii="Verdana" w:hAnsi="Verdana" w:cs="Arial"/>
          <w:b/>
          <w:bCs/>
          <w:sz w:val="24"/>
          <w:szCs w:val="24"/>
        </w:rPr>
        <w:t xml:space="preserve">.  </w:t>
      </w:r>
      <w:r>
        <w:rPr>
          <w:rFonts w:ascii="Verdana" w:hAnsi="Verdana" w:cs="Arial"/>
          <w:b/>
          <w:bCs/>
          <w:sz w:val="24"/>
          <w:szCs w:val="24"/>
        </w:rPr>
        <w:t>Singleton, Neath Port Talbot Service Group</w:t>
      </w:r>
      <w:r w:rsidRPr="00252277">
        <w:rPr>
          <w:rFonts w:ascii="Verdana" w:hAnsi="Verdana" w:cs="Arial"/>
          <w:b/>
          <w:bCs/>
          <w:sz w:val="24"/>
          <w:szCs w:val="24"/>
        </w:rPr>
        <w:t xml:space="preserve"> Completed Audits</w:t>
      </w:r>
    </w:p>
    <w:p w14:paraId="5B4F7833" w14:textId="77777777" w:rsidR="00E72735" w:rsidRPr="00DB5258" w:rsidRDefault="00E72735" w:rsidP="00E72735">
      <w:pPr>
        <w:rPr>
          <w:rFonts w:ascii="Verdana" w:hAnsi="Verdana"/>
          <w:b/>
          <w:bCs/>
        </w:rPr>
      </w:pPr>
      <w:r w:rsidRPr="00DB5258">
        <w:rPr>
          <w:rFonts w:ascii="Verdana" w:hAnsi="Verdana"/>
          <w:b/>
          <w:bCs/>
        </w:rPr>
        <w:t>Key;</w:t>
      </w:r>
    </w:p>
    <w:p w14:paraId="12C33637" w14:textId="77777777" w:rsidR="00E72735" w:rsidRPr="00DB5258" w:rsidRDefault="00E72735" w:rsidP="00E72735">
      <w:pPr>
        <w:spacing w:line="240" w:lineRule="auto"/>
        <w:rPr>
          <w:rFonts w:ascii="Verdana" w:hAnsi="Verdana"/>
          <w:b/>
          <w:bCs/>
        </w:rPr>
      </w:pPr>
      <w:r w:rsidRPr="00DB5258">
        <w:rPr>
          <w:rFonts w:ascii="Verdana" w:hAnsi="Verdana"/>
          <w:b/>
          <w:bCs/>
        </w:rPr>
        <w:t>Impact Level</w:t>
      </w:r>
    </w:p>
    <w:p w14:paraId="66038EDB" w14:textId="77777777" w:rsidR="00E72735" w:rsidRPr="00DB5258" w:rsidRDefault="00E72735" w:rsidP="00E72735">
      <w:pPr>
        <w:numPr>
          <w:ilvl w:val="0"/>
          <w:numId w:val="28"/>
        </w:numPr>
        <w:spacing w:line="240" w:lineRule="auto"/>
        <w:rPr>
          <w:rFonts w:ascii="Verdana" w:hAnsi="Verdana"/>
        </w:rPr>
      </w:pPr>
      <w:r w:rsidRPr="00DB5258">
        <w:rPr>
          <w:rFonts w:ascii="Verdana" w:hAnsi="Verdana"/>
          <w:b/>
          <w:bCs/>
        </w:rPr>
        <w:t>Assurance</w:t>
      </w:r>
      <w:r w:rsidRPr="00DB5258">
        <w:rPr>
          <w:rFonts w:ascii="Verdana" w:hAnsi="Verdana"/>
        </w:rPr>
        <w:t xml:space="preserve"> – Confirms practice meets expected standards; no significant concerns identified</w:t>
      </w:r>
    </w:p>
    <w:p w14:paraId="318C4E36" w14:textId="77777777" w:rsidR="00E72735" w:rsidRPr="00DB5258" w:rsidRDefault="00E72735" w:rsidP="00E72735">
      <w:pPr>
        <w:numPr>
          <w:ilvl w:val="0"/>
          <w:numId w:val="28"/>
        </w:numPr>
        <w:spacing w:line="240" w:lineRule="auto"/>
        <w:rPr>
          <w:rFonts w:ascii="Verdana" w:hAnsi="Verdana"/>
        </w:rPr>
      </w:pPr>
      <w:r w:rsidRPr="00DB5258">
        <w:rPr>
          <w:rFonts w:ascii="Verdana" w:hAnsi="Verdana"/>
          <w:b/>
          <w:bCs/>
        </w:rPr>
        <w:t>Medium</w:t>
      </w:r>
      <w:r w:rsidRPr="00DB5258">
        <w:rPr>
          <w:rFonts w:ascii="Verdana" w:hAnsi="Verdana"/>
        </w:rPr>
        <w:t xml:space="preserve"> – Issues or variation identified requiring improvement, further review, or strengthening of consistency</w:t>
      </w:r>
    </w:p>
    <w:p w14:paraId="6EA1419C" w14:textId="77777777" w:rsidR="00E72735" w:rsidRPr="00DB5258" w:rsidRDefault="00E72735" w:rsidP="00E72735">
      <w:pPr>
        <w:numPr>
          <w:ilvl w:val="0"/>
          <w:numId w:val="28"/>
        </w:numPr>
        <w:spacing w:line="240" w:lineRule="auto"/>
        <w:rPr>
          <w:rFonts w:ascii="Verdana" w:hAnsi="Verdana"/>
        </w:rPr>
      </w:pPr>
      <w:r w:rsidRPr="00DB5258">
        <w:rPr>
          <w:rFonts w:ascii="Verdana" w:hAnsi="Verdana"/>
          <w:b/>
          <w:bCs/>
        </w:rPr>
        <w:t>Strong</w:t>
      </w:r>
      <w:r w:rsidRPr="00DB5258">
        <w:rPr>
          <w:rFonts w:ascii="Verdana" w:hAnsi="Verdana"/>
        </w:rPr>
        <w:t xml:space="preserve"> – Significant findings with clear implications for patient safety, system performance, access, or quality</w:t>
      </w:r>
    </w:p>
    <w:p w14:paraId="3B5EEF44" w14:textId="77777777" w:rsidR="00E72735" w:rsidRPr="00DB5258" w:rsidRDefault="00E72735" w:rsidP="00E72735">
      <w:pPr>
        <w:spacing w:line="240" w:lineRule="auto"/>
        <w:rPr>
          <w:rFonts w:ascii="Verdana" w:hAnsi="Verdana"/>
          <w:b/>
          <w:bCs/>
        </w:rPr>
      </w:pPr>
      <w:r w:rsidRPr="00DB5258">
        <w:rPr>
          <w:rFonts w:ascii="Verdana" w:hAnsi="Verdana"/>
          <w:b/>
          <w:bCs/>
        </w:rPr>
        <w:t>The “So What?”</w:t>
      </w:r>
    </w:p>
    <w:p w14:paraId="440DC544" w14:textId="77777777" w:rsidR="00E72735" w:rsidRPr="00DB5258" w:rsidRDefault="00E72735" w:rsidP="00E72735">
      <w:pPr>
        <w:numPr>
          <w:ilvl w:val="0"/>
          <w:numId w:val="29"/>
        </w:numPr>
        <w:spacing w:line="240" w:lineRule="auto"/>
        <w:rPr>
          <w:rFonts w:ascii="Verdana" w:hAnsi="Verdana"/>
        </w:rPr>
      </w:pPr>
      <w:r w:rsidRPr="00DB5258">
        <w:rPr>
          <w:rFonts w:ascii="Verdana" w:hAnsi="Verdana"/>
        </w:rPr>
        <w:t>Included only where findings clearly support a meaningful conclusion</w:t>
      </w:r>
    </w:p>
    <w:p w14:paraId="5F559911" w14:textId="77777777" w:rsidR="00E72735" w:rsidRPr="00DB5258" w:rsidRDefault="00E72735" w:rsidP="00E72735">
      <w:pPr>
        <w:numPr>
          <w:ilvl w:val="0"/>
          <w:numId w:val="29"/>
        </w:numPr>
        <w:spacing w:line="240" w:lineRule="auto"/>
        <w:rPr>
          <w:rFonts w:ascii="Verdana" w:hAnsi="Verdana"/>
        </w:rPr>
      </w:pPr>
      <w:r w:rsidRPr="00DB5258">
        <w:rPr>
          <w:rFonts w:ascii="Verdana" w:hAnsi="Verdana"/>
        </w:rPr>
        <w:t>Highlights why the audit matters in practice (risk, improvement, system impact, or benefit)</w:t>
      </w:r>
    </w:p>
    <w:p w14:paraId="5010B0EE" w14:textId="77777777" w:rsidR="009115B6" w:rsidRPr="00E72735" w:rsidRDefault="009115B6" w:rsidP="009115B6">
      <w:pPr>
        <w:spacing w:before="100" w:beforeAutospacing="1" w:after="100" w:afterAutospacing="1" w:line="240" w:lineRule="auto"/>
        <w:rPr>
          <w:rFonts w:ascii="Verdana" w:hAnsi="Verdana" w:cs="Segoe UI"/>
          <w:b/>
          <w:bCs/>
          <w:color w:val="0F4761"/>
        </w:rPr>
      </w:pPr>
      <w:r w:rsidRPr="00E72735">
        <w:rPr>
          <w:rFonts w:ascii="Verdana" w:hAnsi="Verdana" w:cs="Segoe UI"/>
          <w:b/>
          <w:bCs/>
          <w:color w:val="0F4761"/>
        </w:rPr>
        <w:t>Anaesthetics</w:t>
      </w:r>
    </w:p>
    <w:p w14:paraId="2E587EE1" w14:textId="57E83D4F" w:rsidR="001311CD" w:rsidRPr="00E72735" w:rsidRDefault="009115B6" w:rsidP="001311CD">
      <w:pPr>
        <w:rPr>
          <w:rFonts w:ascii="Verdana" w:hAnsi="Verdana"/>
          <w:color w:val="153D63" w:themeColor="text2" w:themeTint="E6"/>
        </w:rPr>
      </w:pPr>
      <w:r w:rsidRPr="00E72735">
        <w:rPr>
          <w:rStyle w:val="Strong"/>
          <w:rFonts w:ascii="Verdana" w:hAnsi="Verdana" w:cs="Segoe UI"/>
          <w:b w:val="0"/>
          <w:bCs w:val="0"/>
          <w:color w:val="0F4761"/>
        </w:rPr>
        <w:t xml:space="preserve">Oral Paracetamol Premedication for Elective Paediatric Surgery Patients.  </w:t>
      </w:r>
      <w:r w:rsidRPr="00E72735">
        <w:rPr>
          <w:rFonts w:ascii="Verdana" w:hAnsi="Verdana" w:cs="Segoe UI"/>
        </w:rPr>
        <w:t xml:space="preserve">The audit demonstrated that </w:t>
      </w:r>
      <w:r w:rsidRPr="00E72735">
        <w:rPr>
          <w:rStyle w:val="Strong"/>
          <w:rFonts w:ascii="Verdana" w:eastAsiaTheme="majorEastAsia" w:hAnsi="Verdana" w:cs="Segoe UI"/>
          <w:b w:val="0"/>
          <w:bCs w:val="0"/>
        </w:rPr>
        <w:t>75% of patients</w:t>
      </w:r>
      <w:r w:rsidRPr="00E72735">
        <w:rPr>
          <w:rFonts w:ascii="Verdana" w:hAnsi="Verdana" w:cs="Segoe UI"/>
        </w:rPr>
        <w:t xml:space="preserve"> received oral paracetamol premedication prior to elective paediatric surgery. No concerns were identified, and overall assurance was good pending formal sign</w:t>
      </w:r>
      <w:r w:rsidRPr="00E72735">
        <w:rPr>
          <w:rFonts w:ascii="Verdana" w:hAnsi="Verdana" w:cs="Segoe UI"/>
        </w:rPr>
        <w:noBreakHyphen/>
        <w:t xml:space="preserve">off. </w:t>
      </w:r>
      <w:r w:rsidRPr="00E72735">
        <w:rPr>
          <w:rStyle w:val="Emphasis"/>
          <w:rFonts w:ascii="Verdana" w:eastAsiaTheme="majorEastAsia" w:hAnsi="Verdana" w:cs="Segoe UI"/>
        </w:rPr>
        <w:t>(Risk score: 4)</w:t>
      </w:r>
      <w:r w:rsidR="001311CD" w:rsidRPr="00E72735">
        <w:rPr>
          <w:rStyle w:val="Emphasis"/>
          <w:rFonts w:ascii="Verdana" w:eastAsiaTheme="majorEastAsia" w:hAnsi="Verdana" w:cs="Segoe UI"/>
        </w:rPr>
        <w:t xml:space="preserve">                                                                   </w:t>
      </w:r>
      <w:r w:rsidR="001311CD" w:rsidRPr="00E72735">
        <w:rPr>
          <w:rFonts w:ascii="Verdana" w:hAnsi="Verdana"/>
          <w:b/>
          <w:bCs/>
          <w:color w:val="153D63" w:themeColor="text2" w:themeTint="E6"/>
        </w:rPr>
        <w:t>Impact Level: Assurance</w:t>
      </w:r>
    </w:p>
    <w:p w14:paraId="31235F93" w14:textId="660985DA" w:rsidR="009115B6" w:rsidRPr="00E72735" w:rsidRDefault="009115B6" w:rsidP="009115B6">
      <w:pPr>
        <w:spacing w:before="100" w:beforeAutospacing="1" w:after="100" w:afterAutospacing="1" w:line="240" w:lineRule="auto"/>
        <w:rPr>
          <w:rStyle w:val="Emphasis"/>
          <w:rFonts w:ascii="Verdana" w:eastAsiaTheme="majorEastAsia" w:hAnsi="Verdana" w:cs="Segoe UI"/>
        </w:rPr>
      </w:pPr>
      <w:r w:rsidRPr="00E72735">
        <w:rPr>
          <w:rStyle w:val="Strong"/>
          <w:rFonts w:ascii="Verdana" w:hAnsi="Verdana" w:cs="Segoe UI"/>
          <w:b w:val="0"/>
          <w:bCs w:val="0"/>
          <w:color w:val="0F4761"/>
        </w:rPr>
        <w:t>Evaluation of W</w:t>
      </w:r>
      <w:r w:rsidR="00874D71" w:rsidRPr="00E72735">
        <w:rPr>
          <w:rStyle w:val="Strong"/>
          <w:rFonts w:ascii="Verdana" w:hAnsi="Verdana" w:cs="Segoe UI"/>
          <w:b w:val="0"/>
          <w:bCs w:val="0"/>
          <w:color w:val="0F4761"/>
        </w:rPr>
        <w:t xml:space="preserve">orld </w:t>
      </w:r>
      <w:r w:rsidRPr="00E72735">
        <w:rPr>
          <w:rStyle w:val="Strong"/>
          <w:rFonts w:ascii="Verdana" w:hAnsi="Verdana" w:cs="Segoe UI"/>
          <w:b w:val="0"/>
          <w:bCs w:val="0"/>
          <w:color w:val="0F4761"/>
        </w:rPr>
        <w:t>H</w:t>
      </w:r>
      <w:r w:rsidR="00874D71" w:rsidRPr="00E72735">
        <w:rPr>
          <w:rStyle w:val="Strong"/>
          <w:rFonts w:ascii="Verdana" w:hAnsi="Verdana" w:cs="Segoe UI"/>
          <w:b w:val="0"/>
          <w:bCs w:val="0"/>
          <w:color w:val="0F4761"/>
        </w:rPr>
        <w:t xml:space="preserve">ealth </w:t>
      </w:r>
      <w:r w:rsidRPr="00E72735">
        <w:rPr>
          <w:rStyle w:val="Strong"/>
          <w:rFonts w:ascii="Verdana" w:hAnsi="Verdana" w:cs="Segoe UI"/>
          <w:b w:val="0"/>
          <w:bCs w:val="0"/>
          <w:color w:val="0F4761"/>
        </w:rPr>
        <w:t>O</w:t>
      </w:r>
      <w:r w:rsidR="00874D71" w:rsidRPr="00E72735">
        <w:rPr>
          <w:rStyle w:val="Strong"/>
          <w:rFonts w:ascii="Verdana" w:hAnsi="Verdana" w:cs="Segoe UI"/>
          <w:b w:val="0"/>
          <w:bCs w:val="0"/>
          <w:color w:val="0F4761"/>
        </w:rPr>
        <w:t>rganisation (WHO)</w:t>
      </w:r>
      <w:r w:rsidRPr="00E72735">
        <w:rPr>
          <w:rStyle w:val="Strong"/>
          <w:rFonts w:ascii="Verdana" w:hAnsi="Verdana" w:cs="Segoe UI"/>
          <w:b w:val="0"/>
          <w:bCs w:val="0"/>
          <w:color w:val="0F4761"/>
        </w:rPr>
        <w:t xml:space="preserve"> Sign</w:t>
      </w:r>
      <w:r w:rsidRPr="00E72735">
        <w:rPr>
          <w:rStyle w:val="Strong"/>
          <w:rFonts w:ascii="Verdana" w:hAnsi="Verdana" w:cs="Segoe UI"/>
          <w:b w:val="0"/>
          <w:bCs w:val="0"/>
          <w:color w:val="0F4761"/>
        </w:rPr>
        <w:noBreakHyphen/>
        <w:t xml:space="preserve">In Process in Obstetric Theatres. </w:t>
      </w:r>
      <w:r w:rsidRPr="00E72735">
        <w:rPr>
          <w:rStyle w:val="Strong"/>
          <w:rFonts w:ascii="Verdana" w:hAnsi="Verdana" w:cs="Segoe UI"/>
          <w:b w:val="0"/>
          <w:bCs w:val="0"/>
        </w:rPr>
        <w:t xml:space="preserve"> </w:t>
      </w:r>
      <w:r w:rsidRPr="00E72735">
        <w:rPr>
          <w:rFonts w:ascii="Verdana" w:hAnsi="Verdana" w:cs="Segoe UI"/>
        </w:rPr>
        <w:t>Strong compliance with the WHO sign</w:t>
      </w:r>
      <w:r w:rsidRPr="00E72735">
        <w:rPr>
          <w:rFonts w:ascii="Verdana" w:hAnsi="Verdana" w:cs="Segoe UI"/>
        </w:rPr>
        <w:noBreakHyphen/>
        <w:t>in process, with timely completion prior to anaesthesia and high engagement from anaesthetic and theatre nursing teams. Limited obstetrician participation and environmental distractions during sign</w:t>
      </w:r>
      <w:r w:rsidRPr="00E72735">
        <w:rPr>
          <w:rFonts w:ascii="Verdana" w:hAnsi="Verdana" w:cs="Segoe UI"/>
        </w:rPr>
        <w:noBreakHyphen/>
        <w:t xml:space="preserve">in represent areas of moderate residual risk requiring improvement. </w:t>
      </w:r>
      <w:r w:rsidRPr="00E72735">
        <w:rPr>
          <w:rStyle w:val="Emphasis"/>
          <w:rFonts w:ascii="Verdana" w:eastAsiaTheme="majorEastAsia" w:hAnsi="Verdana" w:cs="Segoe UI"/>
        </w:rPr>
        <w:t>(Risk score: 12)</w:t>
      </w:r>
      <w:r w:rsidR="001311CD" w:rsidRPr="00E72735">
        <w:rPr>
          <w:rStyle w:val="Emphasis"/>
          <w:rFonts w:ascii="Verdana" w:eastAsiaTheme="majorEastAsia" w:hAnsi="Verdana" w:cs="Segoe UI"/>
        </w:rPr>
        <w:t xml:space="preserve">                                                                                                    </w:t>
      </w:r>
      <w:r w:rsidR="001311CD" w:rsidRPr="00E72735">
        <w:rPr>
          <w:rFonts w:ascii="Verdana" w:hAnsi="Verdana"/>
          <w:b/>
          <w:bCs/>
          <w:color w:val="153D63" w:themeColor="text2" w:themeTint="E6"/>
        </w:rPr>
        <w:t>Impact Level: Medium</w:t>
      </w:r>
      <w:r w:rsidR="001311CD" w:rsidRPr="00E72735">
        <w:rPr>
          <w:rFonts w:ascii="Verdana" w:hAnsi="Verdana"/>
          <w:color w:val="153D63" w:themeColor="text2" w:themeTint="E6"/>
        </w:rPr>
        <w:br/>
      </w:r>
      <w:r w:rsidR="001311CD" w:rsidRPr="00E72735">
        <w:rPr>
          <w:rFonts w:ascii="Verdana" w:hAnsi="Verdana"/>
          <w:b/>
          <w:bCs/>
          <w:color w:val="153D63" w:themeColor="text2" w:themeTint="E6"/>
        </w:rPr>
        <w:t>So What:</w:t>
      </w:r>
      <w:r w:rsidR="001311CD" w:rsidRPr="00E72735">
        <w:rPr>
          <w:rFonts w:ascii="Verdana" w:hAnsi="Verdana"/>
          <w:color w:val="153D63" w:themeColor="text2" w:themeTint="E6"/>
        </w:rPr>
        <w:t xml:space="preserve"> Identifies areas of inconsistency within an otherwise strong safety process requiring improvement.</w:t>
      </w:r>
    </w:p>
    <w:p w14:paraId="35164B37" w14:textId="77777777" w:rsidR="009115B6" w:rsidRPr="00D95C4C" w:rsidRDefault="009115B6" w:rsidP="009115B6">
      <w:pPr>
        <w:spacing w:before="100" w:beforeAutospacing="1" w:after="100" w:afterAutospacing="1" w:line="240" w:lineRule="auto"/>
        <w:rPr>
          <w:rFonts w:ascii="Verdana" w:hAnsi="Verdana" w:cs="Segoe UI"/>
          <w:b/>
          <w:bCs/>
          <w:color w:val="0F4761"/>
          <w:sz w:val="24"/>
          <w:szCs w:val="24"/>
        </w:rPr>
      </w:pPr>
      <w:r w:rsidRPr="00D95C4C">
        <w:rPr>
          <w:rFonts w:ascii="Verdana" w:hAnsi="Verdana" w:cs="Segoe UI"/>
          <w:b/>
          <w:bCs/>
          <w:color w:val="0F4761"/>
          <w:sz w:val="24"/>
          <w:szCs w:val="24"/>
        </w:rPr>
        <w:t>Community Paediatrics</w:t>
      </w:r>
    </w:p>
    <w:p w14:paraId="2D65A344" w14:textId="09FADFE8" w:rsidR="001311CD" w:rsidRPr="00E72735" w:rsidRDefault="009115B6" w:rsidP="001311CD">
      <w:pPr>
        <w:rPr>
          <w:rFonts w:ascii="Verdana" w:hAnsi="Verdana"/>
          <w:color w:val="153D63" w:themeColor="text2" w:themeTint="E6"/>
        </w:rPr>
      </w:pPr>
      <w:r w:rsidRPr="00E72735">
        <w:rPr>
          <w:rFonts w:ascii="Verdana" w:hAnsi="Verdana" w:cs="Segoe UI"/>
          <w:color w:val="0F4761"/>
        </w:rPr>
        <w:t>A</w:t>
      </w:r>
      <w:r w:rsidR="00874D71" w:rsidRPr="00E72735">
        <w:rPr>
          <w:rFonts w:ascii="Verdana" w:hAnsi="Verdana" w:cs="Segoe UI"/>
          <w:color w:val="0F4761"/>
        </w:rPr>
        <w:t xml:space="preserve">ttention </w:t>
      </w:r>
      <w:r w:rsidRPr="00E72735">
        <w:rPr>
          <w:rFonts w:ascii="Verdana" w:hAnsi="Verdana" w:cs="Segoe UI"/>
          <w:color w:val="0F4761"/>
        </w:rPr>
        <w:t>D</w:t>
      </w:r>
      <w:r w:rsidR="00874D71" w:rsidRPr="00E72735">
        <w:rPr>
          <w:rFonts w:ascii="Verdana" w:hAnsi="Verdana" w:cs="Segoe UI"/>
          <w:color w:val="0F4761"/>
        </w:rPr>
        <w:t>eficit/</w:t>
      </w:r>
      <w:r w:rsidRPr="00E72735">
        <w:rPr>
          <w:rFonts w:ascii="Verdana" w:hAnsi="Verdana" w:cs="Segoe UI"/>
          <w:color w:val="0F4761"/>
        </w:rPr>
        <w:t>H</w:t>
      </w:r>
      <w:r w:rsidR="00874D71" w:rsidRPr="00E72735">
        <w:rPr>
          <w:rFonts w:ascii="Verdana" w:hAnsi="Verdana" w:cs="Segoe UI"/>
          <w:color w:val="0F4761"/>
        </w:rPr>
        <w:t xml:space="preserve">yperactivity </w:t>
      </w:r>
      <w:r w:rsidRPr="00E72735">
        <w:rPr>
          <w:rFonts w:ascii="Verdana" w:hAnsi="Verdana" w:cs="Segoe UI"/>
          <w:color w:val="0F4761"/>
        </w:rPr>
        <w:t>D</w:t>
      </w:r>
      <w:r w:rsidR="00874D71" w:rsidRPr="00E72735">
        <w:rPr>
          <w:rFonts w:ascii="Verdana" w:hAnsi="Verdana" w:cs="Segoe UI"/>
          <w:color w:val="0F4761"/>
        </w:rPr>
        <w:t>isorder (ADHD)</w:t>
      </w:r>
      <w:r w:rsidRPr="00E72735">
        <w:rPr>
          <w:rFonts w:ascii="Verdana" w:hAnsi="Verdana" w:cs="Segoe UI"/>
          <w:color w:val="0F4761"/>
        </w:rPr>
        <w:t xml:space="preserve"> Medicals: Are They Fit for Purpose?</w:t>
      </w:r>
      <w:r w:rsidRPr="00E72735">
        <w:rPr>
          <w:rFonts w:ascii="Verdana" w:hAnsi="Verdana" w:cs="Segoe UI"/>
        </w:rPr>
        <w:t xml:space="preserve">  Good compliance with assessment standards once children were seen. However, prolonged waits for diagnosis and medication represent a </w:t>
      </w:r>
      <w:r w:rsidRPr="00E72735">
        <w:rPr>
          <w:rStyle w:val="Strong"/>
          <w:rFonts w:ascii="Verdana" w:eastAsiaTheme="majorEastAsia" w:hAnsi="Verdana" w:cs="Segoe UI"/>
          <w:b w:val="0"/>
          <w:bCs w:val="0"/>
        </w:rPr>
        <w:t>system</w:t>
      </w:r>
      <w:r w:rsidRPr="00E72735">
        <w:rPr>
          <w:rStyle w:val="Strong"/>
          <w:rFonts w:ascii="Verdana" w:eastAsiaTheme="majorEastAsia" w:hAnsi="Verdana" w:cs="Segoe UI"/>
          <w:b w:val="0"/>
          <w:bCs w:val="0"/>
        </w:rPr>
        <w:noBreakHyphen/>
        <w:t>level access risk</w:t>
      </w:r>
      <w:r w:rsidRPr="00E72735">
        <w:rPr>
          <w:rFonts w:ascii="Verdana" w:hAnsi="Verdana" w:cs="Segoe UI"/>
        </w:rPr>
        <w:t>, necessitating re</w:t>
      </w:r>
      <w:r w:rsidRPr="00E72735">
        <w:rPr>
          <w:rFonts w:ascii="Verdana" w:hAnsi="Verdana" w:cs="Segoe UI"/>
        </w:rPr>
        <w:noBreakHyphen/>
        <w:t xml:space="preserve">audit and service review. </w:t>
      </w:r>
      <w:r w:rsidRPr="00E72735">
        <w:rPr>
          <w:rStyle w:val="Emphasis"/>
          <w:rFonts w:ascii="Verdana" w:eastAsiaTheme="majorEastAsia" w:hAnsi="Verdana" w:cs="Segoe UI"/>
        </w:rPr>
        <w:t>(Risk score: 1)</w:t>
      </w:r>
      <w:r w:rsidR="001311CD" w:rsidRPr="00E72735">
        <w:rPr>
          <w:rStyle w:val="Emphasis"/>
          <w:rFonts w:ascii="Verdana" w:eastAsiaTheme="majorEastAsia" w:hAnsi="Verdana" w:cs="Segoe UI"/>
        </w:rPr>
        <w:t xml:space="preserve">                                                                                        </w:t>
      </w:r>
      <w:r w:rsidR="001311CD" w:rsidRPr="00E72735">
        <w:rPr>
          <w:rFonts w:ascii="Verdana" w:hAnsi="Verdana"/>
          <w:b/>
          <w:bCs/>
          <w:color w:val="153D63" w:themeColor="text2" w:themeTint="E6"/>
        </w:rPr>
        <w:t>Impact Level: Strong</w:t>
      </w:r>
      <w:r w:rsidR="001311CD" w:rsidRPr="00E72735">
        <w:rPr>
          <w:rFonts w:ascii="Verdana" w:hAnsi="Verdana"/>
          <w:color w:val="153D63" w:themeColor="text2" w:themeTint="E6"/>
        </w:rPr>
        <w:br/>
      </w:r>
      <w:r w:rsidR="001311CD" w:rsidRPr="00E72735">
        <w:rPr>
          <w:rFonts w:ascii="Verdana" w:hAnsi="Verdana"/>
          <w:b/>
          <w:bCs/>
          <w:color w:val="153D63" w:themeColor="text2" w:themeTint="E6"/>
        </w:rPr>
        <w:t>So What:</w:t>
      </w:r>
      <w:r w:rsidR="001311CD" w:rsidRPr="00E72735">
        <w:rPr>
          <w:rFonts w:ascii="Verdana" w:hAnsi="Verdana"/>
          <w:color w:val="153D63" w:themeColor="text2" w:themeTint="E6"/>
        </w:rPr>
        <w:t xml:space="preserve"> Highlights system level delays affecting timely access to diagnosis and treatment.</w:t>
      </w:r>
    </w:p>
    <w:p w14:paraId="60B318D1" w14:textId="77777777" w:rsidR="00B21621" w:rsidRDefault="00B21621" w:rsidP="00B21621">
      <w:pPr>
        <w:spacing w:before="100" w:beforeAutospacing="1" w:after="100" w:afterAutospacing="1" w:line="240" w:lineRule="auto"/>
        <w:rPr>
          <w:rFonts w:ascii="Verdana" w:hAnsi="Verdana" w:cs="Segoe UI"/>
          <w:b/>
          <w:bCs/>
          <w:color w:val="0F4761"/>
          <w:sz w:val="24"/>
          <w:szCs w:val="24"/>
        </w:rPr>
      </w:pPr>
    </w:p>
    <w:p w14:paraId="19C4BBA6" w14:textId="77777777" w:rsidR="00B21621" w:rsidRDefault="00B21621" w:rsidP="00B21621">
      <w:pPr>
        <w:spacing w:before="100" w:beforeAutospacing="1" w:after="100" w:afterAutospacing="1" w:line="240" w:lineRule="auto"/>
        <w:rPr>
          <w:rFonts w:ascii="Verdana" w:hAnsi="Verdana" w:cs="Segoe UI"/>
          <w:b/>
          <w:bCs/>
          <w:color w:val="0F4761"/>
          <w:sz w:val="24"/>
          <w:szCs w:val="24"/>
        </w:rPr>
      </w:pPr>
    </w:p>
    <w:p w14:paraId="32F1F375" w14:textId="51CBFD64" w:rsidR="00B21621" w:rsidRDefault="009115B6" w:rsidP="00B21621">
      <w:pPr>
        <w:spacing w:before="100" w:beforeAutospacing="1" w:after="100" w:afterAutospacing="1" w:line="240" w:lineRule="auto"/>
        <w:rPr>
          <w:rFonts w:ascii="Verdana" w:hAnsi="Verdana" w:cs="Segoe UI"/>
          <w:b/>
          <w:bCs/>
          <w:color w:val="0F4761"/>
          <w:sz w:val="24"/>
          <w:szCs w:val="24"/>
        </w:rPr>
      </w:pPr>
      <w:r w:rsidRPr="00D95C4C">
        <w:rPr>
          <w:rFonts w:ascii="Verdana" w:hAnsi="Verdana" w:cs="Segoe UI"/>
          <w:b/>
          <w:bCs/>
          <w:color w:val="0F4761"/>
          <w:sz w:val="24"/>
          <w:szCs w:val="24"/>
        </w:rPr>
        <w:lastRenderedPageBreak/>
        <w:t>Dermatology</w:t>
      </w:r>
      <w:r w:rsidR="00B21621">
        <w:rPr>
          <w:rFonts w:ascii="Verdana" w:hAnsi="Verdana" w:cs="Segoe UI"/>
          <w:b/>
          <w:bCs/>
          <w:color w:val="0F4761"/>
          <w:sz w:val="24"/>
          <w:szCs w:val="24"/>
        </w:rPr>
        <w:t xml:space="preserve">                                                                                             </w:t>
      </w:r>
    </w:p>
    <w:p w14:paraId="1A5D0DDD" w14:textId="108755C4" w:rsidR="001311CD" w:rsidRPr="00E72735" w:rsidRDefault="009115B6" w:rsidP="00B21621">
      <w:pPr>
        <w:spacing w:before="100" w:beforeAutospacing="1" w:after="100" w:afterAutospacing="1" w:line="240" w:lineRule="auto"/>
        <w:rPr>
          <w:rFonts w:ascii="Verdana" w:hAnsi="Verdana"/>
          <w:color w:val="153D63" w:themeColor="text2" w:themeTint="E6"/>
        </w:rPr>
      </w:pPr>
      <w:r w:rsidRPr="00E72735">
        <w:rPr>
          <w:rFonts w:ascii="Verdana" w:hAnsi="Verdana" w:cs="Segoe UI"/>
          <w:color w:val="0F4761"/>
        </w:rPr>
        <w:t xml:space="preserve">Enhancing Patient Experience with Procedure Information Leaflets.  </w:t>
      </w:r>
      <w:r w:rsidRPr="00E72735">
        <w:rPr>
          <w:rFonts w:ascii="Verdana" w:hAnsi="Verdana" w:cs="Segoe UI"/>
        </w:rPr>
        <w:t>Patient feedback identified areas for improvement, and revised information leaflets resulted in improved patient understanding and experience. Small sample size and reliance on consistent leaflet use mean further monitoring and re</w:t>
      </w:r>
      <w:r w:rsidRPr="00E72735">
        <w:rPr>
          <w:rFonts w:ascii="Verdana" w:hAnsi="Verdana" w:cs="Segoe UI"/>
        </w:rPr>
        <w:noBreakHyphen/>
        <w:t xml:space="preserve">audit are required. </w:t>
      </w:r>
      <w:r w:rsidRPr="00E72735">
        <w:rPr>
          <w:rStyle w:val="Emphasis"/>
          <w:rFonts w:ascii="Verdana" w:eastAsiaTheme="majorEastAsia" w:hAnsi="Verdana" w:cs="Segoe UI"/>
        </w:rPr>
        <w:t>(Risk score: 3)</w:t>
      </w:r>
      <w:r w:rsidR="001311CD" w:rsidRPr="00E72735">
        <w:rPr>
          <w:rStyle w:val="Emphasis"/>
          <w:rFonts w:ascii="Verdana" w:eastAsiaTheme="majorEastAsia" w:hAnsi="Verdana" w:cs="Segoe UI"/>
        </w:rPr>
        <w:t xml:space="preserve">                                        </w:t>
      </w:r>
      <w:r w:rsidR="00E72735">
        <w:rPr>
          <w:rStyle w:val="Emphasis"/>
          <w:rFonts w:ascii="Verdana" w:eastAsiaTheme="majorEastAsia" w:hAnsi="Verdana" w:cs="Segoe UI"/>
        </w:rPr>
        <w:t xml:space="preserve">                                            </w:t>
      </w:r>
      <w:r w:rsidR="001311CD" w:rsidRPr="00E72735">
        <w:rPr>
          <w:rStyle w:val="Emphasis"/>
          <w:rFonts w:ascii="Verdana" w:eastAsiaTheme="majorEastAsia" w:hAnsi="Verdana" w:cs="Segoe UI"/>
        </w:rPr>
        <w:t xml:space="preserve">  </w:t>
      </w:r>
      <w:r w:rsidR="001311CD" w:rsidRPr="00E72735">
        <w:rPr>
          <w:rFonts w:ascii="Verdana" w:hAnsi="Verdana"/>
          <w:b/>
          <w:bCs/>
          <w:color w:val="153D63" w:themeColor="text2" w:themeTint="E6"/>
        </w:rPr>
        <w:t>Impact Level: Medium</w:t>
      </w:r>
    </w:p>
    <w:p w14:paraId="3BA0E06D" w14:textId="462DB192" w:rsidR="001311CD" w:rsidRPr="00E72735" w:rsidRDefault="009115B6" w:rsidP="001311CD">
      <w:pPr>
        <w:rPr>
          <w:rFonts w:ascii="Verdana" w:hAnsi="Verdana"/>
          <w:color w:val="153D63" w:themeColor="text2" w:themeTint="E6"/>
        </w:rPr>
      </w:pPr>
      <w:r w:rsidRPr="00E72735">
        <w:rPr>
          <w:rFonts w:ascii="Verdana" w:hAnsi="Verdana" w:cs="Segoe UI"/>
          <w:color w:val="0F4761"/>
        </w:rPr>
        <w:t xml:space="preserve">Paediatric Dupilumab Prescribing and Monitoring.  </w:t>
      </w:r>
      <w:r w:rsidRPr="00E72735">
        <w:rPr>
          <w:rFonts w:ascii="Verdana" w:hAnsi="Verdana" w:cs="Segoe UI"/>
        </w:rPr>
        <w:t xml:space="preserve">Prescribing practice was compliant with NHS Wales guidance and demonstrated good governance and safety. Documentation gaps relating to severity scoring and counselling limited full assurance. </w:t>
      </w:r>
      <w:r w:rsidRPr="00E72735">
        <w:rPr>
          <w:rStyle w:val="Emphasis"/>
          <w:rFonts w:ascii="Verdana" w:eastAsiaTheme="majorEastAsia" w:hAnsi="Verdana" w:cs="Segoe UI"/>
        </w:rPr>
        <w:t>(Risk score: 6)</w:t>
      </w:r>
      <w:r w:rsidR="001311CD" w:rsidRPr="00E72735">
        <w:rPr>
          <w:rStyle w:val="Emphasis"/>
          <w:rFonts w:ascii="Verdana" w:eastAsiaTheme="majorEastAsia" w:hAnsi="Verdana" w:cs="Segoe UI"/>
        </w:rPr>
        <w:t xml:space="preserve">                                                        </w:t>
      </w:r>
      <w:r w:rsidR="00E72735">
        <w:rPr>
          <w:rStyle w:val="Emphasis"/>
          <w:rFonts w:ascii="Verdana" w:eastAsiaTheme="majorEastAsia" w:hAnsi="Verdana" w:cs="Segoe UI"/>
        </w:rPr>
        <w:t xml:space="preserve">                             </w:t>
      </w:r>
      <w:r w:rsidR="001311CD" w:rsidRPr="00E72735">
        <w:rPr>
          <w:rStyle w:val="Emphasis"/>
          <w:rFonts w:ascii="Verdana" w:eastAsiaTheme="majorEastAsia" w:hAnsi="Verdana" w:cs="Segoe UI"/>
        </w:rPr>
        <w:t xml:space="preserve">  </w:t>
      </w:r>
      <w:r w:rsidR="001311CD" w:rsidRPr="00E72735">
        <w:rPr>
          <w:rFonts w:ascii="Verdana" w:hAnsi="Verdana"/>
          <w:b/>
          <w:bCs/>
          <w:color w:val="153D63" w:themeColor="text2" w:themeTint="E6"/>
        </w:rPr>
        <w:t>Impact Level: Medium</w:t>
      </w:r>
      <w:r w:rsidR="001311CD" w:rsidRPr="00E72735">
        <w:rPr>
          <w:rFonts w:ascii="Verdana" w:hAnsi="Verdana"/>
          <w:color w:val="153D63" w:themeColor="text2" w:themeTint="E6"/>
        </w:rPr>
        <w:br/>
      </w:r>
      <w:r w:rsidR="001311CD" w:rsidRPr="00E72735">
        <w:rPr>
          <w:rFonts w:ascii="Verdana" w:hAnsi="Verdana"/>
          <w:b/>
          <w:bCs/>
          <w:color w:val="153D63" w:themeColor="text2" w:themeTint="E6"/>
        </w:rPr>
        <w:t>So What:</w:t>
      </w:r>
      <w:r w:rsidR="001311CD" w:rsidRPr="00E72735">
        <w:rPr>
          <w:rFonts w:ascii="Verdana" w:hAnsi="Verdana"/>
          <w:color w:val="153D63" w:themeColor="text2" w:themeTint="E6"/>
        </w:rPr>
        <w:t xml:space="preserve"> Identifies documentation gaps limiting full assurance of otherwise compliant practice.</w:t>
      </w:r>
    </w:p>
    <w:p w14:paraId="0CB32741" w14:textId="7FD0FF70" w:rsidR="001311CD" w:rsidRPr="00E72735" w:rsidRDefault="009115B6" w:rsidP="001311CD">
      <w:r w:rsidRPr="00E72735">
        <w:rPr>
          <w:rFonts w:ascii="Verdana" w:hAnsi="Verdana" w:cs="Segoe UI"/>
          <w:color w:val="0F4761"/>
        </w:rPr>
        <w:t xml:space="preserve">Patch Testing Service Audit 2026 (NPTH). </w:t>
      </w:r>
      <w:r w:rsidRPr="00E72735">
        <w:rPr>
          <w:rFonts w:ascii="Verdana" w:hAnsi="Verdana" w:cs="Segoe UI"/>
        </w:rPr>
        <w:t>The service was compliant with B</w:t>
      </w:r>
      <w:r w:rsidR="00874D71" w:rsidRPr="00E72735">
        <w:rPr>
          <w:rFonts w:ascii="Verdana" w:hAnsi="Verdana" w:cs="Segoe UI"/>
        </w:rPr>
        <w:t xml:space="preserve">ritish </w:t>
      </w:r>
      <w:r w:rsidRPr="00E72735">
        <w:rPr>
          <w:rFonts w:ascii="Verdana" w:hAnsi="Verdana" w:cs="Segoe UI"/>
        </w:rPr>
        <w:t>S</w:t>
      </w:r>
      <w:r w:rsidR="00874D71" w:rsidRPr="00E72735">
        <w:rPr>
          <w:rFonts w:ascii="Verdana" w:hAnsi="Verdana" w:cs="Segoe UI"/>
        </w:rPr>
        <w:t xml:space="preserve">ociety of </w:t>
      </w:r>
      <w:r w:rsidRPr="00E72735">
        <w:rPr>
          <w:rFonts w:ascii="Verdana" w:hAnsi="Verdana" w:cs="Segoe UI"/>
        </w:rPr>
        <w:t>C</w:t>
      </w:r>
      <w:r w:rsidR="00874D71" w:rsidRPr="00E72735">
        <w:rPr>
          <w:rFonts w:ascii="Verdana" w:hAnsi="Verdana" w:cs="Segoe UI"/>
        </w:rPr>
        <w:t xml:space="preserve">utaneous </w:t>
      </w:r>
      <w:r w:rsidRPr="00E72735">
        <w:rPr>
          <w:rFonts w:ascii="Verdana" w:hAnsi="Verdana" w:cs="Segoe UI"/>
        </w:rPr>
        <w:t>A</w:t>
      </w:r>
      <w:r w:rsidR="00874D71" w:rsidRPr="00E72735">
        <w:rPr>
          <w:rFonts w:ascii="Verdana" w:hAnsi="Verdana" w:cs="Segoe UI"/>
        </w:rPr>
        <w:t>llergy</w:t>
      </w:r>
      <w:r w:rsidRPr="00E72735">
        <w:rPr>
          <w:rFonts w:ascii="Verdana" w:hAnsi="Verdana" w:cs="Segoe UI"/>
        </w:rPr>
        <w:t xml:space="preserve"> standards, with good documentation and consultant supervision. Capacity constraints and waiting list pressures remain the primary residual risks. </w:t>
      </w:r>
      <w:r w:rsidRPr="00E72735">
        <w:rPr>
          <w:rStyle w:val="Emphasis"/>
          <w:rFonts w:ascii="Verdana" w:eastAsiaTheme="majorEastAsia" w:hAnsi="Verdana" w:cs="Segoe UI"/>
        </w:rPr>
        <w:t>(Risk score: 4)</w:t>
      </w:r>
      <w:r w:rsidRPr="00E72735">
        <w:rPr>
          <w:rFonts w:ascii="Verdana" w:hAnsi="Verdana" w:cs="Segoe UI"/>
          <w:b/>
          <w:bCs/>
        </w:rPr>
        <w:t xml:space="preserve"> </w:t>
      </w:r>
      <w:r w:rsidR="001311CD" w:rsidRPr="00E72735">
        <w:rPr>
          <w:rFonts w:ascii="Verdana" w:hAnsi="Verdana" w:cs="Segoe UI"/>
          <w:b/>
          <w:bCs/>
        </w:rPr>
        <w:t xml:space="preserve">                                                         </w:t>
      </w:r>
      <w:r w:rsidR="00E72735">
        <w:rPr>
          <w:rFonts w:ascii="Verdana" w:hAnsi="Verdana" w:cs="Segoe UI"/>
          <w:b/>
          <w:bCs/>
        </w:rPr>
        <w:t xml:space="preserve">                                 </w:t>
      </w:r>
      <w:r w:rsidR="001311CD" w:rsidRPr="00E72735">
        <w:rPr>
          <w:rFonts w:ascii="Verdana" w:hAnsi="Verdana" w:cs="Segoe UI"/>
          <w:b/>
          <w:bCs/>
        </w:rPr>
        <w:t xml:space="preserve">  </w:t>
      </w:r>
      <w:r w:rsidR="001311CD" w:rsidRPr="00E72735">
        <w:rPr>
          <w:rFonts w:ascii="Verdana" w:hAnsi="Verdana"/>
          <w:b/>
          <w:bCs/>
          <w:color w:val="153D63" w:themeColor="text2" w:themeTint="E6"/>
        </w:rPr>
        <w:t>Impact Level: Medium</w:t>
      </w:r>
      <w:r w:rsidR="001311CD" w:rsidRPr="00E72735">
        <w:rPr>
          <w:rFonts w:ascii="Verdana" w:hAnsi="Verdana"/>
          <w:color w:val="153D63" w:themeColor="text2" w:themeTint="E6"/>
        </w:rPr>
        <w:br/>
      </w:r>
      <w:r w:rsidR="001311CD" w:rsidRPr="00E72735">
        <w:rPr>
          <w:rFonts w:ascii="Verdana" w:hAnsi="Verdana"/>
          <w:b/>
          <w:bCs/>
          <w:color w:val="153D63" w:themeColor="text2" w:themeTint="E6"/>
        </w:rPr>
        <w:t>So What:</w:t>
      </w:r>
      <w:r w:rsidR="001311CD" w:rsidRPr="00E72735">
        <w:rPr>
          <w:rFonts w:ascii="Verdana" w:hAnsi="Verdana"/>
          <w:color w:val="153D63" w:themeColor="text2" w:themeTint="E6"/>
        </w:rPr>
        <w:t xml:space="preserve"> Highlights capacity constraints impacting timely service delivery.</w:t>
      </w:r>
    </w:p>
    <w:p w14:paraId="73987EB5" w14:textId="77777777" w:rsidR="009115B6" w:rsidRPr="00FE5A11" w:rsidRDefault="009115B6" w:rsidP="009115B6">
      <w:pPr>
        <w:spacing w:before="100" w:beforeAutospacing="1" w:after="100" w:afterAutospacing="1" w:line="240" w:lineRule="auto"/>
        <w:rPr>
          <w:rFonts w:ascii="Verdana" w:hAnsi="Verdana" w:cs="Segoe UI"/>
          <w:b/>
          <w:bCs/>
          <w:color w:val="0F4761"/>
          <w:sz w:val="24"/>
          <w:szCs w:val="24"/>
        </w:rPr>
      </w:pPr>
      <w:r w:rsidRPr="00FE5A11">
        <w:rPr>
          <w:rFonts w:ascii="Verdana" w:hAnsi="Verdana" w:cs="Segoe UI"/>
          <w:b/>
          <w:bCs/>
          <w:color w:val="0F4761"/>
          <w:sz w:val="24"/>
          <w:szCs w:val="24"/>
        </w:rPr>
        <w:t>General Paediatrics</w:t>
      </w:r>
    </w:p>
    <w:p w14:paraId="3C41EC2D" w14:textId="5967827C" w:rsidR="009115B6" w:rsidRPr="00E72735" w:rsidRDefault="009115B6" w:rsidP="009115B6">
      <w:pPr>
        <w:spacing w:before="100" w:beforeAutospacing="1" w:after="100" w:afterAutospacing="1" w:line="240" w:lineRule="auto"/>
        <w:rPr>
          <w:rStyle w:val="Emphasis"/>
          <w:rFonts w:ascii="Verdana" w:eastAsiaTheme="majorEastAsia" w:hAnsi="Verdana" w:cs="Segoe UI"/>
        </w:rPr>
      </w:pPr>
      <w:r w:rsidRPr="00E72735">
        <w:rPr>
          <w:rFonts w:ascii="Verdana" w:hAnsi="Verdana" w:cs="Segoe UI"/>
          <w:color w:val="0F4761"/>
        </w:rPr>
        <w:t xml:space="preserve">Compliance with the Paediatric Sepsis 6 Pathway. </w:t>
      </w:r>
      <w:r w:rsidRPr="00E72735">
        <w:rPr>
          <w:rFonts w:ascii="Verdana" w:hAnsi="Verdana" w:cs="Segoe UI"/>
        </w:rPr>
        <w:t xml:space="preserve"> High awareness of sepsis recognition and initiation of management among staff. Lower adherence to departmental guidelines indicates the need for further education and re</w:t>
      </w:r>
      <w:r w:rsidRPr="00E72735">
        <w:rPr>
          <w:rFonts w:ascii="Verdana" w:hAnsi="Verdana" w:cs="Segoe UI"/>
        </w:rPr>
        <w:noBreakHyphen/>
        <w:t xml:space="preserve">audit to strengthen consistency. </w:t>
      </w:r>
      <w:r w:rsidRPr="00E72735">
        <w:rPr>
          <w:rStyle w:val="Emphasis"/>
          <w:rFonts w:ascii="Verdana" w:eastAsiaTheme="majorEastAsia" w:hAnsi="Verdana" w:cs="Segoe UI"/>
        </w:rPr>
        <w:t>(Risk score: 3)</w:t>
      </w:r>
      <w:r w:rsidR="001311CD" w:rsidRPr="00E72735">
        <w:rPr>
          <w:rStyle w:val="Emphasis"/>
          <w:rFonts w:ascii="Verdana" w:eastAsiaTheme="majorEastAsia" w:hAnsi="Verdana" w:cs="Segoe UI"/>
        </w:rPr>
        <w:t xml:space="preserve">                                         </w:t>
      </w:r>
      <w:r w:rsidR="00E72735">
        <w:rPr>
          <w:rStyle w:val="Emphasis"/>
          <w:rFonts w:ascii="Verdana" w:eastAsiaTheme="majorEastAsia" w:hAnsi="Verdana" w:cs="Segoe UI"/>
        </w:rPr>
        <w:t xml:space="preserve">                           </w:t>
      </w:r>
      <w:r w:rsidR="001311CD" w:rsidRPr="00E72735">
        <w:rPr>
          <w:rStyle w:val="Emphasis"/>
          <w:rFonts w:ascii="Verdana" w:eastAsiaTheme="majorEastAsia" w:hAnsi="Verdana" w:cs="Segoe UI"/>
        </w:rPr>
        <w:t xml:space="preserve"> </w:t>
      </w:r>
      <w:r w:rsidR="001311CD" w:rsidRPr="00E72735">
        <w:rPr>
          <w:rFonts w:ascii="Verdana" w:hAnsi="Verdana"/>
          <w:b/>
          <w:bCs/>
          <w:color w:val="153D63" w:themeColor="text2" w:themeTint="E6"/>
        </w:rPr>
        <w:t>Impact Level: Medium</w:t>
      </w:r>
      <w:r w:rsidR="001311CD" w:rsidRPr="00E72735">
        <w:rPr>
          <w:rFonts w:ascii="Verdana" w:hAnsi="Verdana"/>
          <w:color w:val="153D63" w:themeColor="text2" w:themeTint="E6"/>
        </w:rPr>
        <w:br/>
      </w:r>
      <w:r w:rsidR="001311CD" w:rsidRPr="00E72735">
        <w:rPr>
          <w:rFonts w:ascii="Verdana" w:hAnsi="Verdana"/>
          <w:b/>
          <w:bCs/>
          <w:color w:val="153D63" w:themeColor="text2" w:themeTint="E6"/>
        </w:rPr>
        <w:t>So What:</w:t>
      </w:r>
      <w:r w:rsidR="001311CD" w:rsidRPr="00E72735">
        <w:rPr>
          <w:rFonts w:ascii="Verdana" w:hAnsi="Verdana"/>
          <w:color w:val="153D63" w:themeColor="text2" w:themeTint="E6"/>
        </w:rPr>
        <w:t xml:space="preserve"> Identifies inconsistency in guideline adherence requiring further education.</w:t>
      </w:r>
    </w:p>
    <w:p w14:paraId="40757214" w14:textId="13287C80" w:rsidR="001311CD" w:rsidRPr="00E72735" w:rsidRDefault="009115B6" w:rsidP="001311CD">
      <w:pPr>
        <w:rPr>
          <w:rFonts w:ascii="Verdana" w:hAnsi="Verdana"/>
          <w:color w:val="153D63" w:themeColor="text2" w:themeTint="E6"/>
        </w:rPr>
      </w:pPr>
      <w:r w:rsidRPr="00E72735">
        <w:rPr>
          <w:rStyle w:val="Strong"/>
          <w:rFonts w:ascii="Verdana" w:hAnsi="Verdana" w:cs="Segoe UI"/>
          <w:b w:val="0"/>
          <w:bCs w:val="0"/>
          <w:color w:val="0F4761"/>
        </w:rPr>
        <w:t>Cardiac Care of Children with Dystrophinopathy and Females Carrying DMD</w:t>
      </w:r>
      <w:r w:rsidRPr="00E72735">
        <w:rPr>
          <w:rStyle w:val="Strong"/>
          <w:rFonts w:ascii="Verdana" w:hAnsi="Verdana" w:cs="Segoe UI"/>
          <w:b w:val="0"/>
          <w:bCs w:val="0"/>
          <w:color w:val="0F4761"/>
        </w:rPr>
        <w:noBreakHyphen/>
        <w:t xml:space="preserve">Gene Variations.  </w:t>
      </w:r>
      <w:r w:rsidRPr="00E72735">
        <w:rPr>
          <w:rFonts w:ascii="Verdana" w:hAnsi="Verdana" w:cs="Segoe UI"/>
        </w:rPr>
        <w:t>Good engagement with cardiology follow</w:t>
      </w:r>
      <w:r w:rsidRPr="00E72735">
        <w:rPr>
          <w:rFonts w:ascii="Verdana" w:hAnsi="Verdana" w:cs="Segoe UI"/>
        </w:rPr>
        <w:noBreakHyphen/>
        <w:t xml:space="preserve">up, with </w:t>
      </w:r>
      <w:r w:rsidRPr="00E72735">
        <w:rPr>
          <w:rStyle w:val="Strong"/>
          <w:rFonts w:ascii="Verdana" w:eastAsiaTheme="majorEastAsia" w:hAnsi="Verdana" w:cs="Segoe UI"/>
          <w:b w:val="0"/>
          <w:bCs w:val="0"/>
        </w:rPr>
        <w:t>87% of children under cardiology care</w:t>
      </w:r>
      <w:r w:rsidRPr="00E72735">
        <w:rPr>
          <w:rFonts w:ascii="Verdana" w:hAnsi="Verdana" w:cs="Segoe UI"/>
        </w:rPr>
        <w:t xml:space="preserve"> and all patients receiving annual echocardiography. Variability in early echocardiography timing, governance arrangements, and initiation of A</w:t>
      </w:r>
      <w:r w:rsidR="00874D71" w:rsidRPr="00E72735">
        <w:rPr>
          <w:rFonts w:ascii="Verdana" w:hAnsi="Verdana" w:cs="Segoe UI"/>
        </w:rPr>
        <w:t xml:space="preserve">ngiotensin-Converting Enzyme (ACE) inhibitors </w:t>
      </w:r>
      <w:r w:rsidRPr="00E72735">
        <w:rPr>
          <w:rFonts w:ascii="Verdana" w:hAnsi="Verdana" w:cs="Segoe UI"/>
        </w:rPr>
        <w:t xml:space="preserve">limited full assurance and represent an ongoing moderate risk. </w:t>
      </w:r>
      <w:r w:rsidRPr="00E72735">
        <w:rPr>
          <w:rStyle w:val="Emphasis"/>
          <w:rFonts w:ascii="Verdana" w:eastAsiaTheme="majorEastAsia" w:hAnsi="Verdana" w:cs="Segoe UI"/>
        </w:rPr>
        <w:t>(Risk score: 9, outcomes pending sign</w:t>
      </w:r>
      <w:r w:rsidRPr="00E72735">
        <w:rPr>
          <w:rStyle w:val="Emphasis"/>
          <w:rFonts w:ascii="Verdana" w:eastAsiaTheme="majorEastAsia" w:hAnsi="Verdana" w:cs="Segoe UI"/>
        </w:rPr>
        <w:noBreakHyphen/>
        <w:t>off)</w:t>
      </w:r>
      <w:r w:rsidR="001311CD" w:rsidRPr="00E72735">
        <w:rPr>
          <w:rStyle w:val="Emphasis"/>
          <w:rFonts w:ascii="Verdana" w:eastAsiaTheme="majorEastAsia" w:hAnsi="Verdana" w:cs="Segoe UI"/>
        </w:rPr>
        <w:t xml:space="preserve">                                           </w:t>
      </w:r>
      <w:r w:rsidR="00E72735">
        <w:rPr>
          <w:rStyle w:val="Emphasis"/>
          <w:rFonts w:ascii="Verdana" w:eastAsiaTheme="majorEastAsia" w:hAnsi="Verdana" w:cs="Segoe UI"/>
        </w:rPr>
        <w:t xml:space="preserve">                              </w:t>
      </w:r>
      <w:r w:rsidR="001311CD" w:rsidRPr="00E72735">
        <w:rPr>
          <w:rStyle w:val="Emphasis"/>
          <w:rFonts w:ascii="Verdana" w:eastAsiaTheme="majorEastAsia" w:hAnsi="Verdana" w:cs="Segoe UI"/>
        </w:rPr>
        <w:t xml:space="preserve">     </w:t>
      </w:r>
      <w:r w:rsidR="001311CD" w:rsidRPr="00E72735">
        <w:rPr>
          <w:rFonts w:ascii="Verdana" w:hAnsi="Verdana"/>
          <w:b/>
          <w:bCs/>
          <w:color w:val="153D63" w:themeColor="text2" w:themeTint="E6"/>
        </w:rPr>
        <w:t>Impact Level: Medium</w:t>
      </w:r>
      <w:r w:rsidR="001311CD" w:rsidRPr="00E72735">
        <w:rPr>
          <w:rFonts w:ascii="Verdana" w:hAnsi="Verdana"/>
          <w:color w:val="153D63" w:themeColor="text2" w:themeTint="E6"/>
        </w:rPr>
        <w:br/>
      </w:r>
      <w:r w:rsidR="001311CD" w:rsidRPr="00E72735">
        <w:rPr>
          <w:rFonts w:ascii="Verdana" w:hAnsi="Verdana"/>
          <w:b/>
          <w:bCs/>
          <w:color w:val="153D63" w:themeColor="text2" w:themeTint="E6"/>
        </w:rPr>
        <w:t>So What:</w:t>
      </w:r>
      <w:r w:rsidR="001311CD" w:rsidRPr="00E72735">
        <w:rPr>
          <w:rFonts w:ascii="Verdana" w:hAnsi="Verdana"/>
          <w:color w:val="153D63" w:themeColor="text2" w:themeTint="E6"/>
        </w:rPr>
        <w:t xml:space="preserve"> Highlights variability in care delivery that may impact consistency of patient outcomes.</w:t>
      </w:r>
    </w:p>
    <w:p w14:paraId="67FD0FE7" w14:textId="77777777" w:rsidR="009115B6" w:rsidRPr="00FE5A11" w:rsidRDefault="009115B6" w:rsidP="009115B6">
      <w:pPr>
        <w:spacing w:before="100" w:beforeAutospacing="1" w:after="100" w:afterAutospacing="1" w:line="240" w:lineRule="auto"/>
        <w:rPr>
          <w:rFonts w:ascii="Verdana" w:hAnsi="Verdana" w:cs="Segoe UI"/>
          <w:b/>
          <w:bCs/>
          <w:color w:val="0F4761"/>
          <w:sz w:val="24"/>
          <w:szCs w:val="24"/>
        </w:rPr>
      </w:pPr>
      <w:r w:rsidRPr="00FE5A11">
        <w:rPr>
          <w:rFonts w:ascii="Verdana" w:hAnsi="Verdana" w:cs="Segoe UI"/>
          <w:b/>
          <w:bCs/>
          <w:color w:val="0F4761"/>
          <w:sz w:val="24"/>
          <w:szCs w:val="24"/>
        </w:rPr>
        <w:t>Gynaecology</w:t>
      </w:r>
    </w:p>
    <w:p w14:paraId="41ED94CD" w14:textId="54DD5D69" w:rsidR="00E9537B" w:rsidRPr="00E72735" w:rsidRDefault="009115B6" w:rsidP="00E9537B">
      <w:pPr>
        <w:rPr>
          <w:rFonts w:ascii="Verdana" w:hAnsi="Verdana"/>
          <w:color w:val="153D63" w:themeColor="text2" w:themeTint="E6"/>
        </w:rPr>
      </w:pPr>
      <w:r w:rsidRPr="00E72735">
        <w:rPr>
          <w:rFonts w:ascii="Verdana" w:hAnsi="Verdana" w:cs="Segoe UI"/>
          <w:color w:val="0F4761"/>
        </w:rPr>
        <w:t xml:space="preserve">Readmissions After Urogynaecology Procedures.  </w:t>
      </w:r>
      <w:r w:rsidRPr="00E72735">
        <w:rPr>
          <w:rFonts w:ascii="Verdana" w:hAnsi="Verdana" w:cs="Segoe UI"/>
        </w:rPr>
        <w:t xml:space="preserve">Readmission rates were within expected standards, with most readmissions reflecting minor complications requiring minimal intervention. Incomplete discharge documentation was </w:t>
      </w:r>
      <w:r w:rsidRPr="00E72735">
        <w:rPr>
          <w:rFonts w:ascii="Verdana" w:hAnsi="Verdana" w:cs="Segoe UI"/>
        </w:rPr>
        <w:lastRenderedPageBreak/>
        <w:t xml:space="preserve">identified but overall assurance remains good. </w:t>
      </w:r>
      <w:r w:rsidRPr="00E72735">
        <w:rPr>
          <w:rStyle w:val="Emphasis"/>
          <w:rFonts w:ascii="Verdana" w:eastAsiaTheme="majorEastAsia" w:hAnsi="Verdana" w:cs="Segoe UI"/>
        </w:rPr>
        <w:t>(Risk score: 2)</w:t>
      </w:r>
      <w:r w:rsidR="001311CD" w:rsidRPr="00E72735">
        <w:rPr>
          <w:rStyle w:val="Emphasis"/>
          <w:rFonts w:ascii="Verdana" w:eastAsiaTheme="majorEastAsia" w:hAnsi="Verdana" w:cs="Segoe UI"/>
        </w:rPr>
        <w:t xml:space="preserve"> </w:t>
      </w:r>
      <w:r w:rsidR="00E9537B" w:rsidRPr="00E72735">
        <w:rPr>
          <w:rStyle w:val="Emphasis"/>
          <w:rFonts w:ascii="Verdana" w:eastAsiaTheme="majorEastAsia" w:hAnsi="Verdana" w:cs="Segoe UI"/>
        </w:rPr>
        <w:t xml:space="preserve">                                                                                                                            </w:t>
      </w:r>
      <w:r w:rsidR="001311CD" w:rsidRPr="00E72735">
        <w:rPr>
          <w:rStyle w:val="Emphasis"/>
          <w:rFonts w:ascii="Verdana" w:eastAsiaTheme="majorEastAsia" w:hAnsi="Verdana" w:cs="Segoe UI"/>
        </w:rPr>
        <w:t xml:space="preserve"> </w:t>
      </w:r>
      <w:r w:rsidR="00E9537B" w:rsidRPr="00E72735">
        <w:rPr>
          <w:rFonts w:ascii="Verdana" w:hAnsi="Verdana"/>
          <w:b/>
          <w:bCs/>
          <w:color w:val="153D63" w:themeColor="text2" w:themeTint="E6"/>
        </w:rPr>
        <w:t>Impact Level: Assurance</w:t>
      </w:r>
    </w:p>
    <w:p w14:paraId="338512C0" w14:textId="77777777" w:rsidR="009115B6" w:rsidRPr="00FE5A11" w:rsidRDefault="009115B6" w:rsidP="009115B6">
      <w:pPr>
        <w:spacing w:before="100" w:beforeAutospacing="1" w:after="100" w:afterAutospacing="1" w:line="240" w:lineRule="auto"/>
        <w:rPr>
          <w:rFonts w:ascii="Verdana" w:hAnsi="Verdana" w:cs="Segoe UI"/>
          <w:b/>
          <w:bCs/>
          <w:color w:val="0F4761"/>
          <w:sz w:val="24"/>
          <w:szCs w:val="24"/>
        </w:rPr>
      </w:pPr>
      <w:r w:rsidRPr="00FE5A11">
        <w:rPr>
          <w:rFonts w:ascii="Verdana" w:hAnsi="Verdana" w:cs="Segoe UI"/>
          <w:b/>
          <w:bCs/>
          <w:color w:val="0F4761"/>
          <w:sz w:val="24"/>
          <w:szCs w:val="24"/>
        </w:rPr>
        <w:t>Haematology</w:t>
      </w:r>
    </w:p>
    <w:p w14:paraId="6C9DAEAB" w14:textId="0C6C9713" w:rsidR="00E9537B" w:rsidRPr="00E72735" w:rsidRDefault="009115B6" w:rsidP="00E9537B">
      <w:pPr>
        <w:rPr>
          <w:rFonts w:ascii="Verdana" w:hAnsi="Verdana"/>
          <w:color w:val="153D63" w:themeColor="text2" w:themeTint="E6"/>
        </w:rPr>
      </w:pPr>
      <w:r w:rsidRPr="00E72735">
        <w:rPr>
          <w:rFonts w:ascii="Verdana" w:hAnsi="Verdana" w:cs="Segoe UI"/>
          <w:color w:val="0F4761"/>
        </w:rPr>
        <w:t xml:space="preserve">Anticoagulation for Thrombosis Prevention in Multiple Myeloma. </w:t>
      </w:r>
      <w:r w:rsidR="009848FD" w:rsidRPr="00E72735">
        <w:rPr>
          <w:rFonts w:ascii="Verdana" w:hAnsi="Verdana" w:cs="Segoe UI"/>
          <w:color w:val="0F4761"/>
        </w:rPr>
        <w:t>P</w:t>
      </w:r>
      <w:r w:rsidRPr="00E72735">
        <w:rPr>
          <w:rFonts w:ascii="Verdana" w:hAnsi="Verdana" w:cs="Segoe UI"/>
        </w:rPr>
        <w:t xml:space="preserve">rescribing was fully compliant with national guidance, with no adverse events observed. This audit provides strong assurance while awaiting national benchmarking outcomes. </w:t>
      </w:r>
      <w:r w:rsidRPr="00E72735">
        <w:rPr>
          <w:rStyle w:val="Emphasis"/>
          <w:rFonts w:ascii="Verdana" w:eastAsiaTheme="majorEastAsia" w:hAnsi="Verdana" w:cs="Segoe UI"/>
        </w:rPr>
        <w:t>(Risk score: 1)</w:t>
      </w:r>
      <w:r w:rsidR="00E9537B" w:rsidRPr="00E72735">
        <w:rPr>
          <w:rStyle w:val="Emphasis"/>
          <w:rFonts w:ascii="Verdana" w:eastAsiaTheme="majorEastAsia" w:hAnsi="Verdana" w:cs="Segoe UI"/>
        </w:rPr>
        <w:t xml:space="preserve">                                                                </w:t>
      </w:r>
      <w:r w:rsidR="00E72735">
        <w:rPr>
          <w:rStyle w:val="Emphasis"/>
          <w:rFonts w:ascii="Verdana" w:eastAsiaTheme="majorEastAsia" w:hAnsi="Verdana" w:cs="Segoe UI"/>
        </w:rPr>
        <w:t xml:space="preserve">                             </w:t>
      </w:r>
      <w:r w:rsidR="00E9537B" w:rsidRPr="00E72735">
        <w:rPr>
          <w:rStyle w:val="Emphasis"/>
          <w:rFonts w:ascii="Verdana" w:eastAsiaTheme="majorEastAsia" w:hAnsi="Verdana" w:cs="Segoe UI"/>
        </w:rPr>
        <w:t xml:space="preserve">  </w:t>
      </w:r>
      <w:r w:rsidR="00E9537B" w:rsidRPr="00E72735">
        <w:rPr>
          <w:rFonts w:ascii="Verdana" w:hAnsi="Verdana"/>
          <w:b/>
          <w:bCs/>
          <w:color w:val="153D63" w:themeColor="text2" w:themeTint="E6"/>
        </w:rPr>
        <w:t>Impact Level: Assurance</w:t>
      </w:r>
    </w:p>
    <w:p w14:paraId="45E95FCE" w14:textId="77777777" w:rsidR="009115B6" w:rsidRPr="000B544E" w:rsidRDefault="009115B6" w:rsidP="009115B6">
      <w:pPr>
        <w:spacing w:before="100" w:beforeAutospacing="1" w:after="100" w:afterAutospacing="1" w:line="240" w:lineRule="auto"/>
        <w:rPr>
          <w:rFonts w:ascii="Verdana" w:hAnsi="Verdana" w:cs="Segoe UI"/>
          <w:b/>
          <w:bCs/>
          <w:color w:val="0F4761"/>
          <w:sz w:val="24"/>
          <w:szCs w:val="24"/>
        </w:rPr>
      </w:pPr>
      <w:r w:rsidRPr="000B544E">
        <w:rPr>
          <w:rFonts w:ascii="Verdana" w:hAnsi="Verdana" w:cs="Segoe UI"/>
          <w:b/>
          <w:bCs/>
          <w:color w:val="0F4761"/>
          <w:sz w:val="24"/>
          <w:szCs w:val="24"/>
        </w:rPr>
        <w:t>Obstetrics</w:t>
      </w:r>
    </w:p>
    <w:p w14:paraId="4343B918" w14:textId="0B5E0E9F" w:rsidR="00E9537B" w:rsidRPr="00E72735" w:rsidRDefault="009115B6" w:rsidP="00E9537B">
      <w:pPr>
        <w:rPr>
          <w:rFonts w:ascii="Verdana" w:hAnsi="Verdana"/>
          <w:color w:val="153D63" w:themeColor="text2" w:themeTint="E6"/>
        </w:rPr>
      </w:pPr>
      <w:r w:rsidRPr="00E72735">
        <w:rPr>
          <w:rFonts w:ascii="Verdana" w:hAnsi="Verdana" w:cs="Segoe UI"/>
          <w:color w:val="0F4761"/>
        </w:rPr>
        <w:t xml:space="preserve">Intelligent Intermittent Auscultation (IIA).  </w:t>
      </w:r>
      <w:r w:rsidRPr="00E72735">
        <w:rPr>
          <w:rFonts w:ascii="Verdana" w:hAnsi="Verdana" w:cs="Segoe UI"/>
        </w:rPr>
        <w:t>Good initial assessment and appropriate use of midwifery</w:t>
      </w:r>
      <w:r w:rsidRPr="00E72735">
        <w:rPr>
          <w:rFonts w:ascii="Verdana" w:hAnsi="Verdana" w:cs="Segoe UI"/>
        </w:rPr>
        <w:noBreakHyphen/>
        <w:t xml:space="preserve">led pathways. Incomplete documentation of ongoing gateway assessments and monitoring represents </w:t>
      </w:r>
      <w:r w:rsidRPr="00E72735">
        <w:rPr>
          <w:rStyle w:val="Strong"/>
          <w:rFonts w:ascii="Verdana" w:eastAsiaTheme="majorEastAsia" w:hAnsi="Verdana" w:cs="Segoe UI"/>
          <w:b w:val="0"/>
          <w:bCs w:val="0"/>
        </w:rPr>
        <w:t>moderate residual risk</w:t>
      </w:r>
      <w:r w:rsidRPr="00E72735">
        <w:rPr>
          <w:rFonts w:ascii="Verdana" w:hAnsi="Verdana" w:cs="Segoe UI"/>
        </w:rPr>
        <w:t>, requiring re</w:t>
      </w:r>
      <w:r w:rsidRPr="00E72735">
        <w:rPr>
          <w:rFonts w:ascii="Verdana" w:hAnsi="Verdana" w:cs="Segoe UI"/>
        </w:rPr>
        <w:noBreakHyphen/>
        <w:t xml:space="preserve">audit. </w:t>
      </w:r>
      <w:r w:rsidRPr="00E72735">
        <w:rPr>
          <w:rStyle w:val="Emphasis"/>
          <w:rFonts w:ascii="Verdana" w:eastAsiaTheme="majorEastAsia" w:hAnsi="Verdana" w:cs="Segoe UI"/>
        </w:rPr>
        <w:t>(Risk score: 12)</w:t>
      </w:r>
      <w:r w:rsidR="00E9537B" w:rsidRPr="00E72735">
        <w:rPr>
          <w:rStyle w:val="Emphasis"/>
          <w:rFonts w:ascii="Verdana" w:eastAsiaTheme="majorEastAsia" w:hAnsi="Verdana" w:cs="Segoe UI"/>
        </w:rPr>
        <w:t xml:space="preserve">                                                                  </w:t>
      </w:r>
      <w:r w:rsidR="00E9537B" w:rsidRPr="00E72735">
        <w:rPr>
          <w:rFonts w:ascii="Verdana" w:hAnsi="Verdana"/>
          <w:b/>
          <w:bCs/>
          <w:color w:val="153D63" w:themeColor="text2" w:themeTint="E6"/>
        </w:rPr>
        <w:t>Impact Level: Medium</w:t>
      </w:r>
      <w:r w:rsidR="00E9537B" w:rsidRPr="00E72735">
        <w:rPr>
          <w:rFonts w:ascii="Verdana" w:hAnsi="Verdana"/>
          <w:color w:val="153D63" w:themeColor="text2" w:themeTint="E6"/>
        </w:rPr>
        <w:br/>
      </w:r>
      <w:r w:rsidR="00E9537B" w:rsidRPr="00E72735">
        <w:rPr>
          <w:rFonts w:ascii="Verdana" w:hAnsi="Verdana"/>
          <w:b/>
          <w:bCs/>
          <w:color w:val="153D63" w:themeColor="text2" w:themeTint="E6"/>
        </w:rPr>
        <w:t>So What:</w:t>
      </w:r>
      <w:r w:rsidR="00E9537B" w:rsidRPr="00E72735">
        <w:rPr>
          <w:rFonts w:ascii="Verdana" w:hAnsi="Verdana"/>
          <w:color w:val="153D63" w:themeColor="text2" w:themeTint="E6"/>
        </w:rPr>
        <w:t xml:space="preserve"> Identifies documentation gaps that may impact ongoing monitoring and care quality.</w:t>
      </w:r>
    </w:p>
    <w:p w14:paraId="33CC6740" w14:textId="3A70F20C" w:rsidR="00E9537B" w:rsidRPr="00E72735" w:rsidRDefault="009115B6" w:rsidP="00E9537B">
      <w:pPr>
        <w:rPr>
          <w:rFonts w:ascii="Verdana" w:hAnsi="Verdana"/>
          <w:color w:val="153D63" w:themeColor="text2" w:themeTint="E6"/>
        </w:rPr>
      </w:pPr>
      <w:r w:rsidRPr="00E72735">
        <w:rPr>
          <w:rFonts w:ascii="Verdana" w:hAnsi="Verdana" w:cs="Segoe UI"/>
          <w:color w:val="0F4761"/>
        </w:rPr>
        <w:t>Antenatal C</w:t>
      </w:r>
      <w:r w:rsidR="009848FD" w:rsidRPr="00E72735">
        <w:rPr>
          <w:rFonts w:ascii="Verdana" w:hAnsi="Verdana" w:cs="Segoe UI"/>
          <w:color w:val="0F4761"/>
        </w:rPr>
        <w:t xml:space="preserve">ardiotocography (CTG) </w:t>
      </w:r>
      <w:r w:rsidRPr="00E72735">
        <w:rPr>
          <w:rFonts w:ascii="Verdana" w:hAnsi="Verdana" w:cs="Segoe UI"/>
          <w:color w:val="0F4761"/>
        </w:rPr>
        <w:t>Classification and Escalation</w:t>
      </w:r>
      <w:r w:rsidRPr="00E72735">
        <w:rPr>
          <w:rFonts w:ascii="Verdana" w:hAnsi="Verdana" w:cs="Segoe UI"/>
        </w:rPr>
        <w:t xml:space="preserve">.  The audit demonstrated good classification and escalation overall. However, low compliance with hourly documentation and Fresh Eyes assessments resulted in </w:t>
      </w:r>
      <w:r w:rsidRPr="00E72735">
        <w:rPr>
          <w:rStyle w:val="Strong"/>
          <w:rFonts w:ascii="Verdana" w:eastAsiaTheme="majorEastAsia" w:hAnsi="Verdana" w:cs="Segoe UI"/>
          <w:b w:val="0"/>
          <w:bCs w:val="0"/>
        </w:rPr>
        <w:t>moderate residual risk</w:t>
      </w:r>
      <w:r w:rsidRPr="00E72735">
        <w:rPr>
          <w:rFonts w:ascii="Verdana" w:hAnsi="Verdana" w:cs="Segoe UI"/>
        </w:rPr>
        <w:t xml:space="preserve"> and re</w:t>
      </w:r>
      <w:r w:rsidRPr="00E72735">
        <w:rPr>
          <w:rFonts w:ascii="Verdana" w:hAnsi="Verdana" w:cs="Segoe UI"/>
        </w:rPr>
        <w:noBreakHyphen/>
        <w:t xml:space="preserve">audit requirement. </w:t>
      </w:r>
      <w:r w:rsidRPr="00E72735">
        <w:rPr>
          <w:rStyle w:val="Emphasis"/>
          <w:rFonts w:ascii="Verdana" w:eastAsiaTheme="majorEastAsia" w:hAnsi="Verdana" w:cs="Segoe UI"/>
        </w:rPr>
        <w:t>(Risk score: 12)</w:t>
      </w:r>
      <w:r w:rsidR="00E9537B" w:rsidRPr="00E72735">
        <w:rPr>
          <w:rStyle w:val="Emphasis"/>
          <w:rFonts w:ascii="Verdana" w:eastAsiaTheme="majorEastAsia" w:hAnsi="Verdana" w:cs="Segoe UI"/>
        </w:rPr>
        <w:t xml:space="preserve">                                                                                                                </w:t>
      </w:r>
      <w:r w:rsidR="00E9537B" w:rsidRPr="00E72735">
        <w:rPr>
          <w:rFonts w:ascii="Verdana" w:hAnsi="Verdana"/>
          <w:b/>
          <w:bCs/>
          <w:color w:val="153D63" w:themeColor="text2" w:themeTint="E6"/>
        </w:rPr>
        <w:t>Impact Level: Medium</w:t>
      </w:r>
      <w:r w:rsidR="00E9537B" w:rsidRPr="00E72735">
        <w:rPr>
          <w:rFonts w:ascii="Verdana" w:hAnsi="Verdana"/>
          <w:color w:val="153D63" w:themeColor="text2" w:themeTint="E6"/>
        </w:rPr>
        <w:br/>
      </w:r>
      <w:r w:rsidR="00E9537B" w:rsidRPr="00E72735">
        <w:rPr>
          <w:rFonts w:ascii="Verdana" w:hAnsi="Verdana"/>
          <w:b/>
          <w:bCs/>
          <w:color w:val="153D63" w:themeColor="text2" w:themeTint="E6"/>
        </w:rPr>
        <w:t>So What:</w:t>
      </w:r>
      <w:r w:rsidR="00E9537B" w:rsidRPr="00E72735">
        <w:rPr>
          <w:rFonts w:ascii="Verdana" w:hAnsi="Verdana"/>
          <w:color w:val="153D63" w:themeColor="text2" w:themeTint="E6"/>
        </w:rPr>
        <w:t xml:space="preserve"> Highlights gaps in monitoring compliance that may impact patient safety.</w:t>
      </w:r>
    </w:p>
    <w:p w14:paraId="5873DFCE" w14:textId="3235526F" w:rsidR="00E9537B" w:rsidRPr="00E72735" w:rsidRDefault="009115B6" w:rsidP="00E9537B">
      <w:pPr>
        <w:rPr>
          <w:rFonts w:ascii="Verdana" w:hAnsi="Verdana"/>
          <w:color w:val="153D63" w:themeColor="text2" w:themeTint="E6"/>
        </w:rPr>
      </w:pPr>
      <w:r w:rsidRPr="00E72735">
        <w:rPr>
          <w:rFonts w:ascii="Verdana" w:hAnsi="Verdana" w:cs="Segoe UI"/>
          <w:color w:val="0F4761"/>
        </w:rPr>
        <w:t>Intrapartum C</w:t>
      </w:r>
      <w:r w:rsidR="009848FD" w:rsidRPr="00E72735">
        <w:rPr>
          <w:rFonts w:ascii="Verdana" w:hAnsi="Verdana" w:cs="Segoe UI"/>
          <w:color w:val="0F4761"/>
        </w:rPr>
        <w:t>ardiotocography (CTG)</w:t>
      </w:r>
      <w:r w:rsidRPr="00E72735">
        <w:rPr>
          <w:rFonts w:ascii="Verdana" w:hAnsi="Verdana" w:cs="Segoe UI"/>
          <w:color w:val="0F4761"/>
        </w:rPr>
        <w:t xml:space="preserve"> Classification and Escalation (“Fresh Eyes”).</w:t>
      </w:r>
      <w:r w:rsidRPr="00E72735">
        <w:rPr>
          <w:rFonts w:ascii="Verdana" w:hAnsi="Verdana" w:cs="Segoe UI"/>
        </w:rPr>
        <w:t xml:space="preserve">  Good escalation of concerns but poor compliance with hourly CTG documentation and Fresh Eyes principles. These gaps represent a </w:t>
      </w:r>
      <w:r w:rsidRPr="00E72735">
        <w:rPr>
          <w:rStyle w:val="Strong"/>
          <w:rFonts w:ascii="Verdana" w:eastAsiaTheme="majorEastAsia" w:hAnsi="Verdana" w:cs="Segoe UI"/>
          <w:b w:val="0"/>
          <w:bCs w:val="0"/>
        </w:rPr>
        <w:t>moderate to high risk</w:t>
      </w:r>
      <w:r w:rsidRPr="00E72735">
        <w:rPr>
          <w:rFonts w:ascii="Verdana" w:hAnsi="Verdana" w:cs="Segoe UI"/>
        </w:rPr>
        <w:t xml:space="preserve"> and warrant continued action and re</w:t>
      </w:r>
      <w:r w:rsidRPr="00E72735">
        <w:rPr>
          <w:rFonts w:ascii="Verdana" w:hAnsi="Verdana" w:cs="Segoe UI"/>
        </w:rPr>
        <w:noBreakHyphen/>
        <w:t xml:space="preserve">audit. </w:t>
      </w:r>
      <w:r w:rsidRPr="00E72735">
        <w:rPr>
          <w:rStyle w:val="Emphasis"/>
          <w:rFonts w:ascii="Verdana" w:eastAsiaTheme="majorEastAsia" w:hAnsi="Verdana" w:cs="Segoe UI"/>
        </w:rPr>
        <w:t>(Risk score: 12)</w:t>
      </w:r>
      <w:r w:rsidR="00E9537B" w:rsidRPr="00E72735">
        <w:rPr>
          <w:rStyle w:val="Emphasis"/>
          <w:rFonts w:ascii="Verdana" w:eastAsiaTheme="majorEastAsia" w:hAnsi="Verdana" w:cs="Segoe UI"/>
        </w:rPr>
        <w:t xml:space="preserve">                                                                                                                </w:t>
      </w:r>
      <w:r w:rsidR="00E9537B" w:rsidRPr="00E72735">
        <w:rPr>
          <w:rFonts w:ascii="Verdana" w:hAnsi="Verdana"/>
          <w:b/>
          <w:bCs/>
          <w:color w:val="153D63" w:themeColor="text2" w:themeTint="E6"/>
        </w:rPr>
        <w:t>Impact Level: Strong</w:t>
      </w:r>
      <w:r w:rsidR="00E9537B" w:rsidRPr="00E72735">
        <w:rPr>
          <w:rFonts w:ascii="Verdana" w:hAnsi="Verdana"/>
          <w:color w:val="153D63" w:themeColor="text2" w:themeTint="E6"/>
        </w:rPr>
        <w:br/>
      </w:r>
      <w:r w:rsidR="00E9537B" w:rsidRPr="00E72735">
        <w:rPr>
          <w:rFonts w:ascii="Verdana" w:hAnsi="Verdana"/>
          <w:b/>
          <w:bCs/>
          <w:color w:val="153D63" w:themeColor="text2" w:themeTint="E6"/>
        </w:rPr>
        <w:t>So What:</w:t>
      </w:r>
      <w:r w:rsidR="00E9537B" w:rsidRPr="00E72735">
        <w:rPr>
          <w:rFonts w:ascii="Verdana" w:hAnsi="Verdana"/>
          <w:color w:val="153D63" w:themeColor="text2" w:themeTint="E6"/>
        </w:rPr>
        <w:t xml:space="preserve"> Identifies ongoing monitoring failures representing a significant patient safety risk.</w:t>
      </w:r>
    </w:p>
    <w:p w14:paraId="4AC79FC9" w14:textId="77777777" w:rsidR="009115B6" w:rsidRPr="000B544E" w:rsidRDefault="009115B6" w:rsidP="009115B6">
      <w:pPr>
        <w:spacing w:before="100" w:beforeAutospacing="1" w:after="100" w:afterAutospacing="1" w:line="240" w:lineRule="auto"/>
        <w:rPr>
          <w:rFonts w:ascii="Verdana" w:hAnsi="Verdana" w:cs="Segoe UI"/>
          <w:b/>
          <w:bCs/>
          <w:color w:val="0F4761"/>
          <w:sz w:val="24"/>
          <w:szCs w:val="24"/>
        </w:rPr>
      </w:pPr>
      <w:r w:rsidRPr="000B544E">
        <w:rPr>
          <w:rFonts w:ascii="Verdana" w:hAnsi="Verdana" w:cs="Segoe UI"/>
          <w:b/>
          <w:bCs/>
          <w:color w:val="0F4761"/>
          <w:sz w:val="24"/>
          <w:szCs w:val="24"/>
        </w:rPr>
        <w:t>Obstetrics and Gynaecology</w:t>
      </w:r>
    </w:p>
    <w:p w14:paraId="5906F56D" w14:textId="4BA341E7" w:rsidR="00E9537B" w:rsidRPr="00E72735" w:rsidRDefault="009115B6" w:rsidP="00E9537B">
      <w:pPr>
        <w:rPr>
          <w:rFonts w:ascii="Verdana" w:hAnsi="Verdana"/>
          <w:color w:val="153D63" w:themeColor="text2" w:themeTint="E6"/>
        </w:rPr>
      </w:pPr>
      <w:r w:rsidRPr="00E72735">
        <w:rPr>
          <w:rFonts w:ascii="Verdana" w:hAnsi="Verdana" w:cs="Segoe UI"/>
          <w:color w:val="0F4761"/>
        </w:rPr>
        <w:t>Handover on C</w:t>
      </w:r>
      <w:r w:rsidR="009848FD" w:rsidRPr="00E72735">
        <w:rPr>
          <w:rFonts w:ascii="Verdana" w:hAnsi="Verdana" w:cs="Segoe UI"/>
          <w:color w:val="0F4761"/>
        </w:rPr>
        <w:t xml:space="preserve">entral </w:t>
      </w:r>
      <w:r w:rsidRPr="00E72735">
        <w:rPr>
          <w:rFonts w:ascii="Verdana" w:hAnsi="Verdana" w:cs="Segoe UI"/>
          <w:color w:val="0F4761"/>
        </w:rPr>
        <w:t>D</w:t>
      </w:r>
      <w:r w:rsidR="009848FD" w:rsidRPr="00E72735">
        <w:rPr>
          <w:rFonts w:ascii="Verdana" w:hAnsi="Verdana" w:cs="Segoe UI"/>
          <w:color w:val="0F4761"/>
        </w:rPr>
        <w:t xml:space="preserve">elivery </w:t>
      </w:r>
      <w:r w:rsidRPr="00E72735">
        <w:rPr>
          <w:rFonts w:ascii="Verdana" w:hAnsi="Verdana" w:cs="Segoe UI"/>
          <w:color w:val="0F4761"/>
        </w:rPr>
        <w:t>S</w:t>
      </w:r>
      <w:r w:rsidR="009848FD" w:rsidRPr="00E72735">
        <w:rPr>
          <w:rFonts w:ascii="Verdana" w:hAnsi="Verdana" w:cs="Segoe UI"/>
          <w:color w:val="0F4761"/>
        </w:rPr>
        <w:t>uite</w:t>
      </w:r>
      <w:r w:rsidRPr="00E72735">
        <w:rPr>
          <w:rFonts w:ascii="Verdana" w:hAnsi="Verdana" w:cs="Segoe UI"/>
          <w:color w:val="0F4761"/>
        </w:rPr>
        <w:t xml:space="preserve"> (Obstetrics &amp; Gynaecology). </w:t>
      </w:r>
      <w:r w:rsidRPr="00E72735">
        <w:rPr>
          <w:rFonts w:ascii="Verdana" w:hAnsi="Verdana" w:cs="Segoe UI"/>
        </w:rPr>
        <w:t xml:space="preserve"> High standards of clinical handover, including successful incorporation of antenatal ward handover. Ongoing focus is required to maintain these standards, though residual risk remains low. </w:t>
      </w:r>
      <w:r w:rsidRPr="00E72735">
        <w:rPr>
          <w:rStyle w:val="Emphasis"/>
          <w:rFonts w:ascii="Verdana" w:eastAsiaTheme="majorEastAsia" w:hAnsi="Verdana" w:cs="Segoe UI"/>
        </w:rPr>
        <w:t>(Risk score: 4)</w:t>
      </w:r>
      <w:r w:rsidR="00E9537B" w:rsidRPr="00E72735">
        <w:rPr>
          <w:rStyle w:val="Emphasis"/>
          <w:rFonts w:ascii="Verdana" w:eastAsiaTheme="majorEastAsia" w:hAnsi="Verdana" w:cs="Segoe UI"/>
        </w:rPr>
        <w:t xml:space="preserve">                               </w:t>
      </w:r>
      <w:r w:rsidR="00E72735">
        <w:rPr>
          <w:rStyle w:val="Emphasis"/>
          <w:rFonts w:ascii="Verdana" w:eastAsiaTheme="majorEastAsia" w:hAnsi="Verdana" w:cs="Segoe UI"/>
        </w:rPr>
        <w:t xml:space="preserve">                              </w:t>
      </w:r>
      <w:r w:rsidR="00E9537B" w:rsidRPr="00E72735">
        <w:rPr>
          <w:rStyle w:val="Emphasis"/>
          <w:rFonts w:ascii="Verdana" w:eastAsiaTheme="majorEastAsia" w:hAnsi="Verdana" w:cs="Segoe UI"/>
        </w:rPr>
        <w:t xml:space="preserve">   </w:t>
      </w:r>
      <w:r w:rsidR="00E9537B" w:rsidRPr="00E72735">
        <w:rPr>
          <w:rFonts w:ascii="Verdana" w:hAnsi="Verdana"/>
          <w:b/>
          <w:bCs/>
          <w:color w:val="153D63" w:themeColor="text2" w:themeTint="E6"/>
        </w:rPr>
        <w:t>Impact Level: Assurance</w:t>
      </w:r>
    </w:p>
    <w:p w14:paraId="1314B475" w14:textId="77777777" w:rsidR="009115B6" w:rsidRPr="000B544E" w:rsidRDefault="009115B6" w:rsidP="009115B6">
      <w:pPr>
        <w:spacing w:before="100" w:beforeAutospacing="1" w:after="100" w:afterAutospacing="1" w:line="240" w:lineRule="auto"/>
        <w:rPr>
          <w:rFonts w:ascii="Verdana" w:hAnsi="Verdana" w:cs="Segoe UI"/>
          <w:b/>
          <w:bCs/>
          <w:color w:val="0F4761"/>
          <w:sz w:val="24"/>
          <w:szCs w:val="24"/>
        </w:rPr>
      </w:pPr>
      <w:r w:rsidRPr="000B544E">
        <w:rPr>
          <w:rFonts w:ascii="Verdana" w:hAnsi="Verdana" w:cs="Segoe UI"/>
          <w:b/>
          <w:bCs/>
          <w:color w:val="0F4761"/>
          <w:sz w:val="24"/>
          <w:szCs w:val="24"/>
        </w:rPr>
        <w:t>Oncology</w:t>
      </w:r>
    </w:p>
    <w:p w14:paraId="2FDCA4A8" w14:textId="27D1395C" w:rsidR="00E9537B" w:rsidRPr="00E72735" w:rsidRDefault="009848FD" w:rsidP="00E9537B">
      <w:r w:rsidRPr="00E72735">
        <w:rPr>
          <w:rFonts w:ascii="Verdana" w:hAnsi="Verdana" w:cs="Segoe UI"/>
          <w:color w:val="0F4761"/>
        </w:rPr>
        <w:t>Systematic Anti-Cancer Therapy (</w:t>
      </w:r>
      <w:r w:rsidR="009115B6" w:rsidRPr="00E72735">
        <w:rPr>
          <w:rFonts w:ascii="Verdana" w:hAnsi="Verdana" w:cs="Segoe UI"/>
          <w:color w:val="0F4761"/>
        </w:rPr>
        <w:t>SACT</w:t>
      </w:r>
      <w:r w:rsidRPr="00E72735">
        <w:rPr>
          <w:rFonts w:ascii="Verdana" w:hAnsi="Verdana" w:cs="Segoe UI"/>
          <w:color w:val="0F4761"/>
        </w:rPr>
        <w:t>)</w:t>
      </w:r>
      <w:r w:rsidR="009115B6" w:rsidRPr="00E72735">
        <w:rPr>
          <w:rFonts w:ascii="Verdana" w:hAnsi="Verdana" w:cs="Segoe UI"/>
          <w:color w:val="0F4761"/>
        </w:rPr>
        <w:t xml:space="preserve"> Treatment Metrics. </w:t>
      </w:r>
      <w:r w:rsidRPr="00E72735">
        <w:rPr>
          <w:rFonts w:ascii="Verdana" w:hAnsi="Verdana" w:cs="Segoe UI"/>
        </w:rPr>
        <w:t>O</w:t>
      </w:r>
      <w:r w:rsidR="009115B6" w:rsidRPr="00E72735">
        <w:rPr>
          <w:rFonts w:ascii="Verdana" w:hAnsi="Verdana" w:cs="Segoe UI"/>
        </w:rPr>
        <w:t xml:space="preserve">ngoing audit has supported increased efficiency and secured funding for additional treatment chairs and staffing. Continued growth in activity alongside workforce constraints </w:t>
      </w:r>
      <w:r w:rsidR="009115B6" w:rsidRPr="00E72735">
        <w:rPr>
          <w:rFonts w:ascii="Verdana" w:hAnsi="Verdana" w:cs="Segoe UI"/>
        </w:rPr>
        <w:lastRenderedPageBreak/>
        <w:t xml:space="preserve">represents a </w:t>
      </w:r>
      <w:r w:rsidR="009115B6" w:rsidRPr="00E72735">
        <w:rPr>
          <w:rStyle w:val="Strong"/>
          <w:rFonts w:ascii="Verdana" w:eastAsiaTheme="majorEastAsia" w:hAnsi="Verdana" w:cs="Segoe UI"/>
          <w:b w:val="0"/>
          <w:bCs w:val="0"/>
        </w:rPr>
        <w:t>high residual risk</w:t>
      </w:r>
      <w:r w:rsidR="009115B6" w:rsidRPr="00E72735">
        <w:rPr>
          <w:rFonts w:ascii="Verdana" w:hAnsi="Verdana" w:cs="Segoe UI"/>
        </w:rPr>
        <w:t xml:space="preserve">, with actions still in progress. </w:t>
      </w:r>
      <w:r w:rsidR="009115B6" w:rsidRPr="00E72735">
        <w:rPr>
          <w:rStyle w:val="Emphasis"/>
          <w:rFonts w:ascii="Verdana" w:eastAsiaTheme="majorEastAsia" w:hAnsi="Verdana" w:cs="Segoe UI"/>
        </w:rPr>
        <w:t>(Risk score: 20)</w:t>
      </w:r>
      <w:r w:rsidR="00E9537B" w:rsidRPr="00E72735">
        <w:rPr>
          <w:rStyle w:val="Emphasis"/>
          <w:rFonts w:ascii="Verdana" w:eastAsiaTheme="majorEastAsia" w:hAnsi="Verdana" w:cs="Segoe UI"/>
        </w:rPr>
        <w:t xml:space="preserve">                                                                                                                    </w:t>
      </w:r>
      <w:r w:rsidR="00E9537B" w:rsidRPr="00E72735">
        <w:rPr>
          <w:rFonts w:ascii="Verdana" w:hAnsi="Verdana"/>
          <w:b/>
          <w:bCs/>
          <w:color w:val="153D63" w:themeColor="text2" w:themeTint="E6"/>
        </w:rPr>
        <w:t>Impact Level: Strong</w:t>
      </w:r>
      <w:r w:rsidR="00E9537B" w:rsidRPr="00E72735">
        <w:rPr>
          <w:rFonts w:ascii="Verdana" w:hAnsi="Verdana"/>
          <w:color w:val="153D63" w:themeColor="text2" w:themeTint="E6"/>
        </w:rPr>
        <w:br/>
      </w:r>
      <w:r w:rsidR="00E9537B" w:rsidRPr="00E72735">
        <w:rPr>
          <w:rFonts w:ascii="Verdana" w:hAnsi="Verdana"/>
          <w:b/>
          <w:bCs/>
          <w:color w:val="153D63" w:themeColor="text2" w:themeTint="E6"/>
        </w:rPr>
        <w:t>So What:</w:t>
      </w:r>
      <w:r w:rsidR="00E9537B" w:rsidRPr="00E72735">
        <w:rPr>
          <w:rFonts w:ascii="Verdana" w:hAnsi="Verdana"/>
          <w:color w:val="153D63" w:themeColor="text2" w:themeTint="E6"/>
        </w:rPr>
        <w:t xml:space="preserve"> Highlights capacity and workforce constraints impacting delivery of cancer treatment services.</w:t>
      </w:r>
    </w:p>
    <w:p w14:paraId="60B7FF1B" w14:textId="4FB67658" w:rsidR="00E9537B" w:rsidRPr="00E72735" w:rsidRDefault="009115B6" w:rsidP="00E9537B">
      <w:pPr>
        <w:rPr>
          <w:rFonts w:ascii="Verdana" w:hAnsi="Verdana"/>
          <w:color w:val="153D63" w:themeColor="text2" w:themeTint="E6"/>
        </w:rPr>
      </w:pPr>
      <w:r w:rsidRPr="00E72735">
        <w:rPr>
          <w:rFonts w:ascii="Verdana" w:hAnsi="Verdana" w:cs="Segoe UI"/>
          <w:color w:val="0F4761"/>
        </w:rPr>
        <w:t xml:space="preserve">Audit of Venous Thromboembolism (VTE) Rates in Patients with Pancreatic Cancer Undergoing Systematic Anti-Cancer Therapy (SACT).  </w:t>
      </w:r>
      <w:r w:rsidRPr="00E72735">
        <w:rPr>
          <w:rFonts w:ascii="Verdana" w:hAnsi="Verdana" w:cs="Segoe UI"/>
        </w:rPr>
        <w:t xml:space="preserve">VTE prophylaxis was consistently considered, with effective communication between pharmacy and clinical teams. Ongoing uncertainty regarding universal prophylaxis benefit limits full assurance, though immediate risk remains moderate. </w:t>
      </w:r>
      <w:r w:rsidRPr="00E72735">
        <w:rPr>
          <w:rStyle w:val="Emphasis"/>
          <w:rFonts w:ascii="Verdana" w:eastAsiaTheme="majorEastAsia" w:hAnsi="Verdana" w:cs="Segoe UI"/>
        </w:rPr>
        <w:t>(Risk score: 9)</w:t>
      </w:r>
      <w:r w:rsidR="00E9537B" w:rsidRPr="00E72735">
        <w:rPr>
          <w:rStyle w:val="Emphasis"/>
          <w:rFonts w:ascii="Verdana" w:eastAsiaTheme="majorEastAsia" w:hAnsi="Verdana" w:cs="Segoe UI"/>
        </w:rPr>
        <w:t xml:space="preserve">                                                                                                      </w:t>
      </w:r>
      <w:r w:rsidR="00E9537B" w:rsidRPr="00E72735">
        <w:rPr>
          <w:rFonts w:ascii="Verdana" w:hAnsi="Verdana"/>
          <w:b/>
          <w:bCs/>
          <w:color w:val="153D63" w:themeColor="text2" w:themeTint="E6"/>
        </w:rPr>
        <w:t>Impact Level: Medium</w:t>
      </w:r>
    </w:p>
    <w:p w14:paraId="491A25F8" w14:textId="3611B12A" w:rsidR="00444170" w:rsidRPr="00E72735" w:rsidRDefault="009115B6" w:rsidP="00444170">
      <w:pPr>
        <w:rPr>
          <w:rFonts w:ascii="Verdana" w:hAnsi="Verdana"/>
          <w:color w:val="153D63" w:themeColor="text2" w:themeTint="E6"/>
        </w:rPr>
      </w:pPr>
      <w:r w:rsidRPr="00E72735">
        <w:rPr>
          <w:rFonts w:ascii="Verdana" w:hAnsi="Verdana" w:cs="Segoe UI"/>
          <w:color w:val="0F4761"/>
        </w:rPr>
        <w:t>Rural Access to Neuro</w:t>
      </w:r>
      <w:r w:rsidRPr="00E72735">
        <w:rPr>
          <w:rFonts w:ascii="Verdana" w:hAnsi="Verdana" w:cs="Segoe UI"/>
          <w:color w:val="0F4761"/>
        </w:rPr>
        <w:noBreakHyphen/>
        <w:t>Oncology Services.</w:t>
      </w:r>
      <w:r w:rsidRPr="00E72735">
        <w:rPr>
          <w:rFonts w:ascii="Verdana" w:hAnsi="Verdana" w:cs="Segoe UI"/>
        </w:rPr>
        <w:t xml:space="preserve">  The audit demonstrated high patient satisfaction with telemedicine and flexible consultation models, supporting equitable access for rural populations. No significant risks were identified, and assurance was high. </w:t>
      </w:r>
      <w:r w:rsidRPr="00E72735">
        <w:rPr>
          <w:rStyle w:val="Emphasis"/>
          <w:rFonts w:ascii="Verdana" w:eastAsiaTheme="majorEastAsia" w:hAnsi="Verdana" w:cs="Segoe UI"/>
        </w:rPr>
        <w:t>(Risk score: 1)</w:t>
      </w:r>
      <w:r w:rsidR="00444170" w:rsidRPr="00E72735">
        <w:rPr>
          <w:rStyle w:val="Emphasis"/>
          <w:rFonts w:ascii="Verdana" w:eastAsiaTheme="majorEastAsia" w:hAnsi="Verdana" w:cs="Segoe UI"/>
        </w:rPr>
        <w:t xml:space="preserve">                                                      </w:t>
      </w:r>
      <w:r w:rsidR="00E72735">
        <w:rPr>
          <w:rStyle w:val="Emphasis"/>
          <w:rFonts w:ascii="Verdana" w:eastAsiaTheme="majorEastAsia" w:hAnsi="Verdana" w:cs="Segoe UI"/>
        </w:rPr>
        <w:t xml:space="preserve">  </w:t>
      </w:r>
      <w:r w:rsidR="00444170" w:rsidRPr="00E72735">
        <w:rPr>
          <w:rFonts w:ascii="Verdana" w:hAnsi="Verdana"/>
          <w:b/>
          <w:bCs/>
          <w:color w:val="153D63" w:themeColor="text2" w:themeTint="E6"/>
        </w:rPr>
        <w:t>Impact Level: Assurance</w:t>
      </w:r>
    </w:p>
    <w:p w14:paraId="7618A94E" w14:textId="1422F614" w:rsidR="00444170" w:rsidRPr="00E72735" w:rsidRDefault="009115B6" w:rsidP="00444170">
      <w:pPr>
        <w:rPr>
          <w:rFonts w:ascii="Verdana" w:hAnsi="Verdana"/>
          <w:color w:val="153D63" w:themeColor="text2" w:themeTint="E6"/>
        </w:rPr>
      </w:pPr>
      <w:r w:rsidRPr="00E72735">
        <w:rPr>
          <w:rFonts w:ascii="Verdana" w:hAnsi="Verdana" w:cs="Segoe UI"/>
          <w:color w:val="0F4761"/>
        </w:rPr>
        <w:t xml:space="preserve">Management of Neutropenic Sepsis.  </w:t>
      </w:r>
      <w:r w:rsidRPr="00E72735">
        <w:rPr>
          <w:rFonts w:ascii="Verdana" w:hAnsi="Verdana" w:cs="Segoe UI"/>
        </w:rPr>
        <w:t>Timely observation recording but variable compliance with antibiotic administration timeframes. Given the high</w:t>
      </w:r>
      <w:r w:rsidRPr="00E72735">
        <w:rPr>
          <w:rFonts w:ascii="Verdana" w:hAnsi="Verdana" w:cs="Segoe UI"/>
        </w:rPr>
        <w:noBreakHyphen/>
        <w:t xml:space="preserve">risk nature of neutropenic sepsis, this represents a </w:t>
      </w:r>
      <w:r w:rsidRPr="00E72735">
        <w:rPr>
          <w:rStyle w:val="Strong"/>
          <w:rFonts w:ascii="Verdana" w:hAnsi="Verdana" w:cs="Segoe UI"/>
          <w:b w:val="0"/>
          <w:bCs w:val="0"/>
        </w:rPr>
        <w:t>significant residual risk</w:t>
      </w:r>
      <w:r w:rsidRPr="00E72735">
        <w:rPr>
          <w:rFonts w:ascii="Verdana" w:hAnsi="Verdana" w:cs="Segoe UI"/>
        </w:rPr>
        <w:t xml:space="preserve"> despite good recognition. </w:t>
      </w:r>
      <w:r w:rsidRPr="00E72735">
        <w:rPr>
          <w:rStyle w:val="Emphasis"/>
          <w:rFonts w:ascii="Verdana" w:hAnsi="Verdana" w:cs="Segoe UI"/>
        </w:rPr>
        <w:t>(Risk score: 20)</w:t>
      </w:r>
      <w:r w:rsidR="00444170" w:rsidRPr="00E72735">
        <w:rPr>
          <w:rStyle w:val="Emphasis"/>
          <w:rFonts w:ascii="Verdana" w:hAnsi="Verdana" w:cs="Segoe UI"/>
        </w:rPr>
        <w:t xml:space="preserve">                                                    </w:t>
      </w:r>
      <w:r w:rsidR="00E72735">
        <w:rPr>
          <w:rStyle w:val="Emphasis"/>
          <w:rFonts w:ascii="Verdana" w:hAnsi="Verdana" w:cs="Segoe UI"/>
        </w:rPr>
        <w:t xml:space="preserve">                        </w:t>
      </w:r>
      <w:r w:rsidR="00444170" w:rsidRPr="00E72735">
        <w:rPr>
          <w:rStyle w:val="Emphasis"/>
          <w:rFonts w:ascii="Verdana" w:hAnsi="Verdana" w:cs="Segoe UI"/>
        </w:rPr>
        <w:t xml:space="preserve"> </w:t>
      </w:r>
      <w:r w:rsidR="00444170" w:rsidRPr="00E72735">
        <w:rPr>
          <w:rFonts w:ascii="Verdana" w:hAnsi="Verdana"/>
          <w:b/>
          <w:bCs/>
          <w:color w:val="153D63" w:themeColor="text2" w:themeTint="E6"/>
        </w:rPr>
        <w:t>Impact Level: Strong</w:t>
      </w:r>
      <w:r w:rsidR="00444170" w:rsidRPr="00E72735">
        <w:rPr>
          <w:rFonts w:ascii="Verdana" w:hAnsi="Verdana"/>
          <w:color w:val="153D63" w:themeColor="text2" w:themeTint="E6"/>
        </w:rPr>
        <w:br/>
      </w:r>
      <w:r w:rsidR="00444170" w:rsidRPr="00E72735">
        <w:rPr>
          <w:rFonts w:ascii="Verdana" w:hAnsi="Verdana"/>
          <w:b/>
          <w:bCs/>
          <w:color w:val="153D63" w:themeColor="text2" w:themeTint="E6"/>
        </w:rPr>
        <w:t>So What:</w:t>
      </w:r>
      <w:r w:rsidR="00444170" w:rsidRPr="00E72735">
        <w:rPr>
          <w:rFonts w:ascii="Verdana" w:hAnsi="Verdana"/>
          <w:color w:val="153D63" w:themeColor="text2" w:themeTint="E6"/>
        </w:rPr>
        <w:t xml:space="preserve"> Identifies delays in time-critical treatment for a high-risk condition.</w:t>
      </w:r>
    </w:p>
    <w:p w14:paraId="78A453F5" w14:textId="77777777" w:rsidR="009115B6" w:rsidRPr="009115B6" w:rsidRDefault="009115B6" w:rsidP="009115B6">
      <w:pPr>
        <w:spacing w:before="100" w:beforeAutospacing="1" w:after="100" w:afterAutospacing="1" w:line="240" w:lineRule="auto"/>
        <w:rPr>
          <w:rFonts w:ascii="Verdana" w:hAnsi="Verdana" w:cs="Segoe UI"/>
          <w:b/>
          <w:bCs/>
          <w:color w:val="0F4761"/>
          <w:sz w:val="24"/>
          <w:szCs w:val="24"/>
        </w:rPr>
      </w:pPr>
      <w:r w:rsidRPr="009115B6">
        <w:rPr>
          <w:rFonts w:ascii="Verdana" w:hAnsi="Verdana" w:cs="Segoe UI"/>
          <w:b/>
          <w:bCs/>
          <w:color w:val="0F4761"/>
          <w:sz w:val="24"/>
          <w:szCs w:val="24"/>
        </w:rPr>
        <w:t>Palliative Care (Paediatrics)</w:t>
      </w:r>
    </w:p>
    <w:p w14:paraId="73977D17" w14:textId="3BA51037" w:rsidR="00444170" w:rsidRPr="00E72735" w:rsidRDefault="009115B6" w:rsidP="00444170">
      <w:pPr>
        <w:rPr>
          <w:rFonts w:ascii="Verdana" w:hAnsi="Verdana"/>
          <w:color w:val="153D63" w:themeColor="text2" w:themeTint="E6"/>
        </w:rPr>
      </w:pPr>
      <w:r w:rsidRPr="00E72735">
        <w:rPr>
          <w:rStyle w:val="Strong"/>
          <w:rFonts w:ascii="Verdana" w:hAnsi="Verdana" w:cs="Segoe UI"/>
          <w:b w:val="0"/>
          <w:bCs w:val="0"/>
          <w:color w:val="0F4761"/>
        </w:rPr>
        <w:t>Agitation Identification, Assessment and Management</w:t>
      </w:r>
      <w:r w:rsidR="009848FD" w:rsidRPr="00E72735">
        <w:rPr>
          <w:rStyle w:val="Strong"/>
          <w:rFonts w:ascii="Verdana" w:hAnsi="Verdana" w:cs="Segoe UI"/>
          <w:b w:val="0"/>
          <w:bCs w:val="0"/>
          <w:color w:val="0F4761"/>
        </w:rPr>
        <w:t xml:space="preserve">. </w:t>
      </w:r>
      <w:r w:rsidRPr="00E72735">
        <w:rPr>
          <w:rFonts w:ascii="Verdana" w:hAnsi="Verdana" w:cs="Segoe UI"/>
        </w:rPr>
        <w:t>Findings disseminated nationally via poster presentation at the Association for Paediatric Palliative Medicine (APPM) conference. Opportunities were identified to strengthen non</w:t>
      </w:r>
      <w:r w:rsidRPr="00E72735">
        <w:rPr>
          <w:rFonts w:ascii="Verdana" w:hAnsi="Verdana" w:cs="Segoe UI"/>
        </w:rPr>
        <w:noBreakHyphen/>
        <w:t xml:space="preserve">pharmacological interventions and improve consistency of care across services, resulting in moderate residual risk. </w:t>
      </w:r>
      <w:r w:rsidRPr="00E72735">
        <w:rPr>
          <w:rStyle w:val="Emphasis"/>
          <w:rFonts w:ascii="Verdana" w:hAnsi="Verdana" w:cs="Segoe UI"/>
        </w:rPr>
        <w:t>(Risk score: 6, outcomes pending sign</w:t>
      </w:r>
      <w:r w:rsidRPr="00E72735">
        <w:rPr>
          <w:rStyle w:val="Emphasis"/>
          <w:rFonts w:ascii="Verdana" w:hAnsi="Verdana" w:cs="Segoe UI"/>
        </w:rPr>
        <w:noBreakHyphen/>
        <w:t>off)</w:t>
      </w:r>
      <w:r w:rsidR="00444170" w:rsidRPr="00E72735">
        <w:rPr>
          <w:rStyle w:val="Emphasis"/>
          <w:rFonts w:ascii="Verdana" w:hAnsi="Verdana" w:cs="Segoe UI"/>
        </w:rPr>
        <w:t xml:space="preserve">                                                                </w:t>
      </w:r>
      <w:r w:rsidR="00E72735">
        <w:rPr>
          <w:rStyle w:val="Emphasis"/>
          <w:rFonts w:ascii="Verdana" w:hAnsi="Verdana" w:cs="Segoe UI"/>
        </w:rPr>
        <w:t xml:space="preserve">                                                            </w:t>
      </w:r>
      <w:r w:rsidR="00444170" w:rsidRPr="00E72735">
        <w:rPr>
          <w:rStyle w:val="Emphasis"/>
          <w:rFonts w:ascii="Verdana" w:hAnsi="Verdana" w:cs="Segoe UI"/>
        </w:rPr>
        <w:t xml:space="preserve">   </w:t>
      </w:r>
      <w:r w:rsidR="00444170" w:rsidRPr="00E72735">
        <w:rPr>
          <w:rFonts w:ascii="Verdana" w:hAnsi="Verdana"/>
          <w:b/>
          <w:bCs/>
          <w:color w:val="153D63" w:themeColor="text2" w:themeTint="E6"/>
        </w:rPr>
        <w:t>Impact Level: Medium</w:t>
      </w:r>
    </w:p>
    <w:p w14:paraId="70F6D3C1" w14:textId="7F97ED26" w:rsidR="00444170" w:rsidRPr="00E72735" w:rsidRDefault="009115B6" w:rsidP="00444170">
      <w:pPr>
        <w:rPr>
          <w:rFonts w:ascii="Verdana" w:hAnsi="Verdana"/>
          <w:color w:val="153D63" w:themeColor="text2" w:themeTint="E6"/>
        </w:rPr>
      </w:pPr>
      <w:r w:rsidRPr="00E72735">
        <w:rPr>
          <w:rStyle w:val="Strong"/>
          <w:rFonts w:ascii="Verdana" w:hAnsi="Verdana" w:cs="Segoe UI"/>
          <w:b w:val="0"/>
          <w:bCs w:val="0"/>
          <w:color w:val="0F4761"/>
        </w:rPr>
        <w:t>Frequency and Management of Gastrointestinal Dystoni</w:t>
      </w:r>
      <w:r w:rsidR="009848FD" w:rsidRPr="00E72735">
        <w:rPr>
          <w:rStyle w:val="Strong"/>
          <w:rFonts w:ascii="Verdana" w:hAnsi="Verdana" w:cs="Segoe UI"/>
          <w:b w:val="0"/>
          <w:bCs w:val="0"/>
          <w:color w:val="0F4761"/>
        </w:rPr>
        <w:t xml:space="preserve">a.  </w:t>
      </w:r>
      <w:r w:rsidRPr="00E72735">
        <w:rPr>
          <w:rFonts w:ascii="Verdana" w:hAnsi="Verdana" w:cs="Segoe UI"/>
        </w:rPr>
        <w:t xml:space="preserve">Good implementation of Association for Paediatric Palliative Medicine (APPM) guidance.  Improved multidisciplinary team working, standardised terminology, and closer collaboration with tertiary services were identified to further enhance care consistency and outcomes. </w:t>
      </w:r>
      <w:r w:rsidRPr="00E72735">
        <w:rPr>
          <w:rStyle w:val="Emphasis"/>
          <w:rFonts w:ascii="Verdana" w:hAnsi="Verdana" w:cs="Segoe UI"/>
        </w:rPr>
        <w:t>(Risk score: 4)</w:t>
      </w:r>
      <w:r w:rsidR="00444170" w:rsidRPr="00E72735">
        <w:rPr>
          <w:rStyle w:val="Emphasis"/>
          <w:rFonts w:ascii="Verdana" w:hAnsi="Verdana" w:cs="Segoe UI"/>
        </w:rPr>
        <w:t xml:space="preserve">                     </w:t>
      </w:r>
      <w:r w:rsidR="00E72735">
        <w:rPr>
          <w:rStyle w:val="Emphasis"/>
          <w:rFonts w:ascii="Verdana" w:hAnsi="Verdana" w:cs="Segoe UI"/>
        </w:rPr>
        <w:t xml:space="preserve">                                            </w:t>
      </w:r>
      <w:r w:rsidR="00444170" w:rsidRPr="00E72735">
        <w:rPr>
          <w:rStyle w:val="Emphasis"/>
          <w:rFonts w:ascii="Verdana" w:hAnsi="Verdana" w:cs="Segoe UI"/>
        </w:rPr>
        <w:t xml:space="preserve">   </w:t>
      </w:r>
      <w:r w:rsidR="00444170" w:rsidRPr="00E72735">
        <w:rPr>
          <w:rFonts w:ascii="Verdana" w:hAnsi="Verdana"/>
          <w:b/>
          <w:bCs/>
          <w:color w:val="153D63" w:themeColor="text2" w:themeTint="E6"/>
        </w:rPr>
        <w:t>Impact Level: Medium</w:t>
      </w:r>
    </w:p>
    <w:p w14:paraId="2CEAA86C" w14:textId="77777777" w:rsidR="009115B6" w:rsidRPr="009115B6" w:rsidRDefault="009115B6" w:rsidP="009115B6">
      <w:pPr>
        <w:spacing w:before="100" w:beforeAutospacing="1" w:after="100" w:afterAutospacing="1" w:line="240" w:lineRule="auto"/>
        <w:rPr>
          <w:rFonts w:ascii="Verdana" w:hAnsi="Verdana" w:cs="Segoe UI"/>
          <w:b/>
          <w:bCs/>
          <w:color w:val="0F4761"/>
          <w:sz w:val="24"/>
          <w:szCs w:val="24"/>
        </w:rPr>
      </w:pPr>
      <w:r w:rsidRPr="009115B6">
        <w:rPr>
          <w:rFonts w:ascii="Verdana" w:hAnsi="Verdana" w:cs="Segoe UI"/>
          <w:b/>
          <w:bCs/>
          <w:color w:val="0F4761"/>
          <w:sz w:val="24"/>
          <w:szCs w:val="24"/>
        </w:rPr>
        <w:t>Trauma and Orthopaedics</w:t>
      </w:r>
    </w:p>
    <w:p w14:paraId="5073C593" w14:textId="2D9DD534" w:rsidR="00444170" w:rsidRPr="00E72735" w:rsidRDefault="009115B6" w:rsidP="00444170">
      <w:pPr>
        <w:rPr>
          <w:rFonts w:ascii="Verdana" w:hAnsi="Verdana"/>
          <w:b/>
          <w:bCs/>
          <w:color w:val="153D63" w:themeColor="text2" w:themeTint="E6"/>
        </w:rPr>
      </w:pPr>
      <w:r w:rsidRPr="00E72735">
        <w:rPr>
          <w:rFonts w:ascii="Verdana" w:hAnsi="Verdana" w:cs="Segoe UI"/>
          <w:color w:val="0F4761"/>
        </w:rPr>
        <w:t>Adherence to British Orthopaedic Association Standards for Post</w:t>
      </w:r>
      <w:r w:rsidRPr="00E72735">
        <w:rPr>
          <w:rFonts w:ascii="Verdana" w:hAnsi="Verdana" w:cs="Segoe UI"/>
          <w:color w:val="0F4761"/>
        </w:rPr>
        <w:noBreakHyphen/>
        <w:t xml:space="preserve">operative Weight Bearing Documentation.  </w:t>
      </w:r>
      <w:r w:rsidRPr="00E72735">
        <w:rPr>
          <w:rFonts w:ascii="Verdana" w:hAnsi="Verdana" w:cs="Segoe UI"/>
        </w:rPr>
        <w:t>Good adherence to national standards was demonstrated, with further improvement noted on re</w:t>
      </w:r>
      <w:r w:rsidRPr="00E72735">
        <w:rPr>
          <w:rFonts w:ascii="Verdana" w:hAnsi="Verdana" w:cs="Segoe UI"/>
        </w:rPr>
        <w:noBreakHyphen/>
        <w:t xml:space="preserve">audit. Residual risk was low, with planned future monitoring. </w:t>
      </w:r>
      <w:r w:rsidRPr="00E72735">
        <w:rPr>
          <w:rStyle w:val="Emphasis"/>
          <w:rFonts w:ascii="Verdana" w:hAnsi="Verdana" w:cs="Segoe UI"/>
        </w:rPr>
        <w:t>(Risk score: 2)</w:t>
      </w:r>
      <w:r w:rsidR="00444170" w:rsidRPr="00E72735">
        <w:rPr>
          <w:rStyle w:val="Emphasis"/>
          <w:rFonts w:ascii="Verdana" w:hAnsi="Verdana" w:cs="Segoe UI"/>
        </w:rPr>
        <w:t xml:space="preserve">                                 </w:t>
      </w:r>
      <w:r w:rsidR="00444170" w:rsidRPr="00E72735">
        <w:rPr>
          <w:rFonts w:ascii="Verdana" w:hAnsi="Verdana"/>
          <w:b/>
          <w:bCs/>
          <w:color w:val="153D63" w:themeColor="text2" w:themeTint="E6"/>
        </w:rPr>
        <w:t>Impact Level: Assurance</w:t>
      </w:r>
    </w:p>
    <w:p w14:paraId="1A7ED7AA" w14:textId="72BEC1A8" w:rsidR="00FF0FD0" w:rsidRPr="00E72735" w:rsidRDefault="009115B6" w:rsidP="00FF0FD0">
      <w:pPr>
        <w:rPr>
          <w:rFonts w:ascii="Verdana" w:hAnsi="Verdana"/>
          <w:color w:val="153D63" w:themeColor="text2" w:themeTint="E6"/>
        </w:rPr>
      </w:pPr>
      <w:r w:rsidRPr="00E72735">
        <w:rPr>
          <w:rFonts w:ascii="Verdana" w:hAnsi="Verdana" w:cs="Segoe UI"/>
          <w:color w:val="153D63" w:themeColor="text2" w:themeTint="E6"/>
        </w:rPr>
        <w:lastRenderedPageBreak/>
        <w:t xml:space="preserve">Compliance with British Orthopaedic Association Standards for Paediatric Forearm Fractures.  </w:t>
      </w:r>
      <w:r w:rsidRPr="00E72735">
        <w:rPr>
          <w:rFonts w:ascii="Verdana" w:hAnsi="Verdana" w:cs="Segoe UI"/>
        </w:rPr>
        <w:t xml:space="preserve">The audit demonstrated compliance with national guidance in the early management of paediatric forearm fractures. No significant concerns were identified. </w:t>
      </w:r>
      <w:r w:rsidRPr="00E72735">
        <w:rPr>
          <w:rStyle w:val="Emphasis"/>
          <w:rFonts w:ascii="Verdana" w:hAnsi="Verdana" w:cs="Segoe UI"/>
        </w:rPr>
        <w:t>(Risk score: 2)</w:t>
      </w:r>
      <w:r w:rsidR="00FF0FD0" w:rsidRPr="00E72735">
        <w:rPr>
          <w:rStyle w:val="Emphasis"/>
          <w:rFonts w:ascii="Verdana" w:hAnsi="Verdana" w:cs="Segoe UI"/>
        </w:rPr>
        <w:t xml:space="preserve">                                            </w:t>
      </w:r>
      <w:r w:rsidR="00E72735">
        <w:rPr>
          <w:rStyle w:val="Emphasis"/>
          <w:rFonts w:ascii="Verdana" w:hAnsi="Verdana" w:cs="Segoe UI"/>
        </w:rPr>
        <w:t xml:space="preserve">                               </w:t>
      </w:r>
      <w:r w:rsidR="00FF0FD0" w:rsidRPr="00E72735">
        <w:rPr>
          <w:rStyle w:val="Emphasis"/>
          <w:rFonts w:ascii="Verdana" w:hAnsi="Verdana" w:cs="Segoe UI"/>
        </w:rPr>
        <w:t xml:space="preserve"> </w:t>
      </w:r>
      <w:r w:rsidR="00FF0FD0" w:rsidRPr="00E72735">
        <w:rPr>
          <w:rFonts w:ascii="Verdana" w:hAnsi="Verdana"/>
          <w:b/>
          <w:bCs/>
          <w:color w:val="153D63" w:themeColor="text2" w:themeTint="E6"/>
        </w:rPr>
        <w:t>Impact Level: Assurance</w:t>
      </w:r>
      <w:r w:rsidR="00E72735">
        <w:rPr>
          <w:rFonts w:ascii="Verdana" w:hAnsi="Verdana"/>
          <w:b/>
          <w:bCs/>
          <w:color w:val="153D63" w:themeColor="text2" w:themeTint="E6"/>
        </w:rPr>
        <w:t xml:space="preserve">                        </w:t>
      </w:r>
    </w:p>
    <w:p w14:paraId="6D662574" w14:textId="44819C7B" w:rsidR="00FF0FD0" w:rsidRPr="00E72735" w:rsidRDefault="009115B6" w:rsidP="00FF0FD0">
      <w:pPr>
        <w:rPr>
          <w:rFonts w:ascii="Verdana" w:hAnsi="Verdana"/>
          <w:color w:val="153D63" w:themeColor="text2" w:themeTint="E6"/>
        </w:rPr>
      </w:pPr>
      <w:r w:rsidRPr="00E72735">
        <w:rPr>
          <w:rFonts w:ascii="Verdana" w:hAnsi="Verdana" w:cs="Segoe UI"/>
          <w:color w:val="153D63" w:themeColor="text2" w:themeTint="E6"/>
        </w:rPr>
        <w:t xml:space="preserve">Outcomes Following Knee Ligament Reconstruction/Revision Surgery.  </w:t>
      </w:r>
      <w:r w:rsidRPr="00E72735">
        <w:rPr>
          <w:rFonts w:ascii="Verdana" w:hAnsi="Verdana" w:cs="Segoe UI"/>
        </w:rPr>
        <w:t xml:space="preserve">The service evaluation demonstrated acceptable clinical outcomes following knee ligament procedures. Residual risk remained low. </w:t>
      </w:r>
      <w:r w:rsidRPr="00E72735">
        <w:rPr>
          <w:rStyle w:val="Emphasis"/>
          <w:rFonts w:ascii="Verdana" w:hAnsi="Verdana" w:cs="Segoe UI"/>
        </w:rPr>
        <w:t>(Risk score: 2)</w:t>
      </w:r>
      <w:r w:rsidR="00FF0FD0" w:rsidRPr="00E72735">
        <w:rPr>
          <w:rStyle w:val="Emphasis"/>
          <w:rFonts w:ascii="Verdana" w:hAnsi="Verdana" w:cs="Segoe UI"/>
        </w:rPr>
        <w:t xml:space="preserve">                                                                                                               </w:t>
      </w:r>
      <w:r w:rsidR="00FF0FD0" w:rsidRPr="00E72735">
        <w:rPr>
          <w:rFonts w:ascii="Verdana" w:hAnsi="Verdana"/>
          <w:b/>
          <w:bCs/>
          <w:color w:val="153D63" w:themeColor="text2" w:themeTint="E6"/>
        </w:rPr>
        <w:t>Impact Level: Assurance</w:t>
      </w:r>
    </w:p>
    <w:p w14:paraId="18A93552" w14:textId="792C32BC" w:rsidR="00FF0FD0" w:rsidRPr="00E72735" w:rsidRDefault="009115B6" w:rsidP="00FF0FD0">
      <w:pPr>
        <w:rPr>
          <w:rFonts w:ascii="Verdana" w:hAnsi="Verdana"/>
          <w:color w:val="153D63" w:themeColor="text2" w:themeTint="E6"/>
        </w:rPr>
      </w:pPr>
      <w:r w:rsidRPr="00E72735">
        <w:rPr>
          <w:rFonts w:ascii="Verdana" w:hAnsi="Verdana" w:cs="Segoe UI"/>
          <w:color w:val="153D63" w:themeColor="text2" w:themeTint="E6"/>
        </w:rPr>
        <w:t>Proximal Metaphyseal Fractures Service Evaluation.</w:t>
      </w:r>
      <w:r w:rsidRPr="00E72735">
        <w:rPr>
          <w:rFonts w:ascii="Verdana" w:hAnsi="Verdana" w:cs="Segoe UI"/>
        </w:rPr>
        <w:t xml:space="preserve">  The audit demonstrated satisfactory outcomes for proximal metaphyseal fractures. No major concerns were identified, and re</w:t>
      </w:r>
      <w:r w:rsidRPr="00E72735">
        <w:rPr>
          <w:rFonts w:ascii="Verdana" w:hAnsi="Verdana" w:cs="Segoe UI"/>
        </w:rPr>
        <w:noBreakHyphen/>
        <w:t xml:space="preserve">audit was planned. </w:t>
      </w:r>
      <w:r w:rsidRPr="00E72735">
        <w:rPr>
          <w:rStyle w:val="Emphasis"/>
          <w:rFonts w:ascii="Verdana" w:hAnsi="Verdana" w:cs="Segoe UI"/>
        </w:rPr>
        <w:t>(Risk score: 2)</w:t>
      </w:r>
      <w:r w:rsidR="00FF0FD0" w:rsidRPr="00E72735">
        <w:rPr>
          <w:rStyle w:val="Emphasis"/>
          <w:rFonts w:ascii="Verdana" w:hAnsi="Verdana" w:cs="Segoe UI"/>
        </w:rPr>
        <w:t xml:space="preserve">                                                                                                                    </w:t>
      </w:r>
      <w:r w:rsidR="00FF0FD0" w:rsidRPr="00E72735">
        <w:rPr>
          <w:rFonts w:ascii="Verdana" w:hAnsi="Verdana"/>
          <w:b/>
          <w:bCs/>
          <w:color w:val="153D63" w:themeColor="text2" w:themeTint="E6"/>
        </w:rPr>
        <w:t>Impact Level: Assurance</w:t>
      </w:r>
    </w:p>
    <w:p w14:paraId="0326D492" w14:textId="3D7ABB09" w:rsidR="008C7B7E" w:rsidRPr="00E72735" w:rsidRDefault="009115B6" w:rsidP="008C7B7E">
      <w:pPr>
        <w:rPr>
          <w:rFonts w:ascii="Verdana" w:hAnsi="Verdana"/>
          <w:color w:val="153D63" w:themeColor="text2" w:themeTint="E6"/>
        </w:rPr>
      </w:pPr>
      <w:r w:rsidRPr="00E72735">
        <w:rPr>
          <w:rFonts w:ascii="Verdana" w:hAnsi="Verdana" w:cs="Segoe UI"/>
          <w:color w:val="153D63" w:themeColor="text2" w:themeTint="E6"/>
        </w:rPr>
        <w:t>Intra</w:t>
      </w:r>
      <w:r w:rsidRPr="00E72735">
        <w:rPr>
          <w:rFonts w:ascii="Verdana" w:hAnsi="Verdana" w:cs="Segoe UI"/>
          <w:color w:val="153D63" w:themeColor="text2" w:themeTint="E6"/>
        </w:rPr>
        <w:noBreakHyphen/>
        <w:t>operative Management of Open Lower Limb Fractures.</w:t>
      </w:r>
      <w:r w:rsidRPr="00E72735">
        <w:rPr>
          <w:rFonts w:ascii="Verdana" w:hAnsi="Verdana" w:cs="Segoe UI"/>
        </w:rPr>
        <w:t xml:space="preserve">  The audit achieved comprehensive data collection. Non</w:t>
      </w:r>
      <w:r w:rsidRPr="00E72735">
        <w:rPr>
          <w:rFonts w:ascii="Verdana" w:hAnsi="Verdana" w:cs="Segoe UI"/>
        </w:rPr>
        <w:noBreakHyphen/>
        <w:t xml:space="preserve">compliance with British Orthopaedic Association documentation standards limited assurance despite likely appropriate practice. </w:t>
      </w:r>
      <w:r w:rsidRPr="00E72735">
        <w:rPr>
          <w:rStyle w:val="Emphasis"/>
          <w:rFonts w:ascii="Verdana" w:hAnsi="Verdana" w:cs="Segoe UI"/>
        </w:rPr>
        <w:t>(Risk score: 2)</w:t>
      </w:r>
      <w:r w:rsidR="008C7B7E" w:rsidRPr="00E72735">
        <w:rPr>
          <w:rStyle w:val="Emphasis"/>
          <w:rFonts w:ascii="Verdana" w:hAnsi="Verdana" w:cs="Segoe UI"/>
        </w:rPr>
        <w:t xml:space="preserve">                                                   </w:t>
      </w:r>
      <w:r w:rsidR="00E72735">
        <w:rPr>
          <w:rStyle w:val="Emphasis"/>
          <w:rFonts w:ascii="Verdana" w:hAnsi="Verdana" w:cs="Segoe UI"/>
        </w:rPr>
        <w:t xml:space="preserve">                                  </w:t>
      </w:r>
      <w:r w:rsidR="008C7B7E" w:rsidRPr="00E72735">
        <w:rPr>
          <w:rStyle w:val="Emphasis"/>
          <w:rFonts w:ascii="Verdana" w:hAnsi="Verdana" w:cs="Segoe UI"/>
        </w:rPr>
        <w:t xml:space="preserve">   </w:t>
      </w:r>
      <w:r w:rsidR="008C7B7E" w:rsidRPr="00E72735">
        <w:rPr>
          <w:rFonts w:ascii="Verdana" w:hAnsi="Verdana"/>
          <w:b/>
          <w:bCs/>
          <w:color w:val="153D63" w:themeColor="text2" w:themeTint="E6"/>
        </w:rPr>
        <w:t>Impact Level: Medium</w:t>
      </w:r>
      <w:r w:rsidR="008C7B7E" w:rsidRPr="00E72735">
        <w:rPr>
          <w:rFonts w:ascii="Verdana" w:hAnsi="Verdana"/>
          <w:color w:val="153D63" w:themeColor="text2" w:themeTint="E6"/>
        </w:rPr>
        <w:br/>
      </w:r>
      <w:r w:rsidR="008C7B7E" w:rsidRPr="00E72735">
        <w:rPr>
          <w:rFonts w:ascii="Verdana" w:hAnsi="Verdana"/>
          <w:b/>
          <w:bCs/>
          <w:color w:val="153D63" w:themeColor="text2" w:themeTint="E6"/>
        </w:rPr>
        <w:t>So What:</w:t>
      </w:r>
      <w:r w:rsidR="008C7B7E" w:rsidRPr="00E72735">
        <w:rPr>
          <w:rFonts w:ascii="Verdana" w:hAnsi="Verdana"/>
          <w:color w:val="153D63" w:themeColor="text2" w:themeTint="E6"/>
        </w:rPr>
        <w:t xml:space="preserve"> Identifies documentation gaps that limit assurance of clinical practice.</w:t>
      </w:r>
    </w:p>
    <w:p w14:paraId="116E2B4F" w14:textId="3027E301" w:rsidR="008C7B7E" w:rsidRPr="00E72735" w:rsidRDefault="009115B6" w:rsidP="008C7B7E">
      <w:pPr>
        <w:rPr>
          <w:rFonts w:ascii="Verdana" w:hAnsi="Verdana"/>
          <w:color w:val="153D63" w:themeColor="text2" w:themeTint="E6"/>
        </w:rPr>
      </w:pPr>
      <w:r w:rsidRPr="00E72735">
        <w:rPr>
          <w:rFonts w:ascii="Verdana" w:hAnsi="Verdana" w:cs="Segoe UI"/>
          <w:color w:val="153D63" w:themeColor="text2" w:themeTint="E6"/>
        </w:rPr>
        <w:t>Day</w:t>
      </w:r>
      <w:r w:rsidRPr="00E72735">
        <w:rPr>
          <w:rFonts w:ascii="Verdana" w:hAnsi="Verdana" w:cs="Segoe UI"/>
          <w:color w:val="153D63" w:themeColor="text2" w:themeTint="E6"/>
        </w:rPr>
        <w:noBreakHyphen/>
        <w:t>One Post</w:t>
      </w:r>
      <w:r w:rsidRPr="00E72735">
        <w:rPr>
          <w:rFonts w:ascii="Verdana" w:hAnsi="Verdana" w:cs="Segoe UI"/>
          <w:color w:val="153D63" w:themeColor="text2" w:themeTint="E6"/>
        </w:rPr>
        <w:noBreakHyphen/>
        <w:t xml:space="preserve">operative Bloods and Imaging in Arthroplasty. </w:t>
      </w:r>
      <w:r w:rsidRPr="00E72735">
        <w:rPr>
          <w:rFonts w:ascii="Verdana" w:hAnsi="Verdana" w:cs="Segoe UI"/>
        </w:rPr>
        <w:t xml:space="preserve"> The audit demonstrated improvement in compliance with early post</w:t>
      </w:r>
      <w:r w:rsidRPr="00E72735">
        <w:rPr>
          <w:rFonts w:ascii="Verdana" w:hAnsi="Verdana" w:cs="Segoe UI"/>
        </w:rPr>
        <w:noBreakHyphen/>
        <w:t>operative investigations. Planned re</w:t>
      </w:r>
      <w:r w:rsidRPr="00E72735">
        <w:rPr>
          <w:rFonts w:ascii="Verdana" w:hAnsi="Verdana" w:cs="Segoe UI"/>
        </w:rPr>
        <w:noBreakHyphen/>
        <w:t xml:space="preserve">audit was appropriate to ensure sustainability. </w:t>
      </w:r>
      <w:r w:rsidRPr="00E72735">
        <w:rPr>
          <w:rStyle w:val="Emphasis"/>
          <w:rFonts w:ascii="Verdana" w:hAnsi="Verdana" w:cs="Segoe UI"/>
        </w:rPr>
        <w:t>(Risk score: 2)</w:t>
      </w:r>
      <w:r w:rsidR="008C7B7E" w:rsidRPr="00E72735">
        <w:rPr>
          <w:rStyle w:val="Emphasis"/>
          <w:rFonts w:ascii="Verdana" w:hAnsi="Verdana" w:cs="Segoe UI"/>
        </w:rPr>
        <w:t xml:space="preserve">                                                                                                 </w:t>
      </w:r>
      <w:r w:rsidR="008C7B7E" w:rsidRPr="00E72735">
        <w:rPr>
          <w:rFonts w:ascii="Verdana" w:hAnsi="Verdana"/>
          <w:b/>
          <w:bCs/>
          <w:color w:val="153D63" w:themeColor="text2" w:themeTint="E6"/>
        </w:rPr>
        <w:t>Impact Level: Medium</w:t>
      </w:r>
    </w:p>
    <w:p w14:paraId="3CFE339B" w14:textId="47E71829" w:rsidR="008C7B7E" w:rsidRPr="00E72735" w:rsidRDefault="009115B6" w:rsidP="008C7B7E">
      <w:pPr>
        <w:rPr>
          <w:rFonts w:ascii="Verdana" w:hAnsi="Verdana"/>
          <w:color w:val="153D63" w:themeColor="text2" w:themeTint="E6"/>
        </w:rPr>
      </w:pPr>
      <w:r w:rsidRPr="00E72735">
        <w:rPr>
          <w:rFonts w:ascii="Verdana" w:hAnsi="Verdana" w:cs="Segoe UI"/>
        </w:rPr>
        <w:t>Post</w:t>
      </w:r>
      <w:r w:rsidRPr="00E72735">
        <w:rPr>
          <w:rFonts w:ascii="Verdana" w:hAnsi="Verdana" w:cs="Segoe UI"/>
        </w:rPr>
        <w:noBreakHyphen/>
        <w:t>operative Complications Following Hemiarthroplasty.  The initial audit highlighted the need for improved pre</w:t>
      </w:r>
      <w:r w:rsidRPr="00E72735">
        <w:rPr>
          <w:rFonts w:ascii="Verdana" w:hAnsi="Verdana" w:cs="Segoe UI"/>
        </w:rPr>
        <w:noBreakHyphen/>
        <w:t>operative templating and training. Re</w:t>
      </w:r>
      <w:r w:rsidRPr="00E72735">
        <w:rPr>
          <w:rFonts w:ascii="Verdana" w:hAnsi="Verdana" w:cs="Segoe UI"/>
        </w:rPr>
        <w:noBreakHyphen/>
        <w:t xml:space="preserve">audit demonstrated a marked reduction in dislocation rates, providing improved assurance despite isolated complications. </w:t>
      </w:r>
      <w:r w:rsidRPr="00E72735">
        <w:rPr>
          <w:rStyle w:val="Emphasis"/>
          <w:rFonts w:ascii="Verdana" w:hAnsi="Verdana" w:cs="Segoe UI"/>
        </w:rPr>
        <w:t xml:space="preserve">(Risk score: 4 </w:t>
      </w:r>
      <w:r w:rsidRPr="00E72735">
        <w:rPr>
          <w:rStyle w:val="Emphasis"/>
          <w:rFonts w:ascii="Arial" w:hAnsi="Arial" w:cs="Arial"/>
        </w:rPr>
        <w:t>→</w:t>
      </w:r>
      <w:r w:rsidRPr="00E72735">
        <w:rPr>
          <w:rStyle w:val="Emphasis"/>
          <w:rFonts w:ascii="Verdana" w:hAnsi="Verdana" w:cs="Segoe UI"/>
        </w:rPr>
        <w:t xml:space="preserve"> 2)</w:t>
      </w:r>
      <w:r w:rsidR="008C7B7E" w:rsidRPr="00E72735">
        <w:rPr>
          <w:rStyle w:val="Emphasis"/>
          <w:rFonts w:ascii="Verdana" w:hAnsi="Verdana" w:cs="Segoe UI"/>
        </w:rPr>
        <w:t xml:space="preserve"> </w:t>
      </w:r>
      <w:r w:rsidR="00E72735">
        <w:rPr>
          <w:rStyle w:val="Emphasis"/>
          <w:rFonts w:ascii="Verdana" w:hAnsi="Verdana" w:cs="Segoe UI"/>
        </w:rPr>
        <w:t xml:space="preserve">        </w:t>
      </w:r>
      <w:r w:rsidR="008C7B7E" w:rsidRPr="00E72735">
        <w:rPr>
          <w:rStyle w:val="Emphasis"/>
          <w:rFonts w:ascii="Verdana" w:hAnsi="Verdana" w:cs="Segoe UI"/>
        </w:rPr>
        <w:t xml:space="preserve"> </w:t>
      </w:r>
      <w:r w:rsidR="008C7B7E" w:rsidRPr="00E72735">
        <w:rPr>
          <w:rFonts w:ascii="Verdana" w:hAnsi="Verdana"/>
          <w:b/>
          <w:bCs/>
          <w:color w:val="153D63" w:themeColor="text2" w:themeTint="E6"/>
        </w:rPr>
        <w:t>Impact Level: Strong</w:t>
      </w:r>
      <w:r w:rsidR="008C7B7E" w:rsidRPr="00E72735">
        <w:rPr>
          <w:rFonts w:ascii="Verdana" w:hAnsi="Verdana"/>
          <w:color w:val="153D63" w:themeColor="text2" w:themeTint="E6"/>
        </w:rPr>
        <w:br/>
      </w:r>
      <w:r w:rsidR="008C7B7E" w:rsidRPr="00E72735">
        <w:rPr>
          <w:rFonts w:ascii="Verdana" w:hAnsi="Verdana"/>
          <w:b/>
          <w:bCs/>
          <w:color w:val="153D63" w:themeColor="text2" w:themeTint="E6"/>
        </w:rPr>
        <w:t>So What:</w:t>
      </w:r>
      <w:r w:rsidR="008C7B7E" w:rsidRPr="00E72735">
        <w:rPr>
          <w:rFonts w:ascii="Verdana" w:hAnsi="Verdana"/>
          <w:color w:val="153D63" w:themeColor="text2" w:themeTint="E6"/>
        </w:rPr>
        <w:t xml:space="preserve"> Demonstrates improvement in clinical outcomes following targeted intervention.</w:t>
      </w:r>
    </w:p>
    <w:p w14:paraId="154CFCDD" w14:textId="7E98FA8F" w:rsidR="008C7B7E" w:rsidRPr="00E72735" w:rsidRDefault="009115B6" w:rsidP="008C7B7E">
      <w:pPr>
        <w:rPr>
          <w:rFonts w:ascii="Verdana" w:hAnsi="Verdana"/>
          <w:color w:val="153D63" w:themeColor="text2" w:themeTint="E6"/>
        </w:rPr>
      </w:pPr>
      <w:r w:rsidRPr="00E72735">
        <w:rPr>
          <w:rStyle w:val="Strong"/>
          <w:rFonts w:ascii="Verdana" w:hAnsi="Verdana" w:cs="Segoe UI"/>
          <w:b w:val="0"/>
          <w:bCs w:val="0"/>
          <w:color w:val="153D63" w:themeColor="text2" w:themeTint="E6"/>
        </w:rPr>
        <w:t>Current Post</w:t>
      </w:r>
      <w:r w:rsidRPr="00E72735">
        <w:rPr>
          <w:rStyle w:val="Strong"/>
          <w:rFonts w:ascii="Verdana" w:hAnsi="Verdana" w:cs="Segoe UI"/>
          <w:b w:val="0"/>
          <w:bCs w:val="0"/>
          <w:color w:val="153D63" w:themeColor="text2" w:themeTint="E6"/>
        </w:rPr>
        <w:noBreakHyphen/>
        <w:t>operative Complications Following Hemiarthroplasty – Re</w:t>
      </w:r>
      <w:r w:rsidRPr="00E72735">
        <w:rPr>
          <w:rStyle w:val="Strong"/>
          <w:rFonts w:ascii="Verdana" w:hAnsi="Verdana" w:cs="Segoe UI"/>
          <w:b w:val="0"/>
          <w:bCs w:val="0"/>
          <w:color w:val="153D63" w:themeColor="text2" w:themeTint="E6"/>
        </w:rPr>
        <w:noBreakHyphen/>
        <w:t xml:space="preserve">audit.  </w:t>
      </w:r>
      <w:r w:rsidRPr="00E72735">
        <w:rPr>
          <w:rFonts w:ascii="Verdana" w:hAnsi="Verdana" w:cs="Segoe UI"/>
        </w:rPr>
        <w:t>Re</w:t>
      </w:r>
      <w:r w:rsidRPr="00E72735">
        <w:rPr>
          <w:rFonts w:ascii="Verdana" w:hAnsi="Verdana" w:cs="Segoe UI"/>
        </w:rPr>
        <w:noBreakHyphen/>
        <w:t>audit demonstrated improved pre</w:t>
      </w:r>
      <w:r w:rsidRPr="00E72735">
        <w:rPr>
          <w:rFonts w:ascii="Verdana" w:hAnsi="Verdana" w:cs="Segoe UI"/>
        </w:rPr>
        <w:noBreakHyphen/>
        <w:t xml:space="preserve">operative planning, with a reduction in hip dislocation rates from </w:t>
      </w:r>
      <w:r w:rsidRPr="00E72735">
        <w:rPr>
          <w:rStyle w:val="Strong"/>
          <w:rFonts w:ascii="Verdana" w:hAnsi="Verdana" w:cs="Segoe UI"/>
          <w:b w:val="0"/>
          <w:bCs w:val="0"/>
        </w:rPr>
        <w:t>3%</w:t>
      </w:r>
      <w:r w:rsidRPr="00E72735">
        <w:rPr>
          <w:rStyle w:val="Strong"/>
          <w:rFonts w:ascii="Verdana" w:hAnsi="Verdana" w:cs="Segoe UI"/>
        </w:rPr>
        <w:t xml:space="preserve"> </w:t>
      </w:r>
      <w:r w:rsidRPr="00E72735">
        <w:rPr>
          <w:rStyle w:val="Strong"/>
          <w:rFonts w:ascii="Verdana" w:hAnsi="Verdana" w:cs="Segoe UI"/>
          <w:b w:val="0"/>
          <w:bCs w:val="0"/>
        </w:rPr>
        <w:t>to &lt;1%</w:t>
      </w:r>
      <w:r w:rsidRPr="00E72735">
        <w:rPr>
          <w:rFonts w:ascii="Verdana" w:hAnsi="Verdana" w:cs="Segoe UI"/>
        </w:rPr>
        <w:t xml:space="preserve">, and no dislocations in procedures performed by Registrars. Small number of sciatic nerve palsies identified, but overall residual risk remained low. </w:t>
      </w:r>
      <w:r w:rsidRPr="00E72735">
        <w:rPr>
          <w:rStyle w:val="Emphasis"/>
          <w:rFonts w:ascii="Verdana" w:hAnsi="Verdana" w:cs="Segoe UI"/>
        </w:rPr>
        <w:t>(Risk score: 2)</w:t>
      </w:r>
      <w:r w:rsidR="00E72735">
        <w:rPr>
          <w:rStyle w:val="Emphasis"/>
          <w:rFonts w:ascii="Verdana" w:hAnsi="Verdana" w:cs="Segoe UI"/>
        </w:rPr>
        <w:t xml:space="preserve">                                                        </w:t>
      </w:r>
      <w:r w:rsidR="008C7B7E" w:rsidRPr="00E72735">
        <w:rPr>
          <w:rStyle w:val="Emphasis"/>
          <w:rFonts w:ascii="Verdana" w:hAnsi="Verdana" w:cs="Segoe UI"/>
        </w:rPr>
        <w:t xml:space="preserve">  </w:t>
      </w:r>
      <w:r w:rsidR="008C7B7E" w:rsidRPr="00E72735">
        <w:rPr>
          <w:rFonts w:ascii="Verdana" w:hAnsi="Verdana"/>
          <w:b/>
          <w:bCs/>
          <w:color w:val="153D63" w:themeColor="text2" w:themeTint="E6"/>
        </w:rPr>
        <w:t>Impact Level: Strong</w:t>
      </w:r>
      <w:r w:rsidR="008C7B7E" w:rsidRPr="00E72735">
        <w:rPr>
          <w:rFonts w:ascii="Verdana" w:hAnsi="Verdana"/>
          <w:color w:val="153D63" w:themeColor="text2" w:themeTint="E6"/>
        </w:rPr>
        <w:br/>
      </w:r>
      <w:r w:rsidR="008C7B7E" w:rsidRPr="00E72735">
        <w:rPr>
          <w:rFonts w:ascii="Verdana" w:hAnsi="Verdana"/>
          <w:b/>
          <w:bCs/>
          <w:color w:val="153D63" w:themeColor="text2" w:themeTint="E6"/>
        </w:rPr>
        <w:t>So What:</w:t>
      </w:r>
      <w:r w:rsidR="008C7B7E" w:rsidRPr="00E72735">
        <w:rPr>
          <w:rFonts w:ascii="Verdana" w:hAnsi="Verdana"/>
          <w:color w:val="153D63" w:themeColor="text2" w:themeTint="E6"/>
        </w:rPr>
        <w:t xml:space="preserve"> Demonstrates sustained improvement in outcomes and strengthened surgical practice.</w:t>
      </w:r>
    </w:p>
    <w:p w14:paraId="5A4DC108" w14:textId="61812AFB" w:rsidR="008C7B7E" w:rsidRPr="00E72735" w:rsidRDefault="009115B6" w:rsidP="008C7B7E">
      <w:r w:rsidRPr="00E72735">
        <w:rPr>
          <w:rFonts w:ascii="Verdana" w:hAnsi="Verdana" w:cs="Segoe UI"/>
          <w:color w:val="153D63" w:themeColor="text2" w:themeTint="E6"/>
        </w:rPr>
        <w:t>Documentation of Intra</w:t>
      </w:r>
      <w:r w:rsidRPr="00E72735">
        <w:rPr>
          <w:rFonts w:ascii="Verdana" w:hAnsi="Verdana" w:cs="Segoe UI"/>
          <w:color w:val="153D63" w:themeColor="text2" w:themeTint="E6"/>
        </w:rPr>
        <w:noBreakHyphen/>
        <w:t>operative Tourniquet Use (Re</w:t>
      </w:r>
      <w:r w:rsidRPr="00E72735">
        <w:rPr>
          <w:rFonts w:ascii="Verdana" w:hAnsi="Verdana" w:cs="Segoe UI"/>
          <w:color w:val="153D63" w:themeColor="text2" w:themeTint="E6"/>
        </w:rPr>
        <w:noBreakHyphen/>
        <w:t xml:space="preserve">audit).  </w:t>
      </w:r>
      <w:r w:rsidRPr="00E72735">
        <w:rPr>
          <w:rFonts w:ascii="Verdana" w:hAnsi="Verdana" w:cs="Segoe UI"/>
        </w:rPr>
        <w:t xml:space="preserve">Repeated audit cycles demonstrated sustained improvement in documentation standards. No residual risks identified. </w:t>
      </w:r>
      <w:r w:rsidRPr="00E72735">
        <w:rPr>
          <w:rStyle w:val="Emphasis"/>
          <w:rFonts w:ascii="Verdana" w:hAnsi="Verdana" w:cs="Segoe UI"/>
        </w:rPr>
        <w:t>(Risk score: 1)</w:t>
      </w:r>
      <w:r w:rsidR="008C7B7E" w:rsidRPr="00E72735">
        <w:rPr>
          <w:rStyle w:val="Emphasis"/>
          <w:rFonts w:ascii="Verdana" w:hAnsi="Verdana" w:cs="Segoe UI"/>
        </w:rPr>
        <w:t xml:space="preserve">                                   </w:t>
      </w:r>
      <w:r w:rsidR="00E72735">
        <w:rPr>
          <w:rStyle w:val="Emphasis"/>
          <w:rFonts w:ascii="Verdana" w:hAnsi="Verdana" w:cs="Segoe UI"/>
        </w:rPr>
        <w:t xml:space="preserve">                          </w:t>
      </w:r>
      <w:r w:rsidR="008C7B7E" w:rsidRPr="00E72735">
        <w:rPr>
          <w:rStyle w:val="Emphasis"/>
          <w:rFonts w:ascii="Verdana" w:hAnsi="Verdana" w:cs="Segoe UI"/>
        </w:rPr>
        <w:t xml:space="preserve">    </w:t>
      </w:r>
      <w:r w:rsidR="008C7B7E" w:rsidRPr="00E72735">
        <w:rPr>
          <w:rFonts w:ascii="Verdana" w:hAnsi="Verdana"/>
          <w:b/>
          <w:bCs/>
          <w:color w:val="153D63" w:themeColor="text2" w:themeTint="E6"/>
        </w:rPr>
        <w:t>Impact Level: Assurance</w:t>
      </w:r>
    </w:p>
    <w:p w14:paraId="521DAA1B" w14:textId="5E7E8E9D" w:rsidR="008C7B7E" w:rsidRPr="00E72735" w:rsidRDefault="009115B6" w:rsidP="008C7B7E">
      <w:pPr>
        <w:rPr>
          <w:rFonts w:ascii="Verdana" w:hAnsi="Verdana"/>
          <w:color w:val="153D63" w:themeColor="text2" w:themeTint="E6"/>
        </w:rPr>
      </w:pPr>
      <w:r w:rsidRPr="00E72735">
        <w:rPr>
          <w:rFonts w:ascii="Verdana" w:hAnsi="Verdana" w:cs="Segoe UI"/>
          <w:color w:val="153D63" w:themeColor="text2" w:themeTint="E6"/>
        </w:rPr>
        <w:t xml:space="preserve">Impact of Air Exhaust Suits on Periprosthetic Joint Infection.  </w:t>
      </w:r>
      <w:r w:rsidRPr="00E72735">
        <w:rPr>
          <w:rFonts w:ascii="Verdana" w:hAnsi="Verdana" w:cs="Segoe UI"/>
        </w:rPr>
        <w:t xml:space="preserve">The audit facilitated discussion and review of surgical practice. No risks or concerns were </w:t>
      </w:r>
      <w:r w:rsidRPr="00E72735">
        <w:rPr>
          <w:rFonts w:ascii="Verdana" w:hAnsi="Verdana" w:cs="Segoe UI"/>
        </w:rPr>
        <w:lastRenderedPageBreak/>
        <w:t xml:space="preserve">identified. </w:t>
      </w:r>
      <w:r w:rsidRPr="00E72735">
        <w:rPr>
          <w:rStyle w:val="Emphasis"/>
          <w:rFonts w:ascii="Verdana" w:hAnsi="Verdana" w:cs="Segoe UI"/>
        </w:rPr>
        <w:t>(Risk score: 1)</w:t>
      </w:r>
      <w:r w:rsidR="008C7B7E" w:rsidRPr="00E72735">
        <w:rPr>
          <w:rStyle w:val="Emphasis"/>
          <w:rFonts w:ascii="Verdana" w:hAnsi="Verdana" w:cs="Segoe UI"/>
        </w:rPr>
        <w:t xml:space="preserve">                                                                                    </w:t>
      </w:r>
      <w:r w:rsidR="008C7B7E" w:rsidRPr="00E72735">
        <w:rPr>
          <w:rFonts w:ascii="Verdana" w:hAnsi="Verdana"/>
          <w:b/>
          <w:bCs/>
          <w:color w:val="153D63" w:themeColor="text2" w:themeTint="E6"/>
        </w:rPr>
        <w:t>Impact Level: Assurance</w:t>
      </w:r>
    </w:p>
    <w:p w14:paraId="19C7A2B2" w14:textId="16CF609C" w:rsidR="008C7B7E" w:rsidRPr="00E72735" w:rsidRDefault="009115B6" w:rsidP="008C7B7E">
      <w:r w:rsidRPr="00E72735">
        <w:rPr>
          <w:rFonts w:ascii="Verdana" w:hAnsi="Verdana" w:cs="Segoe UI"/>
          <w:color w:val="153D63" w:themeColor="text2" w:themeTint="E6"/>
        </w:rPr>
        <w:t xml:space="preserve">Improving Surgical Trauma Training for Orthopaedic Resident Doctors.  </w:t>
      </w:r>
      <w:r w:rsidRPr="00E72735">
        <w:rPr>
          <w:rFonts w:ascii="Verdana" w:hAnsi="Verdana" w:cs="Segoe UI"/>
        </w:rPr>
        <w:t xml:space="preserve">The audit led to rota redesign and protected theatre time, significantly improving trainee satisfaction. This represented a successful quality improvement initiative with no residual risk. </w:t>
      </w:r>
      <w:r w:rsidRPr="00E72735">
        <w:rPr>
          <w:rStyle w:val="Emphasis"/>
          <w:rFonts w:ascii="Verdana" w:hAnsi="Verdana" w:cs="Segoe UI"/>
        </w:rPr>
        <w:t>(Risk score: 2)</w:t>
      </w:r>
      <w:r w:rsidR="008C7B7E" w:rsidRPr="00E72735">
        <w:rPr>
          <w:rStyle w:val="Emphasis"/>
          <w:rFonts w:ascii="Verdana" w:hAnsi="Verdana" w:cs="Segoe UI"/>
        </w:rPr>
        <w:t xml:space="preserve">                                   </w:t>
      </w:r>
      <w:r w:rsidR="00E72735">
        <w:rPr>
          <w:rStyle w:val="Emphasis"/>
          <w:rFonts w:ascii="Verdana" w:hAnsi="Verdana" w:cs="Segoe UI"/>
        </w:rPr>
        <w:t xml:space="preserve">                             </w:t>
      </w:r>
      <w:r w:rsidR="008C7B7E" w:rsidRPr="00E72735">
        <w:rPr>
          <w:rStyle w:val="Emphasis"/>
          <w:rFonts w:ascii="Verdana" w:hAnsi="Verdana" w:cs="Segoe UI"/>
        </w:rPr>
        <w:t xml:space="preserve">   </w:t>
      </w:r>
      <w:r w:rsidR="008C7B7E" w:rsidRPr="00E72735">
        <w:rPr>
          <w:rFonts w:ascii="Verdana" w:hAnsi="Verdana"/>
          <w:b/>
          <w:bCs/>
          <w:color w:val="153D63" w:themeColor="text2" w:themeTint="E6"/>
        </w:rPr>
        <w:t>Impact Level: Strong</w:t>
      </w:r>
      <w:r w:rsidR="008C7B7E" w:rsidRPr="00E72735">
        <w:rPr>
          <w:rFonts w:ascii="Verdana" w:hAnsi="Verdana"/>
          <w:color w:val="153D63" w:themeColor="text2" w:themeTint="E6"/>
        </w:rPr>
        <w:br/>
      </w:r>
      <w:r w:rsidR="008C7B7E" w:rsidRPr="00E72735">
        <w:rPr>
          <w:rFonts w:ascii="Verdana" w:hAnsi="Verdana"/>
          <w:b/>
          <w:bCs/>
          <w:color w:val="153D63" w:themeColor="text2" w:themeTint="E6"/>
        </w:rPr>
        <w:t>So What:</w:t>
      </w:r>
      <w:r w:rsidR="008C7B7E" w:rsidRPr="00E72735">
        <w:rPr>
          <w:rFonts w:ascii="Verdana" w:hAnsi="Verdana"/>
          <w:color w:val="153D63" w:themeColor="text2" w:themeTint="E6"/>
        </w:rPr>
        <w:t xml:space="preserve"> Demonstrates successful service redesign improving training and operational efficiency.</w:t>
      </w:r>
    </w:p>
    <w:p w14:paraId="0342BCA8" w14:textId="7B98DA2A" w:rsidR="008C7B7E" w:rsidRPr="00E72735" w:rsidRDefault="009115B6" w:rsidP="008C7B7E">
      <w:r w:rsidRPr="00E72735">
        <w:rPr>
          <w:rFonts w:ascii="Verdana" w:hAnsi="Verdana" w:cs="Segoe UI"/>
          <w:color w:val="153D63" w:themeColor="text2" w:themeTint="E6"/>
        </w:rPr>
        <w:t xml:space="preserve">Open Fractures – Compliance with British Orthopaedic Association Standards.  </w:t>
      </w:r>
      <w:r w:rsidRPr="00E72735">
        <w:rPr>
          <w:rFonts w:ascii="Verdana" w:hAnsi="Verdana" w:cs="Segoe UI"/>
        </w:rPr>
        <w:t>Improved consultant supervision and plastics involvement. Further improvement is required in fracture grading documentation, with re</w:t>
      </w:r>
      <w:r w:rsidRPr="00E72735">
        <w:rPr>
          <w:rFonts w:ascii="Verdana" w:hAnsi="Verdana" w:cs="Segoe UI"/>
        </w:rPr>
        <w:noBreakHyphen/>
        <w:t xml:space="preserve">audit planned. </w:t>
      </w:r>
      <w:r w:rsidRPr="00E72735">
        <w:rPr>
          <w:rStyle w:val="Emphasis"/>
          <w:rFonts w:ascii="Verdana" w:hAnsi="Verdana" w:cs="Segoe UI"/>
        </w:rPr>
        <w:t>(Risk score: 2)</w:t>
      </w:r>
      <w:r w:rsidR="008C7B7E" w:rsidRPr="00E72735">
        <w:rPr>
          <w:rStyle w:val="Emphasis"/>
          <w:rFonts w:ascii="Verdana" w:hAnsi="Verdana" w:cs="Segoe UI"/>
        </w:rPr>
        <w:t xml:space="preserve">                                                                              </w:t>
      </w:r>
      <w:r w:rsidR="00E72735">
        <w:rPr>
          <w:rStyle w:val="Emphasis"/>
          <w:rFonts w:ascii="Verdana" w:hAnsi="Verdana" w:cs="Segoe UI"/>
        </w:rPr>
        <w:t xml:space="preserve">                          </w:t>
      </w:r>
      <w:r w:rsidR="008C7B7E" w:rsidRPr="00E72735">
        <w:rPr>
          <w:rStyle w:val="Emphasis"/>
          <w:rFonts w:ascii="Verdana" w:hAnsi="Verdana" w:cs="Segoe UI"/>
        </w:rPr>
        <w:t xml:space="preserve">       </w:t>
      </w:r>
      <w:r w:rsidR="008C7B7E" w:rsidRPr="00E72735">
        <w:rPr>
          <w:rFonts w:ascii="Verdana" w:hAnsi="Verdana"/>
          <w:b/>
          <w:bCs/>
          <w:color w:val="153D63" w:themeColor="text2" w:themeTint="E6"/>
        </w:rPr>
        <w:t>Impact Level: Medium</w:t>
      </w:r>
    </w:p>
    <w:p w14:paraId="3DC0CB5B" w14:textId="4C4C7341" w:rsidR="009807F6" w:rsidRPr="00E72735" w:rsidRDefault="009115B6" w:rsidP="009807F6">
      <w:pPr>
        <w:rPr>
          <w:rFonts w:ascii="Verdana" w:hAnsi="Verdana"/>
          <w:color w:val="153D63" w:themeColor="text2" w:themeTint="E6"/>
        </w:rPr>
      </w:pPr>
      <w:r w:rsidRPr="00E72735">
        <w:rPr>
          <w:rFonts w:ascii="Verdana" w:hAnsi="Verdana" w:cs="Segoe UI"/>
        </w:rPr>
        <w:t xml:space="preserve">Outcomes Following Minimally Invasive Plate Osteosynthesis for Tibial Shaft Fractures.  The audit demonstrated satisfactory outcomes using minimally invasive techniques. No risks were identified. </w:t>
      </w:r>
      <w:r w:rsidRPr="00E72735">
        <w:rPr>
          <w:rStyle w:val="Emphasis"/>
          <w:rFonts w:ascii="Verdana" w:hAnsi="Verdana" w:cs="Segoe UI"/>
        </w:rPr>
        <w:t>(Risk score: 1)</w:t>
      </w:r>
      <w:r w:rsidR="009807F6" w:rsidRPr="00E72735">
        <w:rPr>
          <w:rStyle w:val="Emphasis"/>
          <w:rFonts w:ascii="Verdana" w:hAnsi="Verdana" w:cs="Segoe UI"/>
        </w:rPr>
        <w:t xml:space="preserve"> </w:t>
      </w:r>
      <w:r w:rsidR="00E72735">
        <w:rPr>
          <w:rStyle w:val="Emphasis"/>
          <w:rFonts w:ascii="Verdana" w:hAnsi="Verdana" w:cs="Segoe UI"/>
        </w:rPr>
        <w:t xml:space="preserve">                               </w:t>
      </w:r>
      <w:r w:rsidR="009807F6" w:rsidRPr="00E72735">
        <w:rPr>
          <w:rStyle w:val="Emphasis"/>
          <w:rFonts w:ascii="Verdana" w:hAnsi="Verdana" w:cs="Segoe UI"/>
        </w:rPr>
        <w:t xml:space="preserve"> </w:t>
      </w:r>
      <w:r w:rsidR="009807F6" w:rsidRPr="00E72735">
        <w:rPr>
          <w:rFonts w:ascii="Verdana" w:hAnsi="Verdana"/>
          <w:b/>
          <w:bCs/>
          <w:color w:val="153D63" w:themeColor="text2" w:themeTint="E6"/>
        </w:rPr>
        <w:t>Impact Level: Assurance</w:t>
      </w:r>
    </w:p>
    <w:p w14:paraId="03EB8999" w14:textId="6A182E73" w:rsidR="009807F6" w:rsidRPr="00E72735" w:rsidRDefault="009115B6" w:rsidP="009807F6">
      <w:pPr>
        <w:rPr>
          <w:rFonts w:ascii="Verdana" w:hAnsi="Verdana"/>
          <w:color w:val="153D63" w:themeColor="text2" w:themeTint="E6"/>
        </w:rPr>
      </w:pPr>
      <w:r w:rsidRPr="00E72735">
        <w:rPr>
          <w:rFonts w:ascii="Verdana" w:hAnsi="Verdana" w:cs="Segoe UI"/>
        </w:rPr>
        <w:t>Re</w:t>
      </w:r>
      <w:r w:rsidRPr="00E72735">
        <w:rPr>
          <w:rFonts w:ascii="Verdana" w:hAnsi="Verdana" w:cs="Segoe UI"/>
        </w:rPr>
        <w:noBreakHyphen/>
        <w:t xml:space="preserve">audit of Weight Bearing Status Documentation.  Repeated audit cycles demonstrated sustained compliance following system changes. Residual risk remained low. </w:t>
      </w:r>
      <w:r w:rsidRPr="00E72735">
        <w:rPr>
          <w:rStyle w:val="Emphasis"/>
          <w:rFonts w:ascii="Verdana" w:hAnsi="Verdana" w:cs="Segoe UI"/>
        </w:rPr>
        <w:t>(Risk score: 2)</w:t>
      </w:r>
      <w:r w:rsidR="009807F6" w:rsidRPr="00E72735">
        <w:rPr>
          <w:rStyle w:val="Emphasis"/>
          <w:rFonts w:ascii="Verdana" w:hAnsi="Verdana" w:cs="Segoe UI"/>
        </w:rPr>
        <w:t xml:space="preserve">                                                                                    </w:t>
      </w:r>
      <w:r w:rsidR="009807F6" w:rsidRPr="00E72735">
        <w:rPr>
          <w:rFonts w:ascii="Verdana" w:hAnsi="Verdana"/>
          <w:b/>
          <w:bCs/>
          <w:color w:val="153D63" w:themeColor="text2" w:themeTint="E6"/>
        </w:rPr>
        <w:t>Impact Level: Assurance</w:t>
      </w:r>
    </w:p>
    <w:p w14:paraId="19DAB413" w14:textId="730405C1" w:rsidR="009807F6" w:rsidRPr="00E72735" w:rsidRDefault="009115B6" w:rsidP="009807F6">
      <w:pPr>
        <w:rPr>
          <w:rFonts w:ascii="Verdana" w:hAnsi="Verdana"/>
          <w:color w:val="153D63" w:themeColor="text2" w:themeTint="E6"/>
        </w:rPr>
      </w:pPr>
      <w:r w:rsidRPr="00E72735">
        <w:rPr>
          <w:rFonts w:ascii="Verdana" w:hAnsi="Verdana" w:cs="Segoe UI"/>
        </w:rPr>
        <w:t xml:space="preserve">Operating for Neck of Femur Fractures.  The audit reviewed operative exposure and outcomes for resident doctors. No concerns were identified. </w:t>
      </w:r>
      <w:r w:rsidRPr="00E72735">
        <w:rPr>
          <w:rStyle w:val="Emphasis"/>
          <w:rFonts w:ascii="Verdana" w:hAnsi="Verdana" w:cs="Segoe UI"/>
        </w:rPr>
        <w:t>(Risk score: 2)</w:t>
      </w:r>
      <w:r w:rsidR="009807F6" w:rsidRPr="00E72735">
        <w:rPr>
          <w:rStyle w:val="Emphasis"/>
          <w:rFonts w:ascii="Verdana" w:hAnsi="Verdana" w:cs="Segoe UI"/>
        </w:rPr>
        <w:t xml:space="preserve">                                                                                                           </w:t>
      </w:r>
      <w:r w:rsidR="009807F6" w:rsidRPr="00E72735">
        <w:rPr>
          <w:rFonts w:ascii="Verdana" w:hAnsi="Verdana"/>
          <w:b/>
          <w:bCs/>
          <w:color w:val="153D63" w:themeColor="text2" w:themeTint="E6"/>
        </w:rPr>
        <w:t>Impact Level: Assurance</w:t>
      </w:r>
    </w:p>
    <w:p w14:paraId="2FD66D99" w14:textId="763AECA1" w:rsidR="009115B6" w:rsidRPr="00E72735" w:rsidRDefault="009115B6" w:rsidP="009115B6">
      <w:pPr>
        <w:pStyle w:val="Heading3"/>
        <w:spacing w:line="240" w:lineRule="auto"/>
        <w:rPr>
          <w:rStyle w:val="Emphasis"/>
          <w:rFonts w:ascii="Verdana" w:hAnsi="Verdana" w:cs="Segoe UI"/>
          <w:color w:val="auto"/>
          <w:sz w:val="22"/>
          <w:szCs w:val="22"/>
        </w:rPr>
      </w:pPr>
    </w:p>
    <w:p w14:paraId="56DFF4D4" w14:textId="1B11611E" w:rsidR="00CA01F3" w:rsidRPr="00E72735" w:rsidRDefault="00CA01F3">
      <w:pPr>
        <w:rPr>
          <w:rFonts w:ascii="Verdana" w:hAnsi="Verdana" w:cs="Arial"/>
          <w:b/>
          <w:bCs/>
        </w:rPr>
        <w:sectPr w:rsidR="00CA01F3" w:rsidRPr="00E72735" w:rsidSect="00BA00B1">
          <w:type w:val="continuous"/>
          <w:pgSz w:w="11906" w:h="16838"/>
          <w:pgMar w:top="1276" w:right="1440" w:bottom="1276" w:left="1440" w:header="708" w:footer="708" w:gutter="0"/>
          <w:pgNumType w:start="18"/>
          <w:cols w:space="286"/>
          <w:docGrid w:linePitch="360"/>
        </w:sectPr>
      </w:pPr>
    </w:p>
    <w:p w14:paraId="3B014E6B" w14:textId="1E8303CD" w:rsidR="00CA01F3" w:rsidRPr="00135334" w:rsidRDefault="002D2E5A" w:rsidP="00135334">
      <w:pPr>
        <w:tabs>
          <w:tab w:val="left" w:pos="567"/>
          <w:tab w:val="left" w:pos="709"/>
          <w:tab w:val="left" w:pos="851"/>
        </w:tabs>
        <w:rPr>
          <w:rFonts w:ascii="Verdana" w:hAnsi="Verdana" w:cs="Arial"/>
          <w:b/>
          <w:bCs/>
          <w:sz w:val="24"/>
          <w:szCs w:val="24"/>
        </w:rPr>
        <w:sectPr w:rsidR="00CA01F3" w:rsidRPr="00135334" w:rsidSect="008B017D">
          <w:pgSz w:w="16838" w:h="11906" w:orient="landscape"/>
          <w:pgMar w:top="1440" w:right="1276" w:bottom="1440" w:left="1276" w:header="709" w:footer="709" w:gutter="0"/>
          <w:cols w:space="286"/>
          <w:docGrid w:linePitch="360"/>
        </w:sectPr>
      </w:pPr>
      <w:r>
        <w:rPr>
          <w:rFonts w:ascii="Verdana" w:hAnsi="Verdana" w:cs="Arial"/>
          <w:b/>
          <w:bCs/>
          <w:sz w:val="24"/>
          <w:szCs w:val="24"/>
        </w:rPr>
        <w:lastRenderedPageBreak/>
        <w:t xml:space="preserve">Appendix 5.  </w:t>
      </w:r>
      <w:r w:rsidR="002E5C7A">
        <w:rPr>
          <w:rFonts w:ascii="Verdana" w:hAnsi="Verdana" w:cs="Arial"/>
          <w:b/>
          <w:bCs/>
          <w:sz w:val="24"/>
          <w:szCs w:val="24"/>
        </w:rPr>
        <w:t xml:space="preserve">Confirmed </w:t>
      </w:r>
      <w:r>
        <w:rPr>
          <w:rFonts w:ascii="Verdana" w:hAnsi="Verdana" w:cs="Arial"/>
          <w:b/>
          <w:bCs/>
          <w:sz w:val="24"/>
          <w:szCs w:val="24"/>
        </w:rPr>
        <w:t xml:space="preserve">Audit Plan </w:t>
      </w:r>
      <w:r w:rsidR="002E5C7A">
        <w:rPr>
          <w:rFonts w:ascii="Verdana" w:hAnsi="Verdana" w:cs="Arial"/>
          <w:b/>
          <w:bCs/>
          <w:sz w:val="24"/>
          <w:szCs w:val="24"/>
        </w:rPr>
        <w:t xml:space="preserve">Topics </w:t>
      </w:r>
      <w:r>
        <w:rPr>
          <w:rFonts w:ascii="Verdana" w:hAnsi="Verdana" w:cs="Arial"/>
          <w:b/>
          <w:bCs/>
          <w:sz w:val="24"/>
          <w:szCs w:val="24"/>
        </w:rPr>
        <w:t>2026-28</w:t>
      </w:r>
      <w:r w:rsidR="00135334">
        <w:rPr>
          <w:rFonts w:ascii="Verdana" w:hAnsi="Verdana" w:cs="Arial"/>
          <w:b/>
          <w:bCs/>
          <w:sz w:val="24"/>
          <w:szCs w:val="24"/>
        </w:rPr>
        <w:t xml:space="preserve"> (Contributing Specialties)</w:t>
      </w:r>
    </w:p>
    <w:tbl>
      <w:tblPr>
        <w:tblW w:w="6120" w:type="dxa"/>
        <w:tblLook w:val="04A0" w:firstRow="1" w:lastRow="0" w:firstColumn="1" w:lastColumn="0" w:noHBand="0" w:noVBand="1"/>
      </w:tblPr>
      <w:tblGrid>
        <w:gridCol w:w="3120"/>
        <w:gridCol w:w="160"/>
        <w:gridCol w:w="300"/>
        <w:gridCol w:w="940"/>
        <w:gridCol w:w="1576"/>
        <w:gridCol w:w="24"/>
      </w:tblGrid>
      <w:tr w:rsidR="002E5C7A" w:rsidRPr="002E5C7A" w14:paraId="68285CB9" w14:textId="77777777" w:rsidTr="00BF2D58">
        <w:trPr>
          <w:trHeight w:val="300"/>
        </w:trPr>
        <w:tc>
          <w:tcPr>
            <w:tcW w:w="6120" w:type="dxa"/>
            <w:gridSpan w:val="6"/>
            <w:shd w:val="clear" w:color="C0E6F5" w:fill="8DB6E2"/>
            <w:noWrap/>
            <w:vAlign w:val="bottom"/>
            <w:hideMark/>
          </w:tcPr>
          <w:p w14:paraId="44400C65" w14:textId="399C449F" w:rsidR="002E5C7A" w:rsidRPr="002E5C7A" w:rsidRDefault="002E5C7A" w:rsidP="002E5C7A">
            <w:pPr>
              <w:spacing w:after="0" w:line="240" w:lineRule="auto"/>
              <w:rPr>
                <w:rFonts w:ascii="Arial" w:eastAsia="Times New Roman" w:hAnsi="Arial" w:cs="Arial"/>
                <w:b/>
                <w:bCs/>
                <w:color w:val="000000"/>
                <w:lang w:eastAsia="en-GB"/>
              </w:rPr>
            </w:pPr>
            <w:r>
              <w:rPr>
                <w:rFonts w:ascii="Arial" w:eastAsia="Times New Roman" w:hAnsi="Arial" w:cs="Arial"/>
                <w:b/>
                <w:bCs/>
                <w:color w:val="000000"/>
                <w:lang w:eastAsia="en-GB"/>
              </w:rPr>
              <w:t xml:space="preserve">Mental Health </w:t>
            </w:r>
            <w:r w:rsidR="00CA01F3">
              <w:rPr>
                <w:rFonts w:ascii="Arial" w:eastAsia="Times New Roman" w:hAnsi="Arial" w:cs="Arial"/>
                <w:b/>
                <w:bCs/>
                <w:color w:val="000000"/>
                <w:lang w:eastAsia="en-GB"/>
              </w:rPr>
              <w:t>and</w:t>
            </w:r>
            <w:r>
              <w:rPr>
                <w:rFonts w:ascii="Arial" w:eastAsia="Times New Roman" w:hAnsi="Arial" w:cs="Arial"/>
                <w:b/>
                <w:bCs/>
                <w:color w:val="000000"/>
                <w:lang w:eastAsia="en-GB"/>
              </w:rPr>
              <w:t xml:space="preserve"> Learning Disabilities</w:t>
            </w:r>
          </w:p>
        </w:tc>
      </w:tr>
      <w:tr w:rsidR="002E5C7A" w:rsidRPr="002E5C7A" w14:paraId="74EAC1AF" w14:textId="77777777" w:rsidTr="00BF2D58">
        <w:trPr>
          <w:trHeight w:val="300"/>
        </w:trPr>
        <w:tc>
          <w:tcPr>
            <w:tcW w:w="4520" w:type="dxa"/>
            <w:gridSpan w:val="4"/>
            <w:shd w:val="clear" w:color="auto" w:fill="DAE9F7" w:themeFill="text2" w:themeFillTint="1A"/>
            <w:noWrap/>
            <w:vAlign w:val="bottom"/>
            <w:hideMark/>
          </w:tcPr>
          <w:p w14:paraId="6F7A23D5" w14:textId="77777777" w:rsidR="002E5C7A" w:rsidRPr="002E5C7A" w:rsidRDefault="002E5C7A" w:rsidP="002E5C7A">
            <w:pPr>
              <w:spacing w:after="0" w:line="240" w:lineRule="auto"/>
              <w:rPr>
                <w:rFonts w:ascii="Arial" w:eastAsia="Times New Roman" w:hAnsi="Arial" w:cs="Arial"/>
                <w:b/>
                <w:bCs/>
                <w:i/>
                <w:iCs/>
                <w:color w:val="000000"/>
                <w:lang w:eastAsia="en-GB"/>
              </w:rPr>
            </w:pPr>
            <w:r w:rsidRPr="002E5C7A">
              <w:rPr>
                <w:rFonts w:ascii="Arial" w:eastAsia="Times New Roman" w:hAnsi="Arial" w:cs="Arial"/>
                <w:b/>
                <w:bCs/>
                <w:i/>
                <w:iCs/>
                <w:color w:val="000000"/>
                <w:lang w:eastAsia="en-GB"/>
              </w:rPr>
              <w:t>Live</w:t>
            </w:r>
          </w:p>
        </w:tc>
        <w:tc>
          <w:tcPr>
            <w:tcW w:w="1600" w:type="dxa"/>
            <w:gridSpan w:val="2"/>
            <w:shd w:val="clear" w:color="auto" w:fill="DAE9F7" w:themeFill="text2" w:themeFillTint="1A"/>
            <w:noWrap/>
            <w:vAlign w:val="bottom"/>
            <w:hideMark/>
          </w:tcPr>
          <w:p w14:paraId="3BBDA188" w14:textId="77777777" w:rsidR="002E5C7A" w:rsidRPr="002E5C7A" w:rsidRDefault="002E5C7A" w:rsidP="002E5C7A">
            <w:pPr>
              <w:spacing w:after="0" w:line="240" w:lineRule="auto"/>
              <w:jc w:val="right"/>
              <w:rPr>
                <w:rFonts w:ascii="Arial" w:eastAsia="Times New Roman" w:hAnsi="Arial" w:cs="Arial"/>
                <w:b/>
                <w:bCs/>
                <w:i/>
                <w:iCs/>
                <w:color w:val="000000"/>
                <w:lang w:eastAsia="en-GB"/>
              </w:rPr>
            </w:pPr>
            <w:r w:rsidRPr="002E5C7A">
              <w:rPr>
                <w:rFonts w:ascii="Arial" w:eastAsia="Times New Roman" w:hAnsi="Arial" w:cs="Arial"/>
                <w:b/>
                <w:bCs/>
                <w:i/>
                <w:iCs/>
                <w:color w:val="000000"/>
                <w:lang w:eastAsia="en-GB"/>
              </w:rPr>
              <w:t>13</w:t>
            </w:r>
          </w:p>
        </w:tc>
      </w:tr>
      <w:tr w:rsidR="002E5C7A" w:rsidRPr="002E5C7A" w14:paraId="6E308674" w14:textId="77777777" w:rsidTr="00BF2D58">
        <w:trPr>
          <w:trHeight w:val="285"/>
        </w:trPr>
        <w:tc>
          <w:tcPr>
            <w:tcW w:w="4520" w:type="dxa"/>
            <w:gridSpan w:val="4"/>
            <w:shd w:val="clear" w:color="auto" w:fill="DAE9F7" w:themeFill="text2" w:themeFillTint="1A"/>
            <w:noWrap/>
            <w:vAlign w:val="bottom"/>
            <w:hideMark/>
          </w:tcPr>
          <w:p w14:paraId="6D154A43" w14:textId="77777777" w:rsidR="002E5C7A" w:rsidRPr="002E5C7A" w:rsidRDefault="002E5C7A" w:rsidP="002E5C7A">
            <w:pPr>
              <w:spacing w:after="0" w:line="240" w:lineRule="auto"/>
              <w:ind w:firstLineChars="100" w:firstLine="220"/>
              <w:rPr>
                <w:rFonts w:ascii="Arial" w:eastAsia="Times New Roman" w:hAnsi="Arial" w:cs="Arial"/>
                <w:color w:val="000000"/>
                <w:lang w:eastAsia="en-GB"/>
              </w:rPr>
            </w:pPr>
            <w:r w:rsidRPr="002E5C7A">
              <w:rPr>
                <w:rFonts w:ascii="Arial" w:eastAsia="Times New Roman" w:hAnsi="Arial" w:cs="Arial"/>
                <w:color w:val="000000"/>
                <w:lang w:eastAsia="en-GB"/>
              </w:rPr>
              <w:t>Adult Mental Health</w:t>
            </w:r>
          </w:p>
        </w:tc>
        <w:tc>
          <w:tcPr>
            <w:tcW w:w="1600" w:type="dxa"/>
            <w:gridSpan w:val="2"/>
            <w:shd w:val="clear" w:color="auto" w:fill="DAE9F7" w:themeFill="text2" w:themeFillTint="1A"/>
            <w:noWrap/>
            <w:vAlign w:val="bottom"/>
            <w:hideMark/>
          </w:tcPr>
          <w:p w14:paraId="64CED78F" w14:textId="77777777" w:rsidR="002E5C7A" w:rsidRPr="002E5C7A" w:rsidRDefault="002E5C7A" w:rsidP="002E5C7A">
            <w:pPr>
              <w:spacing w:after="0" w:line="240" w:lineRule="auto"/>
              <w:jc w:val="right"/>
              <w:rPr>
                <w:rFonts w:ascii="Arial" w:eastAsia="Times New Roman" w:hAnsi="Arial" w:cs="Arial"/>
                <w:color w:val="000000"/>
                <w:lang w:eastAsia="en-GB"/>
              </w:rPr>
            </w:pPr>
            <w:r w:rsidRPr="002E5C7A">
              <w:rPr>
                <w:rFonts w:ascii="Arial" w:eastAsia="Times New Roman" w:hAnsi="Arial" w:cs="Arial"/>
                <w:color w:val="000000"/>
                <w:lang w:eastAsia="en-GB"/>
              </w:rPr>
              <w:t>4</w:t>
            </w:r>
          </w:p>
        </w:tc>
      </w:tr>
      <w:tr w:rsidR="002E5C7A" w:rsidRPr="002E5C7A" w14:paraId="50B5D9CE" w14:textId="77777777" w:rsidTr="00BF2D58">
        <w:trPr>
          <w:trHeight w:val="285"/>
        </w:trPr>
        <w:tc>
          <w:tcPr>
            <w:tcW w:w="4520" w:type="dxa"/>
            <w:gridSpan w:val="4"/>
            <w:shd w:val="clear" w:color="auto" w:fill="DAE9F7" w:themeFill="text2" w:themeFillTint="1A"/>
            <w:noWrap/>
            <w:vAlign w:val="bottom"/>
            <w:hideMark/>
          </w:tcPr>
          <w:p w14:paraId="56A2F37F" w14:textId="41BE0038" w:rsidR="002E5C7A" w:rsidRPr="002E5C7A" w:rsidRDefault="002E5C7A" w:rsidP="002E5C7A">
            <w:pPr>
              <w:spacing w:after="0" w:line="240" w:lineRule="auto"/>
              <w:ind w:firstLineChars="100" w:firstLine="220"/>
              <w:rPr>
                <w:rFonts w:ascii="Arial" w:eastAsia="Times New Roman" w:hAnsi="Arial" w:cs="Arial"/>
                <w:color w:val="000000"/>
                <w:lang w:eastAsia="en-GB"/>
              </w:rPr>
            </w:pPr>
            <w:r w:rsidRPr="002E5C7A">
              <w:rPr>
                <w:rFonts w:ascii="Arial" w:eastAsia="Times New Roman" w:hAnsi="Arial" w:cs="Arial"/>
                <w:color w:val="000000"/>
                <w:lang w:eastAsia="en-GB"/>
              </w:rPr>
              <w:t>C</w:t>
            </w:r>
            <w:r>
              <w:rPr>
                <w:rFonts w:ascii="Arial" w:eastAsia="Times New Roman" w:hAnsi="Arial" w:cs="Arial"/>
                <w:color w:val="000000"/>
                <w:lang w:eastAsia="en-GB"/>
              </w:rPr>
              <w:t xml:space="preserve">ommunity </w:t>
            </w:r>
            <w:r w:rsidRPr="002E5C7A">
              <w:rPr>
                <w:rFonts w:ascii="Arial" w:eastAsia="Times New Roman" w:hAnsi="Arial" w:cs="Arial"/>
                <w:color w:val="000000"/>
                <w:lang w:eastAsia="en-GB"/>
              </w:rPr>
              <w:t>D</w:t>
            </w:r>
            <w:r>
              <w:rPr>
                <w:rFonts w:ascii="Arial" w:eastAsia="Times New Roman" w:hAnsi="Arial" w:cs="Arial"/>
                <w:color w:val="000000"/>
                <w:lang w:eastAsia="en-GB"/>
              </w:rPr>
              <w:t xml:space="preserve">rugs and </w:t>
            </w:r>
            <w:r w:rsidRPr="002E5C7A">
              <w:rPr>
                <w:rFonts w:ascii="Arial" w:eastAsia="Times New Roman" w:hAnsi="Arial" w:cs="Arial"/>
                <w:color w:val="000000"/>
                <w:lang w:eastAsia="en-GB"/>
              </w:rPr>
              <w:t>A</w:t>
            </w:r>
            <w:r>
              <w:rPr>
                <w:rFonts w:ascii="Arial" w:eastAsia="Times New Roman" w:hAnsi="Arial" w:cs="Arial"/>
                <w:color w:val="000000"/>
                <w:lang w:eastAsia="en-GB"/>
              </w:rPr>
              <w:t xml:space="preserve">lcohol </w:t>
            </w:r>
            <w:r w:rsidRPr="002E5C7A">
              <w:rPr>
                <w:rFonts w:ascii="Arial" w:eastAsia="Times New Roman" w:hAnsi="Arial" w:cs="Arial"/>
                <w:color w:val="000000"/>
                <w:lang w:eastAsia="en-GB"/>
              </w:rPr>
              <w:t>T</w:t>
            </w:r>
            <w:r>
              <w:rPr>
                <w:rFonts w:ascii="Arial" w:eastAsia="Times New Roman" w:hAnsi="Arial" w:cs="Arial"/>
                <w:color w:val="000000"/>
                <w:lang w:eastAsia="en-GB"/>
              </w:rPr>
              <w:t>eam</w:t>
            </w:r>
          </w:p>
        </w:tc>
        <w:tc>
          <w:tcPr>
            <w:tcW w:w="1600" w:type="dxa"/>
            <w:gridSpan w:val="2"/>
            <w:shd w:val="clear" w:color="auto" w:fill="DAE9F7" w:themeFill="text2" w:themeFillTint="1A"/>
            <w:noWrap/>
            <w:vAlign w:val="bottom"/>
            <w:hideMark/>
          </w:tcPr>
          <w:p w14:paraId="44642395" w14:textId="77777777" w:rsidR="002E5C7A" w:rsidRPr="002E5C7A" w:rsidRDefault="002E5C7A" w:rsidP="002E5C7A">
            <w:pPr>
              <w:spacing w:after="0" w:line="240" w:lineRule="auto"/>
              <w:jc w:val="right"/>
              <w:rPr>
                <w:rFonts w:ascii="Arial" w:eastAsia="Times New Roman" w:hAnsi="Arial" w:cs="Arial"/>
                <w:color w:val="000000"/>
                <w:lang w:eastAsia="en-GB"/>
              </w:rPr>
            </w:pPr>
            <w:r w:rsidRPr="002E5C7A">
              <w:rPr>
                <w:rFonts w:ascii="Arial" w:eastAsia="Times New Roman" w:hAnsi="Arial" w:cs="Arial"/>
                <w:color w:val="000000"/>
                <w:lang w:eastAsia="en-GB"/>
              </w:rPr>
              <w:t>3</w:t>
            </w:r>
          </w:p>
        </w:tc>
      </w:tr>
      <w:tr w:rsidR="002E5C7A" w:rsidRPr="002E5C7A" w14:paraId="7199C63B" w14:textId="77777777" w:rsidTr="00BF2D58">
        <w:trPr>
          <w:trHeight w:val="285"/>
        </w:trPr>
        <w:tc>
          <w:tcPr>
            <w:tcW w:w="4520" w:type="dxa"/>
            <w:gridSpan w:val="4"/>
            <w:shd w:val="clear" w:color="auto" w:fill="DAE9F7" w:themeFill="text2" w:themeFillTint="1A"/>
            <w:noWrap/>
            <w:vAlign w:val="bottom"/>
            <w:hideMark/>
          </w:tcPr>
          <w:p w14:paraId="6B718308" w14:textId="77777777" w:rsidR="002E5C7A" w:rsidRPr="002E5C7A" w:rsidRDefault="002E5C7A" w:rsidP="002E5C7A">
            <w:pPr>
              <w:spacing w:after="0" w:line="240" w:lineRule="auto"/>
              <w:ind w:firstLineChars="100" w:firstLine="220"/>
              <w:rPr>
                <w:rFonts w:ascii="Arial" w:eastAsia="Times New Roman" w:hAnsi="Arial" w:cs="Arial"/>
                <w:color w:val="000000"/>
                <w:lang w:eastAsia="en-GB"/>
              </w:rPr>
            </w:pPr>
            <w:r w:rsidRPr="002E5C7A">
              <w:rPr>
                <w:rFonts w:ascii="Arial" w:eastAsia="Times New Roman" w:hAnsi="Arial" w:cs="Arial"/>
                <w:color w:val="000000"/>
                <w:lang w:eastAsia="en-GB"/>
              </w:rPr>
              <w:t>Liaison Psychiatry Team</w:t>
            </w:r>
          </w:p>
        </w:tc>
        <w:tc>
          <w:tcPr>
            <w:tcW w:w="1600" w:type="dxa"/>
            <w:gridSpan w:val="2"/>
            <w:shd w:val="clear" w:color="auto" w:fill="DAE9F7" w:themeFill="text2" w:themeFillTint="1A"/>
            <w:noWrap/>
            <w:vAlign w:val="bottom"/>
            <w:hideMark/>
          </w:tcPr>
          <w:p w14:paraId="7CBCC9E1" w14:textId="77777777" w:rsidR="002E5C7A" w:rsidRPr="002E5C7A" w:rsidRDefault="002E5C7A" w:rsidP="002E5C7A">
            <w:pPr>
              <w:spacing w:after="0" w:line="240" w:lineRule="auto"/>
              <w:jc w:val="right"/>
              <w:rPr>
                <w:rFonts w:ascii="Arial" w:eastAsia="Times New Roman" w:hAnsi="Arial" w:cs="Arial"/>
                <w:color w:val="000000"/>
                <w:lang w:eastAsia="en-GB"/>
              </w:rPr>
            </w:pPr>
            <w:r w:rsidRPr="002E5C7A">
              <w:rPr>
                <w:rFonts w:ascii="Arial" w:eastAsia="Times New Roman" w:hAnsi="Arial" w:cs="Arial"/>
                <w:color w:val="000000"/>
                <w:lang w:eastAsia="en-GB"/>
              </w:rPr>
              <w:t>1</w:t>
            </w:r>
          </w:p>
        </w:tc>
      </w:tr>
      <w:tr w:rsidR="002E5C7A" w:rsidRPr="002E5C7A" w14:paraId="37AD5736" w14:textId="77777777" w:rsidTr="00BF2D58">
        <w:trPr>
          <w:trHeight w:val="285"/>
        </w:trPr>
        <w:tc>
          <w:tcPr>
            <w:tcW w:w="4520" w:type="dxa"/>
            <w:gridSpan w:val="4"/>
            <w:shd w:val="clear" w:color="auto" w:fill="DAE9F7" w:themeFill="text2" w:themeFillTint="1A"/>
            <w:noWrap/>
            <w:vAlign w:val="bottom"/>
            <w:hideMark/>
          </w:tcPr>
          <w:p w14:paraId="3356AB43" w14:textId="77777777" w:rsidR="002E5C7A" w:rsidRPr="002E5C7A" w:rsidRDefault="002E5C7A" w:rsidP="002E5C7A">
            <w:pPr>
              <w:spacing w:after="0" w:line="240" w:lineRule="auto"/>
              <w:ind w:firstLineChars="100" w:firstLine="220"/>
              <w:rPr>
                <w:rFonts w:ascii="Arial" w:eastAsia="Times New Roman" w:hAnsi="Arial" w:cs="Arial"/>
                <w:color w:val="000000"/>
                <w:lang w:eastAsia="en-GB"/>
              </w:rPr>
            </w:pPr>
            <w:r w:rsidRPr="002E5C7A">
              <w:rPr>
                <w:rFonts w:ascii="Arial" w:eastAsia="Times New Roman" w:hAnsi="Arial" w:cs="Arial"/>
                <w:color w:val="000000"/>
                <w:lang w:eastAsia="en-GB"/>
              </w:rPr>
              <w:t>Mental Health and Learning Disabilities</w:t>
            </w:r>
          </w:p>
        </w:tc>
        <w:tc>
          <w:tcPr>
            <w:tcW w:w="1600" w:type="dxa"/>
            <w:gridSpan w:val="2"/>
            <w:shd w:val="clear" w:color="auto" w:fill="DAE9F7" w:themeFill="text2" w:themeFillTint="1A"/>
            <w:noWrap/>
            <w:vAlign w:val="bottom"/>
            <w:hideMark/>
          </w:tcPr>
          <w:p w14:paraId="1EF4FD7D" w14:textId="77777777" w:rsidR="002E5C7A" w:rsidRPr="002E5C7A" w:rsidRDefault="002E5C7A" w:rsidP="002E5C7A">
            <w:pPr>
              <w:spacing w:after="0" w:line="240" w:lineRule="auto"/>
              <w:jc w:val="right"/>
              <w:rPr>
                <w:rFonts w:ascii="Arial" w:eastAsia="Times New Roman" w:hAnsi="Arial" w:cs="Arial"/>
                <w:color w:val="000000"/>
                <w:lang w:eastAsia="en-GB"/>
              </w:rPr>
            </w:pPr>
            <w:r w:rsidRPr="002E5C7A">
              <w:rPr>
                <w:rFonts w:ascii="Arial" w:eastAsia="Times New Roman" w:hAnsi="Arial" w:cs="Arial"/>
                <w:color w:val="000000"/>
                <w:lang w:eastAsia="en-GB"/>
              </w:rPr>
              <w:t>2</w:t>
            </w:r>
          </w:p>
        </w:tc>
      </w:tr>
      <w:tr w:rsidR="002E5C7A" w:rsidRPr="002E5C7A" w14:paraId="4FA37935" w14:textId="77777777" w:rsidTr="00BF2D58">
        <w:trPr>
          <w:trHeight w:val="300"/>
        </w:trPr>
        <w:tc>
          <w:tcPr>
            <w:tcW w:w="4520" w:type="dxa"/>
            <w:gridSpan w:val="4"/>
            <w:shd w:val="clear" w:color="auto" w:fill="DAE9F7" w:themeFill="text2" w:themeFillTint="1A"/>
            <w:noWrap/>
            <w:vAlign w:val="bottom"/>
            <w:hideMark/>
          </w:tcPr>
          <w:p w14:paraId="0FF7924E" w14:textId="77777777" w:rsidR="002E5C7A" w:rsidRPr="002E5C7A" w:rsidRDefault="002E5C7A" w:rsidP="002E5C7A">
            <w:pPr>
              <w:spacing w:after="0" w:line="240" w:lineRule="auto"/>
              <w:ind w:firstLineChars="100" w:firstLine="220"/>
              <w:rPr>
                <w:rFonts w:ascii="Arial" w:eastAsia="Times New Roman" w:hAnsi="Arial" w:cs="Arial"/>
                <w:color w:val="000000"/>
                <w:lang w:eastAsia="en-GB"/>
              </w:rPr>
            </w:pPr>
            <w:r w:rsidRPr="002E5C7A">
              <w:rPr>
                <w:rFonts w:ascii="Arial" w:eastAsia="Times New Roman" w:hAnsi="Arial" w:cs="Arial"/>
                <w:color w:val="000000"/>
                <w:lang w:eastAsia="en-GB"/>
              </w:rPr>
              <w:t>Perinatal Mental Health</w:t>
            </w:r>
          </w:p>
        </w:tc>
        <w:tc>
          <w:tcPr>
            <w:tcW w:w="1600" w:type="dxa"/>
            <w:gridSpan w:val="2"/>
            <w:shd w:val="clear" w:color="auto" w:fill="DAE9F7" w:themeFill="text2" w:themeFillTint="1A"/>
            <w:noWrap/>
            <w:vAlign w:val="bottom"/>
            <w:hideMark/>
          </w:tcPr>
          <w:p w14:paraId="27B46C17" w14:textId="77777777" w:rsidR="002E5C7A" w:rsidRPr="002E5C7A" w:rsidRDefault="002E5C7A" w:rsidP="002E5C7A">
            <w:pPr>
              <w:spacing w:after="0" w:line="240" w:lineRule="auto"/>
              <w:jc w:val="right"/>
              <w:rPr>
                <w:rFonts w:ascii="Arial" w:eastAsia="Times New Roman" w:hAnsi="Arial" w:cs="Arial"/>
                <w:color w:val="000000"/>
                <w:lang w:eastAsia="en-GB"/>
              </w:rPr>
            </w:pPr>
            <w:r w:rsidRPr="002E5C7A">
              <w:rPr>
                <w:rFonts w:ascii="Arial" w:eastAsia="Times New Roman" w:hAnsi="Arial" w:cs="Arial"/>
                <w:color w:val="000000"/>
                <w:lang w:eastAsia="en-GB"/>
              </w:rPr>
              <w:t>1</w:t>
            </w:r>
          </w:p>
        </w:tc>
      </w:tr>
      <w:tr w:rsidR="002E5C7A" w:rsidRPr="002E5C7A" w14:paraId="2C5D4C06" w14:textId="77777777" w:rsidTr="00BF2D58">
        <w:trPr>
          <w:trHeight w:val="285"/>
        </w:trPr>
        <w:tc>
          <w:tcPr>
            <w:tcW w:w="4520" w:type="dxa"/>
            <w:gridSpan w:val="4"/>
            <w:shd w:val="clear" w:color="auto" w:fill="DAE9F7" w:themeFill="text2" w:themeFillTint="1A"/>
            <w:noWrap/>
            <w:vAlign w:val="bottom"/>
            <w:hideMark/>
          </w:tcPr>
          <w:p w14:paraId="4D6DD1B3" w14:textId="77777777" w:rsidR="002E5C7A" w:rsidRPr="002E5C7A" w:rsidRDefault="002E5C7A" w:rsidP="002E5C7A">
            <w:pPr>
              <w:spacing w:after="0" w:line="240" w:lineRule="auto"/>
              <w:ind w:firstLineChars="100" w:firstLine="220"/>
              <w:rPr>
                <w:rFonts w:ascii="Arial" w:eastAsia="Times New Roman" w:hAnsi="Arial" w:cs="Arial"/>
                <w:color w:val="000000"/>
                <w:lang w:eastAsia="en-GB"/>
              </w:rPr>
            </w:pPr>
            <w:r w:rsidRPr="002E5C7A">
              <w:rPr>
                <w:rFonts w:ascii="Arial" w:eastAsia="Times New Roman" w:hAnsi="Arial" w:cs="Arial"/>
                <w:color w:val="000000"/>
                <w:lang w:eastAsia="en-GB"/>
              </w:rPr>
              <w:t>Psychiatry</w:t>
            </w:r>
          </w:p>
        </w:tc>
        <w:tc>
          <w:tcPr>
            <w:tcW w:w="1600" w:type="dxa"/>
            <w:gridSpan w:val="2"/>
            <w:shd w:val="clear" w:color="auto" w:fill="DAE9F7" w:themeFill="text2" w:themeFillTint="1A"/>
            <w:noWrap/>
            <w:vAlign w:val="bottom"/>
            <w:hideMark/>
          </w:tcPr>
          <w:p w14:paraId="0912AC01" w14:textId="77777777" w:rsidR="002E5C7A" w:rsidRPr="002E5C7A" w:rsidRDefault="002E5C7A" w:rsidP="002E5C7A">
            <w:pPr>
              <w:spacing w:after="0" w:line="240" w:lineRule="auto"/>
              <w:jc w:val="right"/>
              <w:rPr>
                <w:rFonts w:ascii="Arial" w:eastAsia="Times New Roman" w:hAnsi="Arial" w:cs="Arial"/>
                <w:color w:val="000000"/>
                <w:lang w:eastAsia="en-GB"/>
              </w:rPr>
            </w:pPr>
            <w:r w:rsidRPr="002E5C7A">
              <w:rPr>
                <w:rFonts w:ascii="Arial" w:eastAsia="Times New Roman" w:hAnsi="Arial" w:cs="Arial"/>
                <w:color w:val="000000"/>
                <w:lang w:eastAsia="en-GB"/>
              </w:rPr>
              <w:t>2</w:t>
            </w:r>
          </w:p>
        </w:tc>
      </w:tr>
      <w:tr w:rsidR="002E5C7A" w:rsidRPr="002E5C7A" w14:paraId="400ABD01" w14:textId="77777777" w:rsidTr="00BF2D58">
        <w:trPr>
          <w:gridAfter w:val="1"/>
          <w:wAfter w:w="24" w:type="dxa"/>
          <w:trHeight w:val="300"/>
        </w:trPr>
        <w:tc>
          <w:tcPr>
            <w:tcW w:w="6096" w:type="dxa"/>
            <w:gridSpan w:val="5"/>
            <w:shd w:val="clear" w:color="C0E6F5" w:fill="9E4ECA"/>
            <w:noWrap/>
            <w:vAlign w:val="bottom"/>
            <w:hideMark/>
          </w:tcPr>
          <w:p w14:paraId="1F0FE682" w14:textId="5253234F" w:rsidR="002E5C7A" w:rsidRPr="002E5C7A" w:rsidRDefault="002E5C7A" w:rsidP="002E5C7A">
            <w:pPr>
              <w:spacing w:after="0" w:line="240" w:lineRule="auto"/>
              <w:rPr>
                <w:rFonts w:ascii="Arial" w:eastAsia="Times New Roman" w:hAnsi="Arial" w:cs="Arial"/>
                <w:b/>
                <w:bCs/>
                <w:color w:val="000000"/>
                <w:lang w:eastAsia="en-GB"/>
              </w:rPr>
            </w:pPr>
            <w:r>
              <w:rPr>
                <w:rFonts w:ascii="Arial" w:eastAsia="Times New Roman" w:hAnsi="Arial" w:cs="Arial"/>
                <w:b/>
                <w:bCs/>
                <w:color w:val="000000"/>
                <w:lang w:eastAsia="en-GB"/>
              </w:rPr>
              <w:t>Morriston</w:t>
            </w:r>
          </w:p>
        </w:tc>
      </w:tr>
      <w:tr w:rsidR="002E5C7A" w:rsidRPr="002E5C7A" w14:paraId="7F5CCC00" w14:textId="77777777" w:rsidTr="00BF2D58">
        <w:trPr>
          <w:gridAfter w:val="1"/>
          <w:wAfter w:w="24" w:type="dxa"/>
          <w:trHeight w:val="300"/>
        </w:trPr>
        <w:tc>
          <w:tcPr>
            <w:tcW w:w="3120" w:type="dxa"/>
            <w:shd w:val="clear" w:color="auto" w:fill="F2CEED" w:themeFill="accent5" w:themeFillTint="33"/>
            <w:noWrap/>
            <w:vAlign w:val="bottom"/>
            <w:hideMark/>
          </w:tcPr>
          <w:p w14:paraId="7701968B" w14:textId="77777777" w:rsidR="002E5C7A" w:rsidRPr="002E5C7A" w:rsidRDefault="002E5C7A" w:rsidP="002E5C7A">
            <w:pPr>
              <w:spacing w:after="0" w:line="240" w:lineRule="auto"/>
              <w:rPr>
                <w:rFonts w:ascii="Arial" w:eastAsia="Times New Roman" w:hAnsi="Arial" w:cs="Arial"/>
                <w:b/>
                <w:bCs/>
                <w:i/>
                <w:iCs/>
                <w:color w:val="000000"/>
                <w:lang w:eastAsia="en-GB"/>
              </w:rPr>
            </w:pPr>
            <w:r w:rsidRPr="002E5C7A">
              <w:rPr>
                <w:rFonts w:ascii="Arial" w:eastAsia="Times New Roman" w:hAnsi="Arial" w:cs="Arial"/>
                <w:b/>
                <w:bCs/>
                <w:i/>
                <w:iCs/>
                <w:color w:val="000000"/>
                <w:lang w:eastAsia="en-GB"/>
              </w:rPr>
              <w:t>Live</w:t>
            </w:r>
          </w:p>
        </w:tc>
        <w:tc>
          <w:tcPr>
            <w:tcW w:w="2976" w:type="dxa"/>
            <w:gridSpan w:val="4"/>
            <w:shd w:val="clear" w:color="auto" w:fill="F2CEED" w:themeFill="accent5" w:themeFillTint="33"/>
            <w:noWrap/>
            <w:vAlign w:val="bottom"/>
            <w:hideMark/>
          </w:tcPr>
          <w:p w14:paraId="12F941C5" w14:textId="77777777" w:rsidR="002E5C7A" w:rsidRPr="002E5C7A" w:rsidRDefault="002E5C7A" w:rsidP="002E5C7A">
            <w:pPr>
              <w:spacing w:after="0" w:line="240" w:lineRule="auto"/>
              <w:jc w:val="right"/>
              <w:rPr>
                <w:rFonts w:ascii="Arial" w:eastAsia="Times New Roman" w:hAnsi="Arial" w:cs="Arial"/>
                <w:b/>
                <w:bCs/>
                <w:i/>
                <w:iCs/>
                <w:color w:val="000000"/>
                <w:lang w:eastAsia="en-GB"/>
              </w:rPr>
            </w:pPr>
            <w:r w:rsidRPr="002E5C7A">
              <w:rPr>
                <w:rFonts w:ascii="Arial" w:eastAsia="Times New Roman" w:hAnsi="Arial" w:cs="Arial"/>
                <w:b/>
                <w:bCs/>
                <w:i/>
                <w:iCs/>
                <w:color w:val="000000"/>
                <w:lang w:eastAsia="en-GB"/>
              </w:rPr>
              <w:t>52</w:t>
            </w:r>
          </w:p>
        </w:tc>
      </w:tr>
      <w:tr w:rsidR="002E5C7A" w:rsidRPr="002E5C7A" w14:paraId="0F5506A6" w14:textId="77777777" w:rsidTr="00BF2D58">
        <w:trPr>
          <w:gridAfter w:val="1"/>
          <w:wAfter w:w="24" w:type="dxa"/>
          <w:trHeight w:val="285"/>
        </w:trPr>
        <w:tc>
          <w:tcPr>
            <w:tcW w:w="3120" w:type="dxa"/>
            <w:shd w:val="clear" w:color="auto" w:fill="F2CEED" w:themeFill="accent5" w:themeFillTint="33"/>
            <w:noWrap/>
            <w:vAlign w:val="bottom"/>
            <w:hideMark/>
          </w:tcPr>
          <w:p w14:paraId="260B0700" w14:textId="77777777" w:rsidR="002E5C7A" w:rsidRPr="002E5C7A" w:rsidRDefault="002E5C7A" w:rsidP="002E5C7A">
            <w:pPr>
              <w:spacing w:after="0" w:line="240" w:lineRule="auto"/>
              <w:ind w:firstLineChars="100" w:firstLine="220"/>
              <w:rPr>
                <w:rFonts w:ascii="Arial" w:eastAsia="Times New Roman" w:hAnsi="Arial" w:cs="Arial"/>
                <w:color w:val="000000"/>
                <w:lang w:eastAsia="en-GB"/>
              </w:rPr>
            </w:pPr>
            <w:r w:rsidRPr="002E5C7A">
              <w:rPr>
                <w:rFonts w:ascii="Arial" w:eastAsia="Times New Roman" w:hAnsi="Arial" w:cs="Arial"/>
                <w:color w:val="000000"/>
                <w:lang w:eastAsia="en-GB"/>
              </w:rPr>
              <w:t>Anaesthetics</w:t>
            </w:r>
          </w:p>
        </w:tc>
        <w:tc>
          <w:tcPr>
            <w:tcW w:w="2976" w:type="dxa"/>
            <w:gridSpan w:val="4"/>
            <w:shd w:val="clear" w:color="auto" w:fill="F2CEED" w:themeFill="accent5" w:themeFillTint="33"/>
            <w:noWrap/>
            <w:vAlign w:val="bottom"/>
            <w:hideMark/>
          </w:tcPr>
          <w:p w14:paraId="10184D2A" w14:textId="77777777" w:rsidR="002E5C7A" w:rsidRPr="002E5C7A" w:rsidRDefault="002E5C7A" w:rsidP="002E5C7A">
            <w:pPr>
              <w:spacing w:after="0" w:line="240" w:lineRule="auto"/>
              <w:jc w:val="right"/>
              <w:rPr>
                <w:rFonts w:ascii="Arial" w:eastAsia="Times New Roman" w:hAnsi="Arial" w:cs="Arial"/>
                <w:color w:val="000000"/>
                <w:lang w:eastAsia="en-GB"/>
              </w:rPr>
            </w:pPr>
            <w:r w:rsidRPr="002E5C7A">
              <w:rPr>
                <w:rFonts w:ascii="Arial" w:eastAsia="Times New Roman" w:hAnsi="Arial" w:cs="Arial"/>
                <w:color w:val="000000"/>
                <w:lang w:eastAsia="en-GB"/>
              </w:rPr>
              <w:t>1</w:t>
            </w:r>
          </w:p>
        </w:tc>
      </w:tr>
      <w:tr w:rsidR="002E5C7A" w:rsidRPr="002E5C7A" w14:paraId="14A74AA0" w14:textId="77777777" w:rsidTr="00BF2D58">
        <w:trPr>
          <w:gridAfter w:val="1"/>
          <w:wAfter w:w="24" w:type="dxa"/>
          <w:trHeight w:val="285"/>
        </w:trPr>
        <w:tc>
          <w:tcPr>
            <w:tcW w:w="3120" w:type="dxa"/>
            <w:shd w:val="clear" w:color="auto" w:fill="F2CEED" w:themeFill="accent5" w:themeFillTint="33"/>
            <w:noWrap/>
            <w:vAlign w:val="bottom"/>
            <w:hideMark/>
          </w:tcPr>
          <w:p w14:paraId="4BECBF3C" w14:textId="77777777" w:rsidR="002E5C7A" w:rsidRPr="002E5C7A" w:rsidRDefault="002E5C7A" w:rsidP="002E5C7A">
            <w:pPr>
              <w:spacing w:after="0" w:line="240" w:lineRule="auto"/>
              <w:ind w:firstLineChars="100" w:firstLine="220"/>
              <w:rPr>
                <w:rFonts w:ascii="Arial" w:eastAsia="Times New Roman" w:hAnsi="Arial" w:cs="Arial"/>
                <w:color w:val="000000"/>
                <w:lang w:eastAsia="en-GB"/>
              </w:rPr>
            </w:pPr>
            <w:r w:rsidRPr="002E5C7A">
              <w:rPr>
                <w:rFonts w:ascii="Arial" w:eastAsia="Times New Roman" w:hAnsi="Arial" w:cs="Arial"/>
                <w:color w:val="000000"/>
                <w:lang w:eastAsia="en-GB"/>
              </w:rPr>
              <w:t>Burns &amp; Plastics</w:t>
            </w:r>
          </w:p>
        </w:tc>
        <w:tc>
          <w:tcPr>
            <w:tcW w:w="2976" w:type="dxa"/>
            <w:gridSpan w:val="4"/>
            <w:shd w:val="clear" w:color="auto" w:fill="F2CEED" w:themeFill="accent5" w:themeFillTint="33"/>
            <w:noWrap/>
            <w:vAlign w:val="bottom"/>
            <w:hideMark/>
          </w:tcPr>
          <w:p w14:paraId="54712BB9" w14:textId="77777777" w:rsidR="002E5C7A" w:rsidRPr="002E5C7A" w:rsidRDefault="002E5C7A" w:rsidP="002E5C7A">
            <w:pPr>
              <w:spacing w:after="0" w:line="240" w:lineRule="auto"/>
              <w:jc w:val="right"/>
              <w:rPr>
                <w:rFonts w:ascii="Arial" w:eastAsia="Times New Roman" w:hAnsi="Arial" w:cs="Arial"/>
                <w:color w:val="000000"/>
                <w:lang w:eastAsia="en-GB"/>
              </w:rPr>
            </w:pPr>
            <w:r w:rsidRPr="002E5C7A">
              <w:rPr>
                <w:rFonts w:ascii="Arial" w:eastAsia="Times New Roman" w:hAnsi="Arial" w:cs="Arial"/>
                <w:color w:val="000000"/>
                <w:lang w:eastAsia="en-GB"/>
              </w:rPr>
              <w:t>5</w:t>
            </w:r>
          </w:p>
        </w:tc>
      </w:tr>
      <w:tr w:rsidR="002E5C7A" w:rsidRPr="002E5C7A" w14:paraId="6635586A" w14:textId="77777777" w:rsidTr="00BF2D58">
        <w:trPr>
          <w:gridAfter w:val="1"/>
          <w:wAfter w:w="24" w:type="dxa"/>
          <w:trHeight w:val="285"/>
        </w:trPr>
        <w:tc>
          <w:tcPr>
            <w:tcW w:w="3120" w:type="dxa"/>
            <w:shd w:val="clear" w:color="auto" w:fill="F2CEED" w:themeFill="accent5" w:themeFillTint="33"/>
            <w:noWrap/>
            <w:vAlign w:val="bottom"/>
            <w:hideMark/>
          </w:tcPr>
          <w:p w14:paraId="70E69D9C" w14:textId="77777777" w:rsidR="002E5C7A" w:rsidRPr="002E5C7A" w:rsidRDefault="002E5C7A" w:rsidP="002E5C7A">
            <w:pPr>
              <w:spacing w:after="0" w:line="240" w:lineRule="auto"/>
              <w:ind w:firstLineChars="100" w:firstLine="220"/>
              <w:rPr>
                <w:rFonts w:ascii="Arial" w:eastAsia="Times New Roman" w:hAnsi="Arial" w:cs="Arial"/>
                <w:color w:val="000000"/>
                <w:lang w:eastAsia="en-GB"/>
              </w:rPr>
            </w:pPr>
            <w:r w:rsidRPr="002E5C7A">
              <w:rPr>
                <w:rFonts w:ascii="Arial" w:eastAsia="Times New Roman" w:hAnsi="Arial" w:cs="Arial"/>
                <w:color w:val="000000"/>
                <w:lang w:eastAsia="en-GB"/>
              </w:rPr>
              <w:t>Cardiology</w:t>
            </w:r>
          </w:p>
        </w:tc>
        <w:tc>
          <w:tcPr>
            <w:tcW w:w="2976" w:type="dxa"/>
            <w:gridSpan w:val="4"/>
            <w:shd w:val="clear" w:color="auto" w:fill="F2CEED" w:themeFill="accent5" w:themeFillTint="33"/>
            <w:noWrap/>
            <w:vAlign w:val="bottom"/>
            <w:hideMark/>
          </w:tcPr>
          <w:p w14:paraId="5A39606F" w14:textId="77777777" w:rsidR="002E5C7A" w:rsidRPr="002E5C7A" w:rsidRDefault="002E5C7A" w:rsidP="002E5C7A">
            <w:pPr>
              <w:spacing w:after="0" w:line="240" w:lineRule="auto"/>
              <w:jc w:val="right"/>
              <w:rPr>
                <w:rFonts w:ascii="Arial" w:eastAsia="Times New Roman" w:hAnsi="Arial" w:cs="Arial"/>
                <w:color w:val="000000"/>
                <w:lang w:eastAsia="en-GB"/>
              </w:rPr>
            </w:pPr>
            <w:r w:rsidRPr="002E5C7A">
              <w:rPr>
                <w:rFonts w:ascii="Arial" w:eastAsia="Times New Roman" w:hAnsi="Arial" w:cs="Arial"/>
                <w:color w:val="000000"/>
                <w:lang w:eastAsia="en-GB"/>
              </w:rPr>
              <w:t>2</w:t>
            </w:r>
          </w:p>
        </w:tc>
      </w:tr>
      <w:tr w:rsidR="002E5C7A" w:rsidRPr="002E5C7A" w14:paraId="4EEF2E48" w14:textId="77777777" w:rsidTr="00BF2D58">
        <w:trPr>
          <w:gridAfter w:val="1"/>
          <w:wAfter w:w="24" w:type="dxa"/>
          <w:trHeight w:val="285"/>
        </w:trPr>
        <w:tc>
          <w:tcPr>
            <w:tcW w:w="3120" w:type="dxa"/>
            <w:shd w:val="clear" w:color="auto" w:fill="F2CEED" w:themeFill="accent5" w:themeFillTint="33"/>
            <w:noWrap/>
            <w:vAlign w:val="bottom"/>
            <w:hideMark/>
          </w:tcPr>
          <w:p w14:paraId="278DCF66" w14:textId="77777777" w:rsidR="002E5C7A" w:rsidRPr="002E5C7A" w:rsidRDefault="002E5C7A" w:rsidP="002E5C7A">
            <w:pPr>
              <w:spacing w:after="0" w:line="240" w:lineRule="auto"/>
              <w:ind w:firstLineChars="100" w:firstLine="220"/>
              <w:rPr>
                <w:rFonts w:ascii="Arial" w:eastAsia="Times New Roman" w:hAnsi="Arial" w:cs="Arial"/>
                <w:color w:val="000000"/>
                <w:lang w:eastAsia="en-GB"/>
              </w:rPr>
            </w:pPr>
            <w:r w:rsidRPr="002E5C7A">
              <w:rPr>
                <w:rFonts w:ascii="Arial" w:eastAsia="Times New Roman" w:hAnsi="Arial" w:cs="Arial"/>
                <w:color w:val="000000"/>
                <w:lang w:eastAsia="en-GB"/>
              </w:rPr>
              <w:t>Cardiothoracic Surgery</w:t>
            </w:r>
          </w:p>
        </w:tc>
        <w:tc>
          <w:tcPr>
            <w:tcW w:w="2976" w:type="dxa"/>
            <w:gridSpan w:val="4"/>
            <w:shd w:val="clear" w:color="auto" w:fill="F2CEED" w:themeFill="accent5" w:themeFillTint="33"/>
            <w:noWrap/>
            <w:vAlign w:val="bottom"/>
            <w:hideMark/>
          </w:tcPr>
          <w:p w14:paraId="065A3D52" w14:textId="77777777" w:rsidR="002E5C7A" w:rsidRPr="002E5C7A" w:rsidRDefault="002E5C7A" w:rsidP="002E5C7A">
            <w:pPr>
              <w:spacing w:after="0" w:line="240" w:lineRule="auto"/>
              <w:jc w:val="right"/>
              <w:rPr>
                <w:rFonts w:ascii="Arial" w:eastAsia="Times New Roman" w:hAnsi="Arial" w:cs="Arial"/>
                <w:color w:val="000000"/>
                <w:lang w:eastAsia="en-GB"/>
              </w:rPr>
            </w:pPr>
            <w:r w:rsidRPr="002E5C7A">
              <w:rPr>
                <w:rFonts w:ascii="Arial" w:eastAsia="Times New Roman" w:hAnsi="Arial" w:cs="Arial"/>
                <w:color w:val="000000"/>
                <w:lang w:eastAsia="en-GB"/>
              </w:rPr>
              <w:t>2</w:t>
            </w:r>
          </w:p>
        </w:tc>
      </w:tr>
      <w:tr w:rsidR="002E5C7A" w:rsidRPr="002E5C7A" w14:paraId="51AFA0A0" w14:textId="77777777" w:rsidTr="00BF2D58">
        <w:trPr>
          <w:gridAfter w:val="1"/>
          <w:wAfter w:w="24" w:type="dxa"/>
          <w:trHeight w:val="300"/>
        </w:trPr>
        <w:tc>
          <w:tcPr>
            <w:tcW w:w="3120" w:type="dxa"/>
            <w:shd w:val="clear" w:color="auto" w:fill="F2CEED" w:themeFill="accent5" w:themeFillTint="33"/>
            <w:noWrap/>
            <w:vAlign w:val="bottom"/>
            <w:hideMark/>
          </w:tcPr>
          <w:p w14:paraId="48CF6289" w14:textId="77777777" w:rsidR="002E5C7A" w:rsidRPr="002E5C7A" w:rsidRDefault="002E5C7A" w:rsidP="002E5C7A">
            <w:pPr>
              <w:spacing w:after="0" w:line="240" w:lineRule="auto"/>
              <w:ind w:firstLineChars="100" w:firstLine="220"/>
              <w:rPr>
                <w:rFonts w:ascii="Arial" w:eastAsia="Times New Roman" w:hAnsi="Arial" w:cs="Arial"/>
                <w:color w:val="000000"/>
                <w:lang w:eastAsia="en-GB"/>
              </w:rPr>
            </w:pPr>
            <w:r w:rsidRPr="002E5C7A">
              <w:rPr>
                <w:rFonts w:ascii="Arial" w:eastAsia="Times New Roman" w:hAnsi="Arial" w:cs="Arial"/>
                <w:color w:val="000000"/>
                <w:lang w:eastAsia="en-GB"/>
              </w:rPr>
              <w:t>Cellular Pathology</w:t>
            </w:r>
          </w:p>
        </w:tc>
        <w:tc>
          <w:tcPr>
            <w:tcW w:w="2976" w:type="dxa"/>
            <w:gridSpan w:val="4"/>
            <w:shd w:val="clear" w:color="auto" w:fill="F2CEED" w:themeFill="accent5" w:themeFillTint="33"/>
            <w:noWrap/>
            <w:vAlign w:val="bottom"/>
            <w:hideMark/>
          </w:tcPr>
          <w:p w14:paraId="57040E90" w14:textId="77777777" w:rsidR="002E5C7A" w:rsidRPr="002E5C7A" w:rsidRDefault="002E5C7A" w:rsidP="002E5C7A">
            <w:pPr>
              <w:spacing w:after="0" w:line="240" w:lineRule="auto"/>
              <w:jc w:val="right"/>
              <w:rPr>
                <w:rFonts w:ascii="Arial" w:eastAsia="Times New Roman" w:hAnsi="Arial" w:cs="Arial"/>
                <w:color w:val="000000"/>
                <w:lang w:eastAsia="en-GB"/>
              </w:rPr>
            </w:pPr>
            <w:r w:rsidRPr="002E5C7A">
              <w:rPr>
                <w:rFonts w:ascii="Arial" w:eastAsia="Times New Roman" w:hAnsi="Arial" w:cs="Arial"/>
                <w:color w:val="000000"/>
                <w:lang w:eastAsia="en-GB"/>
              </w:rPr>
              <w:t>3</w:t>
            </w:r>
          </w:p>
        </w:tc>
      </w:tr>
      <w:tr w:rsidR="002E5C7A" w:rsidRPr="002E5C7A" w14:paraId="3345556A" w14:textId="77777777" w:rsidTr="00BF2D58">
        <w:trPr>
          <w:gridAfter w:val="1"/>
          <w:wAfter w:w="24" w:type="dxa"/>
          <w:trHeight w:val="285"/>
        </w:trPr>
        <w:tc>
          <w:tcPr>
            <w:tcW w:w="3120" w:type="dxa"/>
            <w:shd w:val="clear" w:color="auto" w:fill="F2CEED" w:themeFill="accent5" w:themeFillTint="33"/>
            <w:noWrap/>
            <w:vAlign w:val="bottom"/>
            <w:hideMark/>
          </w:tcPr>
          <w:p w14:paraId="59B1ECB2" w14:textId="77777777" w:rsidR="002E5C7A" w:rsidRPr="002E5C7A" w:rsidRDefault="002E5C7A" w:rsidP="002E5C7A">
            <w:pPr>
              <w:spacing w:after="0" w:line="240" w:lineRule="auto"/>
              <w:ind w:firstLineChars="100" w:firstLine="220"/>
              <w:rPr>
                <w:rFonts w:ascii="Arial" w:eastAsia="Times New Roman" w:hAnsi="Arial" w:cs="Arial"/>
                <w:color w:val="000000"/>
                <w:lang w:eastAsia="en-GB"/>
              </w:rPr>
            </w:pPr>
            <w:r w:rsidRPr="002E5C7A">
              <w:rPr>
                <w:rFonts w:ascii="Arial" w:eastAsia="Times New Roman" w:hAnsi="Arial" w:cs="Arial"/>
                <w:color w:val="000000"/>
                <w:lang w:eastAsia="en-GB"/>
              </w:rPr>
              <w:t>Emergency Department</w:t>
            </w:r>
          </w:p>
        </w:tc>
        <w:tc>
          <w:tcPr>
            <w:tcW w:w="2976" w:type="dxa"/>
            <w:gridSpan w:val="4"/>
            <w:shd w:val="clear" w:color="auto" w:fill="F2CEED" w:themeFill="accent5" w:themeFillTint="33"/>
            <w:noWrap/>
            <w:vAlign w:val="bottom"/>
            <w:hideMark/>
          </w:tcPr>
          <w:p w14:paraId="19D248F3" w14:textId="77777777" w:rsidR="002E5C7A" w:rsidRPr="002E5C7A" w:rsidRDefault="002E5C7A" w:rsidP="002E5C7A">
            <w:pPr>
              <w:spacing w:after="0" w:line="240" w:lineRule="auto"/>
              <w:jc w:val="right"/>
              <w:rPr>
                <w:rFonts w:ascii="Arial" w:eastAsia="Times New Roman" w:hAnsi="Arial" w:cs="Arial"/>
                <w:color w:val="000000"/>
                <w:lang w:eastAsia="en-GB"/>
              </w:rPr>
            </w:pPr>
            <w:r w:rsidRPr="002E5C7A">
              <w:rPr>
                <w:rFonts w:ascii="Arial" w:eastAsia="Times New Roman" w:hAnsi="Arial" w:cs="Arial"/>
                <w:color w:val="000000"/>
                <w:lang w:eastAsia="en-GB"/>
              </w:rPr>
              <w:t>2</w:t>
            </w:r>
          </w:p>
        </w:tc>
      </w:tr>
      <w:tr w:rsidR="002E5C7A" w:rsidRPr="002E5C7A" w14:paraId="3066DAC0" w14:textId="77777777" w:rsidTr="00BF2D58">
        <w:trPr>
          <w:gridAfter w:val="1"/>
          <w:wAfter w:w="24" w:type="dxa"/>
          <w:trHeight w:val="300"/>
        </w:trPr>
        <w:tc>
          <w:tcPr>
            <w:tcW w:w="3120" w:type="dxa"/>
            <w:shd w:val="clear" w:color="auto" w:fill="F2CEED" w:themeFill="accent5" w:themeFillTint="33"/>
            <w:noWrap/>
            <w:vAlign w:val="bottom"/>
            <w:hideMark/>
          </w:tcPr>
          <w:p w14:paraId="05EA93C3" w14:textId="1C4FAC30" w:rsidR="002E5C7A" w:rsidRPr="002E5C7A" w:rsidRDefault="002E5C7A" w:rsidP="002E5C7A">
            <w:pPr>
              <w:spacing w:after="0" w:line="240" w:lineRule="auto"/>
              <w:ind w:firstLineChars="100" w:firstLine="220"/>
              <w:rPr>
                <w:rFonts w:ascii="Arial" w:eastAsia="Times New Roman" w:hAnsi="Arial" w:cs="Arial"/>
                <w:color w:val="000000"/>
                <w:lang w:eastAsia="en-GB"/>
              </w:rPr>
            </w:pPr>
            <w:r w:rsidRPr="002E5C7A">
              <w:rPr>
                <w:rFonts w:ascii="Arial" w:eastAsia="Times New Roman" w:hAnsi="Arial" w:cs="Arial"/>
                <w:color w:val="000000"/>
                <w:lang w:eastAsia="en-GB"/>
              </w:rPr>
              <w:t>E</w:t>
            </w:r>
            <w:r w:rsidR="008B753C">
              <w:rPr>
                <w:rFonts w:ascii="Arial" w:eastAsia="Times New Roman" w:hAnsi="Arial" w:cs="Arial"/>
                <w:color w:val="000000"/>
                <w:lang w:eastAsia="en-GB"/>
              </w:rPr>
              <w:t xml:space="preserve">ars </w:t>
            </w:r>
            <w:r w:rsidRPr="002E5C7A">
              <w:rPr>
                <w:rFonts w:ascii="Arial" w:eastAsia="Times New Roman" w:hAnsi="Arial" w:cs="Arial"/>
                <w:color w:val="000000"/>
                <w:lang w:eastAsia="en-GB"/>
              </w:rPr>
              <w:t>N</w:t>
            </w:r>
            <w:r w:rsidR="008B753C">
              <w:rPr>
                <w:rFonts w:ascii="Arial" w:eastAsia="Times New Roman" w:hAnsi="Arial" w:cs="Arial"/>
                <w:color w:val="000000"/>
                <w:lang w:eastAsia="en-GB"/>
              </w:rPr>
              <w:t xml:space="preserve">ose and </w:t>
            </w:r>
            <w:r w:rsidRPr="002E5C7A">
              <w:rPr>
                <w:rFonts w:ascii="Arial" w:eastAsia="Times New Roman" w:hAnsi="Arial" w:cs="Arial"/>
                <w:color w:val="000000"/>
                <w:lang w:eastAsia="en-GB"/>
              </w:rPr>
              <w:t>T</w:t>
            </w:r>
            <w:r w:rsidR="008B753C">
              <w:rPr>
                <w:rFonts w:ascii="Arial" w:eastAsia="Times New Roman" w:hAnsi="Arial" w:cs="Arial"/>
                <w:color w:val="000000"/>
                <w:lang w:eastAsia="en-GB"/>
              </w:rPr>
              <w:t>hroat</w:t>
            </w:r>
          </w:p>
        </w:tc>
        <w:tc>
          <w:tcPr>
            <w:tcW w:w="2976" w:type="dxa"/>
            <w:gridSpan w:val="4"/>
            <w:shd w:val="clear" w:color="auto" w:fill="F2CEED" w:themeFill="accent5" w:themeFillTint="33"/>
            <w:noWrap/>
            <w:vAlign w:val="bottom"/>
            <w:hideMark/>
          </w:tcPr>
          <w:p w14:paraId="13334190" w14:textId="77777777" w:rsidR="002E5C7A" w:rsidRPr="002E5C7A" w:rsidRDefault="002E5C7A" w:rsidP="002E5C7A">
            <w:pPr>
              <w:spacing w:after="0" w:line="240" w:lineRule="auto"/>
              <w:jc w:val="right"/>
              <w:rPr>
                <w:rFonts w:ascii="Arial" w:eastAsia="Times New Roman" w:hAnsi="Arial" w:cs="Arial"/>
                <w:color w:val="000000"/>
                <w:lang w:eastAsia="en-GB"/>
              </w:rPr>
            </w:pPr>
            <w:r w:rsidRPr="002E5C7A">
              <w:rPr>
                <w:rFonts w:ascii="Arial" w:eastAsia="Times New Roman" w:hAnsi="Arial" w:cs="Arial"/>
                <w:color w:val="000000"/>
                <w:lang w:eastAsia="en-GB"/>
              </w:rPr>
              <w:t>3</w:t>
            </w:r>
          </w:p>
        </w:tc>
      </w:tr>
      <w:tr w:rsidR="002E5C7A" w:rsidRPr="002E5C7A" w14:paraId="7B798872" w14:textId="77777777" w:rsidTr="00BF2D58">
        <w:trPr>
          <w:gridAfter w:val="1"/>
          <w:wAfter w:w="24" w:type="dxa"/>
          <w:trHeight w:val="300"/>
        </w:trPr>
        <w:tc>
          <w:tcPr>
            <w:tcW w:w="3120" w:type="dxa"/>
            <w:shd w:val="clear" w:color="auto" w:fill="F2CEED" w:themeFill="accent5" w:themeFillTint="33"/>
            <w:noWrap/>
            <w:vAlign w:val="bottom"/>
            <w:hideMark/>
          </w:tcPr>
          <w:p w14:paraId="74E2BC62" w14:textId="77777777" w:rsidR="002E5C7A" w:rsidRPr="002E5C7A" w:rsidRDefault="002E5C7A" w:rsidP="002E5C7A">
            <w:pPr>
              <w:spacing w:after="0" w:line="240" w:lineRule="auto"/>
              <w:ind w:firstLineChars="100" w:firstLine="220"/>
              <w:rPr>
                <w:rFonts w:ascii="Arial" w:eastAsia="Times New Roman" w:hAnsi="Arial" w:cs="Arial"/>
                <w:color w:val="000000"/>
                <w:lang w:eastAsia="en-GB"/>
              </w:rPr>
            </w:pPr>
            <w:r w:rsidRPr="002E5C7A">
              <w:rPr>
                <w:rFonts w:ascii="Arial" w:eastAsia="Times New Roman" w:hAnsi="Arial" w:cs="Arial"/>
                <w:color w:val="000000"/>
                <w:lang w:eastAsia="en-GB"/>
              </w:rPr>
              <w:t>Gastroenterology</w:t>
            </w:r>
          </w:p>
        </w:tc>
        <w:tc>
          <w:tcPr>
            <w:tcW w:w="2976" w:type="dxa"/>
            <w:gridSpan w:val="4"/>
            <w:shd w:val="clear" w:color="auto" w:fill="F2CEED" w:themeFill="accent5" w:themeFillTint="33"/>
            <w:noWrap/>
            <w:vAlign w:val="bottom"/>
            <w:hideMark/>
          </w:tcPr>
          <w:p w14:paraId="3961E421" w14:textId="77777777" w:rsidR="002E5C7A" w:rsidRPr="002E5C7A" w:rsidRDefault="002E5C7A" w:rsidP="002E5C7A">
            <w:pPr>
              <w:spacing w:after="0" w:line="240" w:lineRule="auto"/>
              <w:jc w:val="right"/>
              <w:rPr>
                <w:rFonts w:ascii="Arial" w:eastAsia="Times New Roman" w:hAnsi="Arial" w:cs="Arial"/>
                <w:color w:val="000000"/>
                <w:lang w:eastAsia="en-GB"/>
              </w:rPr>
            </w:pPr>
            <w:r w:rsidRPr="002E5C7A">
              <w:rPr>
                <w:rFonts w:ascii="Arial" w:eastAsia="Times New Roman" w:hAnsi="Arial" w:cs="Arial"/>
                <w:color w:val="000000"/>
                <w:lang w:eastAsia="en-GB"/>
              </w:rPr>
              <w:t>1</w:t>
            </w:r>
          </w:p>
        </w:tc>
      </w:tr>
      <w:tr w:rsidR="002E5C7A" w:rsidRPr="002E5C7A" w14:paraId="6B2AFB38" w14:textId="77777777" w:rsidTr="00BF2D58">
        <w:trPr>
          <w:gridAfter w:val="1"/>
          <w:wAfter w:w="24" w:type="dxa"/>
          <w:trHeight w:val="300"/>
        </w:trPr>
        <w:tc>
          <w:tcPr>
            <w:tcW w:w="3120" w:type="dxa"/>
            <w:shd w:val="clear" w:color="auto" w:fill="F2CEED" w:themeFill="accent5" w:themeFillTint="33"/>
            <w:noWrap/>
            <w:vAlign w:val="bottom"/>
            <w:hideMark/>
          </w:tcPr>
          <w:p w14:paraId="0074820B" w14:textId="77777777" w:rsidR="002E5C7A" w:rsidRPr="002E5C7A" w:rsidRDefault="002E5C7A" w:rsidP="002E5C7A">
            <w:pPr>
              <w:spacing w:after="0" w:line="240" w:lineRule="auto"/>
              <w:ind w:firstLineChars="100" w:firstLine="220"/>
              <w:rPr>
                <w:rFonts w:ascii="Arial" w:eastAsia="Times New Roman" w:hAnsi="Arial" w:cs="Arial"/>
                <w:color w:val="000000"/>
                <w:lang w:eastAsia="en-GB"/>
              </w:rPr>
            </w:pPr>
            <w:r w:rsidRPr="002E5C7A">
              <w:rPr>
                <w:rFonts w:ascii="Arial" w:eastAsia="Times New Roman" w:hAnsi="Arial" w:cs="Arial"/>
                <w:color w:val="000000"/>
                <w:lang w:eastAsia="en-GB"/>
              </w:rPr>
              <w:t>General Surgery</w:t>
            </w:r>
          </w:p>
        </w:tc>
        <w:tc>
          <w:tcPr>
            <w:tcW w:w="2976" w:type="dxa"/>
            <w:gridSpan w:val="4"/>
            <w:shd w:val="clear" w:color="auto" w:fill="F2CEED" w:themeFill="accent5" w:themeFillTint="33"/>
            <w:noWrap/>
            <w:vAlign w:val="bottom"/>
            <w:hideMark/>
          </w:tcPr>
          <w:p w14:paraId="10AD8098" w14:textId="77777777" w:rsidR="002E5C7A" w:rsidRPr="002E5C7A" w:rsidRDefault="002E5C7A" w:rsidP="002E5C7A">
            <w:pPr>
              <w:spacing w:after="0" w:line="240" w:lineRule="auto"/>
              <w:jc w:val="right"/>
              <w:rPr>
                <w:rFonts w:ascii="Arial" w:eastAsia="Times New Roman" w:hAnsi="Arial" w:cs="Arial"/>
                <w:color w:val="000000"/>
                <w:lang w:eastAsia="en-GB"/>
              </w:rPr>
            </w:pPr>
            <w:r w:rsidRPr="002E5C7A">
              <w:rPr>
                <w:rFonts w:ascii="Arial" w:eastAsia="Times New Roman" w:hAnsi="Arial" w:cs="Arial"/>
                <w:color w:val="000000"/>
                <w:lang w:eastAsia="en-GB"/>
              </w:rPr>
              <w:t>9</w:t>
            </w:r>
          </w:p>
        </w:tc>
      </w:tr>
      <w:tr w:rsidR="002E5C7A" w:rsidRPr="002E5C7A" w14:paraId="30E83098" w14:textId="77777777" w:rsidTr="00BF2D58">
        <w:trPr>
          <w:gridAfter w:val="1"/>
          <w:wAfter w:w="24" w:type="dxa"/>
          <w:trHeight w:val="300"/>
        </w:trPr>
        <w:tc>
          <w:tcPr>
            <w:tcW w:w="3120" w:type="dxa"/>
            <w:shd w:val="clear" w:color="auto" w:fill="F2CEED" w:themeFill="accent5" w:themeFillTint="33"/>
            <w:noWrap/>
            <w:vAlign w:val="bottom"/>
            <w:hideMark/>
          </w:tcPr>
          <w:p w14:paraId="6AF47AEE" w14:textId="3C34D8F9" w:rsidR="002E5C7A" w:rsidRPr="002E5C7A" w:rsidRDefault="002E5C7A" w:rsidP="002E5C7A">
            <w:pPr>
              <w:spacing w:after="0" w:line="240" w:lineRule="auto"/>
              <w:ind w:firstLineChars="100" w:firstLine="220"/>
              <w:rPr>
                <w:rFonts w:ascii="Arial" w:eastAsia="Times New Roman" w:hAnsi="Arial" w:cs="Arial"/>
                <w:color w:val="000000"/>
                <w:lang w:eastAsia="en-GB"/>
              </w:rPr>
            </w:pPr>
            <w:r w:rsidRPr="002E5C7A">
              <w:rPr>
                <w:rFonts w:ascii="Arial" w:eastAsia="Times New Roman" w:hAnsi="Arial" w:cs="Arial"/>
                <w:color w:val="000000"/>
                <w:lang w:eastAsia="en-GB"/>
              </w:rPr>
              <w:t>I</w:t>
            </w:r>
            <w:r w:rsidR="008B753C">
              <w:rPr>
                <w:rFonts w:ascii="Arial" w:eastAsia="Times New Roman" w:hAnsi="Arial" w:cs="Arial"/>
                <w:color w:val="000000"/>
                <w:lang w:eastAsia="en-GB"/>
              </w:rPr>
              <w:t xml:space="preserve">ntensive </w:t>
            </w:r>
            <w:r w:rsidRPr="002E5C7A">
              <w:rPr>
                <w:rFonts w:ascii="Arial" w:eastAsia="Times New Roman" w:hAnsi="Arial" w:cs="Arial"/>
                <w:color w:val="000000"/>
                <w:lang w:eastAsia="en-GB"/>
              </w:rPr>
              <w:t>C</w:t>
            </w:r>
            <w:r w:rsidR="008B753C">
              <w:rPr>
                <w:rFonts w:ascii="Arial" w:eastAsia="Times New Roman" w:hAnsi="Arial" w:cs="Arial"/>
                <w:color w:val="000000"/>
                <w:lang w:eastAsia="en-GB"/>
              </w:rPr>
              <w:t xml:space="preserve">are </w:t>
            </w:r>
            <w:r w:rsidRPr="002E5C7A">
              <w:rPr>
                <w:rFonts w:ascii="Arial" w:eastAsia="Times New Roman" w:hAnsi="Arial" w:cs="Arial"/>
                <w:color w:val="000000"/>
                <w:lang w:eastAsia="en-GB"/>
              </w:rPr>
              <w:t>U</w:t>
            </w:r>
            <w:r w:rsidR="008B753C">
              <w:rPr>
                <w:rFonts w:ascii="Arial" w:eastAsia="Times New Roman" w:hAnsi="Arial" w:cs="Arial"/>
                <w:color w:val="000000"/>
                <w:lang w:eastAsia="en-GB"/>
              </w:rPr>
              <w:t>nit</w:t>
            </w:r>
          </w:p>
        </w:tc>
        <w:tc>
          <w:tcPr>
            <w:tcW w:w="2976" w:type="dxa"/>
            <w:gridSpan w:val="4"/>
            <w:shd w:val="clear" w:color="auto" w:fill="F2CEED" w:themeFill="accent5" w:themeFillTint="33"/>
            <w:noWrap/>
            <w:vAlign w:val="bottom"/>
            <w:hideMark/>
          </w:tcPr>
          <w:p w14:paraId="401CEE21" w14:textId="77777777" w:rsidR="002E5C7A" w:rsidRPr="002E5C7A" w:rsidRDefault="002E5C7A" w:rsidP="002E5C7A">
            <w:pPr>
              <w:spacing w:after="0" w:line="240" w:lineRule="auto"/>
              <w:jc w:val="right"/>
              <w:rPr>
                <w:rFonts w:ascii="Arial" w:eastAsia="Times New Roman" w:hAnsi="Arial" w:cs="Arial"/>
                <w:color w:val="000000"/>
                <w:lang w:eastAsia="en-GB"/>
              </w:rPr>
            </w:pPr>
            <w:r w:rsidRPr="002E5C7A">
              <w:rPr>
                <w:rFonts w:ascii="Arial" w:eastAsia="Times New Roman" w:hAnsi="Arial" w:cs="Arial"/>
                <w:color w:val="000000"/>
                <w:lang w:eastAsia="en-GB"/>
              </w:rPr>
              <w:t>13</w:t>
            </w:r>
          </w:p>
        </w:tc>
      </w:tr>
      <w:tr w:rsidR="002E5C7A" w:rsidRPr="002E5C7A" w14:paraId="7950161A" w14:textId="77777777" w:rsidTr="00BF2D58">
        <w:trPr>
          <w:gridAfter w:val="1"/>
          <w:wAfter w:w="24" w:type="dxa"/>
          <w:trHeight w:val="285"/>
        </w:trPr>
        <w:tc>
          <w:tcPr>
            <w:tcW w:w="3120" w:type="dxa"/>
            <w:shd w:val="clear" w:color="auto" w:fill="F2CEED" w:themeFill="accent5" w:themeFillTint="33"/>
            <w:noWrap/>
            <w:vAlign w:val="bottom"/>
            <w:hideMark/>
          </w:tcPr>
          <w:p w14:paraId="569D116E" w14:textId="77777777" w:rsidR="002E5C7A" w:rsidRPr="002E5C7A" w:rsidRDefault="002E5C7A" w:rsidP="002E5C7A">
            <w:pPr>
              <w:spacing w:after="0" w:line="240" w:lineRule="auto"/>
              <w:ind w:firstLineChars="100" w:firstLine="220"/>
              <w:rPr>
                <w:rFonts w:ascii="Arial" w:eastAsia="Times New Roman" w:hAnsi="Arial" w:cs="Arial"/>
                <w:color w:val="000000"/>
                <w:lang w:eastAsia="en-GB"/>
              </w:rPr>
            </w:pPr>
            <w:r w:rsidRPr="002E5C7A">
              <w:rPr>
                <w:rFonts w:ascii="Arial" w:eastAsia="Times New Roman" w:hAnsi="Arial" w:cs="Arial"/>
                <w:color w:val="000000"/>
                <w:lang w:eastAsia="en-GB"/>
              </w:rPr>
              <w:t>Neurology</w:t>
            </w:r>
          </w:p>
        </w:tc>
        <w:tc>
          <w:tcPr>
            <w:tcW w:w="2976" w:type="dxa"/>
            <w:gridSpan w:val="4"/>
            <w:shd w:val="clear" w:color="auto" w:fill="F2CEED" w:themeFill="accent5" w:themeFillTint="33"/>
            <w:noWrap/>
            <w:vAlign w:val="bottom"/>
            <w:hideMark/>
          </w:tcPr>
          <w:p w14:paraId="62B29D79" w14:textId="77777777" w:rsidR="002E5C7A" w:rsidRPr="002E5C7A" w:rsidRDefault="002E5C7A" w:rsidP="002E5C7A">
            <w:pPr>
              <w:spacing w:after="0" w:line="240" w:lineRule="auto"/>
              <w:jc w:val="right"/>
              <w:rPr>
                <w:rFonts w:ascii="Arial" w:eastAsia="Times New Roman" w:hAnsi="Arial" w:cs="Arial"/>
                <w:color w:val="000000"/>
                <w:lang w:eastAsia="en-GB"/>
              </w:rPr>
            </w:pPr>
            <w:r w:rsidRPr="002E5C7A">
              <w:rPr>
                <w:rFonts w:ascii="Arial" w:eastAsia="Times New Roman" w:hAnsi="Arial" w:cs="Arial"/>
                <w:color w:val="000000"/>
                <w:lang w:eastAsia="en-GB"/>
              </w:rPr>
              <w:t>3</w:t>
            </w:r>
          </w:p>
        </w:tc>
      </w:tr>
      <w:tr w:rsidR="002E5C7A" w:rsidRPr="002E5C7A" w14:paraId="367FF24C" w14:textId="77777777" w:rsidTr="00BF2D58">
        <w:trPr>
          <w:gridAfter w:val="1"/>
          <w:wAfter w:w="24" w:type="dxa"/>
          <w:trHeight w:val="285"/>
        </w:trPr>
        <w:tc>
          <w:tcPr>
            <w:tcW w:w="3120" w:type="dxa"/>
            <w:shd w:val="clear" w:color="auto" w:fill="F2CEED" w:themeFill="accent5" w:themeFillTint="33"/>
            <w:noWrap/>
            <w:vAlign w:val="bottom"/>
            <w:hideMark/>
          </w:tcPr>
          <w:p w14:paraId="106CD9E9" w14:textId="77777777" w:rsidR="002E5C7A" w:rsidRPr="002E5C7A" w:rsidRDefault="002E5C7A" w:rsidP="002E5C7A">
            <w:pPr>
              <w:spacing w:after="0" w:line="240" w:lineRule="auto"/>
              <w:ind w:firstLineChars="100" w:firstLine="220"/>
              <w:rPr>
                <w:rFonts w:ascii="Arial" w:eastAsia="Times New Roman" w:hAnsi="Arial" w:cs="Arial"/>
                <w:color w:val="000000"/>
                <w:lang w:eastAsia="en-GB"/>
              </w:rPr>
            </w:pPr>
            <w:r w:rsidRPr="002E5C7A">
              <w:rPr>
                <w:rFonts w:ascii="Arial" w:eastAsia="Times New Roman" w:hAnsi="Arial" w:cs="Arial"/>
                <w:color w:val="000000"/>
                <w:lang w:eastAsia="en-GB"/>
              </w:rPr>
              <w:t>Radiology</w:t>
            </w:r>
          </w:p>
        </w:tc>
        <w:tc>
          <w:tcPr>
            <w:tcW w:w="2976" w:type="dxa"/>
            <w:gridSpan w:val="4"/>
            <w:shd w:val="clear" w:color="auto" w:fill="F2CEED" w:themeFill="accent5" w:themeFillTint="33"/>
            <w:noWrap/>
            <w:vAlign w:val="bottom"/>
            <w:hideMark/>
          </w:tcPr>
          <w:p w14:paraId="3AF079DD" w14:textId="77777777" w:rsidR="002E5C7A" w:rsidRPr="002E5C7A" w:rsidRDefault="002E5C7A" w:rsidP="002E5C7A">
            <w:pPr>
              <w:spacing w:after="0" w:line="240" w:lineRule="auto"/>
              <w:jc w:val="right"/>
              <w:rPr>
                <w:rFonts w:ascii="Arial" w:eastAsia="Times New Roman" w:hAnsi="Arial" w:cs="Arial"/>
                <w:color w:val="000000"/>
                <w:lang w:eastAsia="en-GB"/>
              </w:rPr>
            </w:pPr>
            <w:r w:rsidRPr="002E5C7A">
              <w:rPr>
                <w:rFonts w:ascii="Arial" w:eastAsia="Times New Roman" w:hAnsi="Arial" w:cs="Arial"/>
                <w:color w:val="000000"/>
                <w:lang w:eastAsia="en-GB"/>
              </w:rPr>
              <w:t>1</w:t>
            </w:r>
          </w:p>
        </w:tc>
      </w:tr>
      <w:tr w:rsidR="002E5C7A" w:rsidRPr="002E5C7A" w14:paraId="2CDF7B38" w14:textId="77777777" w:rsidTr="00BF2D58">
        <w:trPr>
          <w:gridAfter w:val="1"/>
          <w:wAfter w:w="24" w:type="dxa"/>
          <w:trHeight w:val="300"/>
        </w:trPr>
        <w:tc>
          <w:tcPr>
            <w:tcW w:w="3120" w:type="dxa"/>
            <w:shd w:val="clear" w:color="auto" w:fill="F2CEED" w:themeFill="accent5" w:themeFillTint="33"/>
            <w:noWrap/>
            <w:vAlign w:val="bottom"/>
            <w:hideMark/>
          </w:tcPr>
          <w:p w14:paraId="657F0D5F" w14:textId="77777777" w:rsidR="002E5C7A" w:rsidRPr="002E5C7A" w:rsidRDefault="002E5C7A" w:rsidP="002E5C7A">
            <w:pPr>
              <w:spacing w:after="0" w:line="240" w:lineRule="auto"/>
              <w:ind w:firstLineChars="100" w:firstLine="220"/>
              <w:rPr>
                <w:rFonts w:ascii="Arial" w:eastAsia="Times New Roman" w:hAnsi="Arial" w:cs="Arial"/>
                <w:color w:val="000000"/>
                <w:lang w:eastAsia="en-GB"/>
              </w:rPr>
            </w:pPr>
            <w:r w:rsidRPr="002E5C7A">
              <w:rPr>
                <w:rFonts w:ascii="Arial" w:eastAsia="Times New Roman" w:hAnsi="Arial" w:cs="Arial"/>
                <w:color w:val="000000"/>
                <w:lang w:eastAsia="en-GB"/>
              </w:rPr>
              <w:t>Renal</w:t>
            </w:r>
          </w:p>
        </w:tc>
        <w:tc>
          <w:tcPr>
            <w:tcW w:w="2976" w:type="dxa"/>
            <w:gridSpan w:val="4"/>
            <w:shd w:val="clear" w:color="auto" w:fill="F2CEED" w:themeFill="accent5" w:themeFillTint="33"/>
            <w:noWrap/>
            <w:vAlign w:val="bottom"/>
            <w:hideMark/>
          </w:tcPr>
          <w:p w14:paraId="5630E574" w14:textId="77777777" w:rsidR="002E5C7A" w:rsidRPr="002E5C7A" w:rsidRDefault="002E5C7A" w:rsidP="002E5C7A">
            <w:pPr>
              <w:spacing w:after="0" w:line="240" w:lineRule="auto"/>
              <w:jc w:val="right"/>
              <w:rPr>
                <w:rFonts w:ascii="Arial" w:eastAsia="Times New Roman" w:hAnsi="Arial" w:cs="Arial"/>
                <w:color w:val="000000"/>
                <w:lang w:eastAsia="en-GB"/>
              </w:rPr>
            </w:pPr>
            <w:r w:rsidRPr="002E5C7A">
              <w:rPr>
                <w:rFonts w:ascii="Arial" w:eastAsia="Times New Roman" w:hAnsi="Arial" w:cs="Arial"/>
                <w:color w:val="000000"/>
                <w:lang w:eastAsia="en-GB"/>
              </w:rPr>
              <w:t>3</w:t>
            </w:r>
          </w:p>
        </w:tc>
      </w:tr>
      <w:tr w:rsidR="002E5C7A" w:rsidRPr="002E5C7A" w14:paraId="4D32FB07" w14:textId="77777777" w:rsidTr="00BF2D58">
        <w:trPr>
          <w:gridAfter w:val="1"/>
          <w:wAfter w:w="24" w:type="dxa"/>
          <w:trHeight w:val="300"/>
        </w:trPr>
        <w:tc>
          <w:tcPr>
            <w:tcW w:w="3120" w:type="dxa"/>
            <w:shd w:val="clear" w:color="auto" w:fill="F2CEED" w:themeFill="accent5" w:themeFillTint="33"/>
            <w:noWrap/>
            <w:vAlign w:val="bottom"/>
            <w:hideMark/>
          </w:tcPr>
          <w:p w14:paraId="1486D249" w14:textId="77777777" w:rsidR="002E5C7A" w:rsidRPr="002E5C7A" w:rsidRDefault="002E5C7A" w:rsidP="002E5C7A">
            <w:pPr>
              <w:spacing w:after="0" w:line="240" w:lineRule="auto"/>
              <w:ind w:firstLineChars="100" w:firstLine="220"/>
              <w:rPr>
                <w:rFonts w:ascii="Arial" w:eastAsia="Times New Roman" w:hAnsi="Arial" w:cs="Arial"/>
                <w:color w:val="000000"/>
                <w:lang w:eastAsia="en-GB"/>
              </w:rPr>
            </w:pPr>
            <w:r w:rsidRPr="002E5C7A">
              <w:rPr>
                <w:rFonts w:ascii="Arial" w:eastAsia="Times New Roman" w:hAnsi="Arial" w:cs="Arial"/>
                <w:color w:val="000000"/>
                <w:lang w:eastAsia="en-GB"/>
              </w:rPr>
              <w:t>Respiratory Medicine</w:t>
            </w:r>
          </w:p>
        </w:tc>
        <w:tc>
          <w:tcPr>
            <w:tcW w:w="2976" w:type="dxa"/>
            <w:gridSpan w:val="4"/>
            <w:shd w:val="clear" w:color="auto" w:fill="F2CEED" w:themeFill="accent5" w:themeFillTint="33"/>
            <w:noWrap/>
            <w:vAlign w:val="bottom"/>
            <w:hideMark/>
          </w:tcPr>
          <w:p w14:paraId="133E042D" w14:textId="77777777" w:rsidR="002E5C7A" w:rsidRPr="002E5C7A" w:rsidRDefault="002E5C7A" w:rsidP="002E5C7A">
            <w:pPr>
              <w:spacing w:after="0" w:line="240" w:lineRule="auto"/>
              <w:jc w:val="right"/>
              <w:rPr>
                <w:rFonts w:ascii="Arial" w:eastAsia="Times New Roman" w:hAnsi="Arial" w:cs="Arial"/>
                <w:color w:val="000000"/>
                <w:lang w:eastAsia="en-GB"/>
              </w:rPr>
            </w:pPr>
            <w:r w:rsidRPr="002E5C7A">
              <w:rPr>
                <w:rFonts w:ascii="Arial" w:eastAsia="Times New Roman" w:hAnsi="Arial" w:cs="Arial"/>
                <w:color w:val="000000"/>
                <w:lang w:eastAsia="en-GB"/>
              </w:rPr>
              <w:t>1</w:t>
            </w:r>
          </w:p>
        </w:tc>
      </w:tr>
      <w:tr w:rsidR="002E5C7A" w:rsidRPr="002E5C7A" w14:paraId="11FE3A1B" w14:textId="77777777" w:rsidTr="00BF2D58">
        <w:trPr>
          <w:gridAfter w:val="1"/>
          <w:wAfter w:w="24" w:type="dxa"/>
          <w:trHeight w:val="285"/>
        </w:trPr>
        <w:tc>
          <w:tcPr>
            <w:tcW w:w="3120" w:type="dxa"/>
            <w:shd w:val="clear" w:color="auto" w:fill="F2CEED" w:themeFill="accent5" w:themeFillTint="33"/>
            <w:noWrap/>
            <w:vAlign w:val="bottom"/>
            <w:hideMark/>
          </w:tcPr>
          <w:p w14:paraId="37D51CBA" w14:textId="77777777" w:rsidR="002E5C7A" w:rsidRPr="002E5C7A" w:rsidRDefault="002E5C7A" w:rsidP="002E5C7A">
            <w:pPr>
              <w:spacing w:after="0" w:line="240" w:lineRule="auto"/>
              <w:ind w:firstLineChars="100" w:firstLine="220"/>
              <w:rPr>
                <w:rFonts w:ascii="Arial" w:eastAsia="Times New Roman" w:hAnsi="Arial" w:cs="Arial"/>
                <w:color w:val="000000"/>
                <w:lang w:eastAsia="en-GB"/>
              </w:rPr>
            </w:pPr>
            <w:r w:rsidRPr="002E5C7A">
              <w:rPr>
                <w:rFonts w:ascii="Arial" w:eastAsia="Times New Roman" w:hAnsi="Arial" w:cs="Arial"/>
                <w:color w:val="000000"/>
                <w:lang w:eastAsia="en-GB"/>
              </w:rPr>
              <w:t>Spinal Surgery</w:t>
            </w:r>
          </w:p>
        </w:tc>
        <w:tc>
          <w:tcPr>
            <w:tcW w:w="2976" w:type="dxa"/>
            <w:gridSpan w:val="4"/>
            <w:shd w:val="clear" w:color="auto" w:fill="F2CEED" w:themeFill="accent5" w:themeFillTint="33"/>
            <w:noWrap/>
            <w:vAlign w:val="bottom"/>
            <w:hideMark/>
          </w:tcPr>
          <w:p w14:paraId="05BBD59A" w14:textId="77777777" w:rsidR="002E5C7A" w:rsidRPr="002E5C7A" w:rsidRDefault="002E5C7A" w:rsidP="002E5C7A">
            <w:pPr>
              <w:spacing w:after="0" w:line="240" w:lineRule="auto"/>
              <w:jc w:val="right"/>
              <w:rPr>
                <w:rFonts w:ascii="Arial" w:eastAsia="Times New Roman" w:hAnsi="Arial" w:cs="Arial"/>
                <w:color w:val="000000"/>
                <w:lang w:eastAsia="en-GB"/>
              </w:rPr>
            </w:pPr>
            <w:r w:rsidRPr="002E5C7A">
              <w:rPr>
                <w:rFonts w:ascii="Arial" w:eastAsia="Times New Roman" w:hAnsi="Arial" w:cs="Arial"/>
                <w:color w:val="000000"/>
                <w:lang w:eastAsia="en-GB"/>
              </w:rPr>
              <w:t>1</w:t>
            </w:r>
          </w:p>
        </w:tc>
      </w:tr>
      <w:tr w:rsidR="002E5C7A" w:rsidRPr="002E5C7A" w14:paraId="2B165590" w14:textId="77777777" w:rsidTr="00BF2D58">
        <w:trPr>
          <w:gridAfter w:val="1"/>
          <w:wAfter w:w="24" w:type="dxa"/>
          <w:trHeight w:val="285"/>
        </w:trPr>
        <w:tc>
          <w:tcPr>
            <w:tcW w:w="3120" w:type="dxa"/>
            <w:shd w:val="clear" w:color="auto" w:fill="F2CEED" w:themeFill="accent5" w:themeFillTint="33"/>
            <w:noWrap/>
            <w:vAlign w:val="bottom"/>
            <w:hideMark/>
          </w:tcPr>
          <w:p w14:paraId="6107EA62" w14:textId="77777777" w:rsidR="002E5C7A" w:rsidRPr="002E5C7A" w:rsidRDefault="002E5C7A" w:rsidP="002E5C7A">
            <w:pPr>
              <w:spacing w:after="0" w:line="240" w:lineRule="auto"/>
              <w:ind w:firstLineChars="100" w:firstLine="220"/>
              <w:rPr>
                <w:rFonts w:ascii="Arial" w:eastAsia="Times New Roman" w:hAnsi="Arial" w:cs="Arial"/>
                <w:color w:val="000000"/>
                <w:lang w:eastAsia="en-GB"/>
              </w:rPr>
            </w:pPr>
            <w:r w:rsidRPr="002E5C7A">
              <w:rPr>
                <w:rFonts w:ascii="Arial" w:eastAsia="Times New Roman" w:hAnsi="Arial" w:cs="Arial"/>
                <w:color w:val="000000"/>
                <w:lang w:eastAsia="en-GB"/>
              </w:rPr>
              <w:t>Trauma and Orthopaedics</w:t>
            </w:r>
          </w:p>
        </w:tc>
        <w:tc>
          <w:tcPr>
            <w:tcW w:w="2976" w:type="dxa"/>
            <w:gridSpan w:val="4"/>
            <w:shd w:val="clear" w:color="auto" w:fill="F2CEED" w:themeFill="accent5" w:themeFillTint="33"/>
            <w:noWrap/>
            <w:vAlign w:val="bottom"/>
            <w:hideMark/>
          </w:tcPr>
          <w:p w14:paraId="07B7A3DF" w14:textId="77777777" w:rsidR="002E5C7A" w:rsidRPr="002E5C7A" w:rsidRDefault="002E5C7A" w:rsidP="002E5C7A">
            <w:pPr>
              <w:spacing w:after="0" w:line="240" w:lineRule="auto"/>
              <w:jc w:val="right"/>
              <w:rPr>
                <w:rFonts w:ascii="Arial" w:eastAsia="Times New Roman" w:hAnsi="Arial" w:cs="Arial"/>
                <w:color w:val="000000"/>
                <w:lang w:eastAsia="en-GB"/>
              </w:rPr>
            </w:pPr>
            <w:r w:rsidRPr="002E5C7A">
              <w:rPr>
                <w:rFonts w:ascii="Arial" w:eastAsia="Times New Roman" w:hAnsi="Arial" w:cs="Arial"/>
                <w:color w:val="000000"/>
                <w:lang w:eastAsia="en-GB"/>
              </w:rPr>
              <w:t>1</w:t>
            </w:r>
          </w:p>
        </w:tc>
      </w:tr>
      <w:tr w:rsidR="002E5C7A" w:rsidRPr="002E5C7A" w14:paraId="75B9DF3E" w14:textId="77777777" w:rsidTr="00BF2D58">
        <w:trPr>
          <w:gridAfter w:val="1"/>
          <w:wAfter w:w="24" w:type="dxa"/>
          <w:trHeight w:val="300"/>
        </w:trPr>
        <w:tc>
          <w:tcPr>
            <w:tcW w:w="3120" w:type="dxa"/>
            <w:shd w:val="clear" w:color="auto" w:fill="F2CEED" w:themeFill="accent5" w:themeFillTint="33"/>
            <w:noWrap/>
            <w:vAlign w:val="bottom"/>
            <w:hideMark/>
          </w:tcPr>
          <w:p w14:paraId="12DD4DF5" w14:textId="77777777" w:rsidR="002E5C7A" w:rsidRPr="002E5C7A" w:rsidRDefault="002E5C7A" w:rsidP="002E5C7A">
            <w:pPr>
              <w:spacing w:after="0" w:line="240" w:lineRule="auto"/>
              <w:ind w:firstLineChars="100" w:firstLine="220"/>
              <w:rPr>
                <w:rFonts w:ascii="Arial" w:eastAsia="Times New Roman" w:hAnsi="Arial" w:cs="Arial"/>
                <w:color w:val="000000"/>
                <w:lang w:eastAsia="en-GB"/>
              </w:rPr>
            </w:pPr>
            <w:r w:rsidRPr="002E5C7A">
              <w:rPr>
                <w:rFonts w:ascii="Arial" w:eastAsia="Times New Roman" w:hAnsi="Arial" w:cs="Arial"/>
                <w:color w:val="000000"/>
                <w:lang w:eastAsia="en-GB"/>
              </w:rPr>
              <w:t>Vascular Surgery</w:t>
            </w:r>
          </w:p>
        </w:tc>
        <w:tc>
          <w:tcPr>
            <w:tcW w:w="2976" w:type="dxa"/>
            <w:gridSpan w:val="4"/>
            <w:shd w:val="clear" w:color="auto" w:fill="F2CEED" w:themeFill="accent5" w:themeFillTint="33"/>
            <w:noWrap/>
            <w:vAlign w:val="bottom"/>
            <w:hideMark/>
          </w:tcPr>
          <w:p w14:paraId="4F045EE9" w14:textId="77777777" w:rsidR="002E5C7A" w:rsidRPr="002E5C7A" w:rsidRDefault="002E5C7A" w:rsidP="002E5C7A">
            <w:pPr>
              <w:spacing w:after="0" w:line="240" w:lineRule="auto"/>
              <w:jc w:val="right"/>
              <w:rPr>
                <w:rFonts w:ascii="Arial" w:eastAsia="Times New Roman" w:hAnsi="Arial" w:cs="Arial"/>
                <w:color w:val="000000"/>
                <w:lang w:eastAsia="en-GB"/>
              </w:rPr>
            </w:pPr>
            <w:r w:rsidRPr="002E5C7A">
              <w:rPr>
                <w:rFonts w:ascii="Arial" w:eastAsia="Times New Roman" w:hAnsi="Arial" w:cs="Arial"/>
                <w:color w:val="000000"/>
                <w:lang w:eastAsia="en-GB"/>
              </w:rPr>
              <w:t>1</w:t>
            </w:r>
          </w:p>
        </w:tc>
      </w:tr>
      <w:tr w:rsidR="002E5C7A" w:rsidRPr="002E5C7A" w14:paraId="077CB1B0" w14:textId="77777777" w:rsidTr="00BF2D58">
        <w:trPr>
          <w:gridAfter w:val="1"/>
          <w:wAfter w:w="24" w:type="dxa"/>
          <w:trHeight w:val="300"/>
        </w:trPr>
        <w:tc>
          <w:tcPr>
            <w:tcW w:w="3120" w:type="dxa"/>
            <w:shd w:val="clear" w:color="auto" w:fill="E59EDC" w:themeFill="accent5" w:themeFillTint="66"/>
            <w:noWrap/>
            <w:vAlign w:val="bottom"/>
            <w:hideMark/>
          </w:tcPr>
          <w:p w14:paraId="76B63C1D" w14:textId="77777777" w:rsidR="002E5C7A" w:rsidRPr="002E5C7A" w:rsidRDefault="002E5C7A" w:rsidP="002E5C7A">
            <w:pPr>
              <w:spacing w:after="0" w:line="240" w:lineRule="auto"/>
              <w:rPr>
                <w:rFonts w:ascii="Arial" w:eastAsia="Times New Roman" w:hAnsi="Arial" w:cs="Arial"/>
                <w:b/>
                <w:bCs/>
                <w:color w:val="000000"/>
                <w:lang w:eastAsia="en-GB"/>
              </w:rPr>
            </w:pPr>
            <w:r w:rsidRPr="002E5C7A">
              <w:rPr>
                <w:rFonts w:ascii="Arial" w:eastAsia="Times New Roman" w:hAnsi="Arial" w:cs="Arial"/>
                <w:b/>
                <w:bCs/>
                <w:color w:val="000000"/>
                <w:lang w:eastAsia="en-GB"/>
              </w:rPr>
              <w:t>Outcomes pending sign off</w:t>
            </w:r>
          </w:p>
        </w:tc>
        <w:tc>
          <w:tcPr>
            <w:tcW w:w="2976" w:type="dxa"/>
            <w:gridSpan w:val="4"/>
            <w:shd w:val="clear" w:color="auto" w:fill="E59EDC" w:themeFill="accent5" w:themeFillTint="66"/>
            <w:noWrap/>
            <w:vAlign w:val="bottom"/>
            <w:hideMark/>
          </w:tcPr>
          <w:p w14:paraId="482D28A2" w14:textId="77777777" w:rsidR="002E5C7A" w:rsidRPr="002E5C7A" w:rsidRDefault="002E5C7A" w:rsidP="002E5C7A">
            <w:pPr>
              <w:spacing w:after="0" w:line="240" w:lineRule="auto"/>
              <w:jc w:val="right"/>
              <w:rPr>
                <w:rFonts w:ascii="Arial" w:eastAsia="Times New Roman" w:hAnsi="Arial" w:cs="Arial"/>
                <w:b/>
                <w:bCs/>
                <w:color w:val="000000"/>
                <w:lang w:eastAsia="en-GB"/>
              </w:rPr>
            </w:pPr>
            <w:r w:rsidRPr="002E5C7A">
              <w:rPr>
                <w:rFonts w:ascii="Arial" w:eastAsia="Times New Roman" w:hAnsi="Arial" w:cs="Arial"/>
                <w:b/>
                <w:bCs/>
                <w:color w:val="000000"/>
                <w:lang w:eastAsia="en-GB"/>
              </w:rPr>
              <w:t>1</w:t>
            </w:r>
          </w:p>
        </w:tc>
      </w:tr>
      <w:tr w:rsidR="002E5C7A" w:rsidRPr="002E5C7A" w14:paraId="410F6764" w14:textId="77777777" w:rsidTr="00BF2D58">
        <w:trPr>
          <w:gridAfter w:val="1"/>
          <w:wAfter w:w="24" w:type="dxa"/>
          <w:trHeight w:val="300"/>
        </w:trPr>
        <w:tc>
          <w:tcPr>
            <w:tcW w:w="3120" w:type="dxa"/>
            <w:shd w:val="clear" w:color="auto" w:fill="E59EDC" w:themeFill="accent5" w:themeFillTint="66"/>
            <w:noWrap/>
            <w:vAlign w:val="bottom"/>
            <w:hideMark/>
          </w:tcPr>
          <w:p w14:paraId="55B95074" w14:textId="77777777" w:rsidR="002E5C7A" w:rsidRPr="002E5C7A" w:rsidRDefault="002E5C7A" w:rsidP="002E5C7A">
            <w:pPr>
              <w:spacing w:after="0" w:line="240" w:lineRule="auto"/>
              <w:ind w:firstLineChars="100" w:firstLine="220"/>
              <w:rPr>
                <w:rFonts w:ascii="Arial" w:eastAsia="Times New Roman" w:hAnsi="Arial" w:cs="Arial"/>
                <w:color w:val="000000"/>
                <w:lang w:eastAsia="en-GB"/>
              </w:rPr>
            </w:pPr>
            <w:r w:rsidRPr="002E5C7A">
              <w:rPr>
                <w:rFonts w:ascii="Arial" w:eastAsia="Times New Roman" w:hAnsi="Arial" w:cs="Arial"/>
                <w:color w:val="000000"/>
                <w:lang w:eastAsia="en-GB"/>
              </w:rPr>
              <w:t>Burns &amp; Plastics</w:t>
            </w:r>
          </w:p>
        </w:tc>
        <w:tc>
          <w:tcPr>
            <w:tcW w:w="2976" w:type="dxa"/>
            <w:gridSpan w:val="4"/>
            <w:shd w:val="clear" w:color="auto" w:fill="E59EDC" w:themeFill="accent5" w:themeFillTint="66"/>
            <w:noWrap/>
            <w:vAlign w:val="bottom"/>
            <w:hideMark/>
          </w:tcPr>
          <w:p w14:paraId="41504FBA" w14:textId="77777777" w:rsidR="002E5C7A" w:rsidRPr="002E5C7A" w:rsidRDefault="002E5C7A" w:rsidP="002E5C7A">
            <w:pPr>
              <w:spacing w:after="0" w:line="240" w:lineRule="auto"/>
              <w:jc w:val="right"/>
              <w:rPr>
                <w:rFonts w:ascii="Arial" w:eastAsia="Times New Roman" w:hAnsi="Arial" w:cs="Arial"/>
                <w:color w:val="000000"/>
                <w:lang w:eastAsia="en-GB"/>
              </w:rPr>
            </w:pPr>
            <w:r w:rsidRPr="002E5C7A">
              <w:rPr>
                <w:rFonts w:ascii="Arial" w:eastAsia="Times New Roman" w:hAnsi="Arial" w:cs="Arial"/>
                <w:color w:val="000000"/>
                <w:lang w:eastAsia="en-GB"/>
              </w:rPr>
              <w:t>1</w:t>
            </w:r>
          </w:p>
        </w:tc>
      </w:tr>
      <w:tr w:rsidR="008B753C" w:rsidRPr="002E5C7A" w14:paraId="1E09E1C5" w14:textId="77777777" w:rsidTr="00BF2D58">
        <w:trPr>
          <w:gridAfter w:val="1"/>
          <w:wAfter w:w="24" w:type="dxa"/>
          <w:trHeight w:val="300"/>
        </w:trPr>
        <w:tc>
          <w:tcPr>
            <w:tcW w:w="6096" w:type="dxa"/>
            <w:gridSpan w:val="5"/>
            <w:shd w:val="clear" w:color="C0E6F5" w:fill="2AAA54"/>
            <w:noWrap/>
            <w:vAlign w:val="bottom"/>
            <w:hideMark/>
          </w:tcPr>
          <w:p w14:paraId="526F973D" w14:textId="772578B0" w:rsidR="008B753C" w:rsidRPr="002E5C7A" w:rsidRDefault="00335C0C" w:rsidP="002E5C7A">
            <w:pPr>
              <w:spacing w:after="0" w:line="240" w:lineRule="auto"/>
              <w:rPr>
                <w:rFonts w:ascii="Arial" w:eastAsia="Times New Roman" w:hAnsi="Arial" w:cs="Arial"/>
                <w:b/>
                <w:bCs/>
                <w:color w:val="000000"/>
                <w:lang w:eastAsia="en-GB"/>
              </w:rPr>
            </w:pPr>
            <w:r>
              <w:rPr>
                <w:rFonts w:ascii="Arial" w:eastAsia="Times New Roman" w:hAnsi="Arial" w:cs="Arial"/>
                <w:b/>
                <w:bCs/>
                <w:color w:val="000000"/>
                <w:lang w:eastAsia="en-GB"/>
              </w:rPr>
              <w:t>P</w:t>
            </w:r>
            <w:r w:rsidR="008B753C">
              <w:rPr>
                <w:rFonts w:ascii="Arial" w:eastAsia="Times New Roman" w:hAnsi="Arial" w:cs="Arial"/>
                <w:b/>
                <w:bCs/>
                <w:color w:val="000000"/>
                <w:lang w:eastAsia="en-GB"/>
              </w:rPr>
              <w:t>rimary, Community Care and Therapies</w:t>
            </w:r>
          </w:p>
        </w:tc>
      </w:tr>
      <w:tr w:rsidR="002E5C7A" w:rsidRPr="002E5C7A" w14:paraId="7AC72078" w14:textId="77777777" w:rsidTr="00BF2D58">
        <w:trPr>
          <w:gridAfter w:val="1"/>
          <w:wAfter w:w="24" w:type="dxa"/>
          <w:trHeight w:val="300"/>
        </w:trPr>
        <w:tc>
          <w:tcPr>
            <w:tcW w:w="3580" w:type="dxa"/>
            <w:gridSpan w:val="3"/>
            <w:shd w:val="clear" w:color="auto" w:fill="C1F0C7" w:themeFill="accent3" w:themeFillTint="33"/>
            <w:noWrap/>
            <w:vAlign w:val="bottom"/>
            <w:hideMark/>
          </w:tcPr>
          <w:p w14:paraId="7C26F78A" w14:textId="77777777" w:rsidR="002E5C7A" w:rsidRPr="002E5C7A" w:rsidRDefault="002E5C7A" w:rsidP="002E5C7A">
            <w:pPr>
              <w:spacing w:after="0" w:line="240" w:lineRule="auto"/>
              <w:rPr>
                <w:rFonts w:ascii="Arial" w:eastAsia="Times New Roman" w:hAnsi="Arial" w:cs="Arial"/>
                <w:b/>
                <w:bCs/>
                <w:i/>
                <w:iCs/>
                <w:color w:val="000000"/>
                <w:lang w:eastAsia="en-GB"/>
              </w:rPr>
            </w:pPr>
            <w:r w:rsidRPr="002E5C7A">
              <w:rPr>
                <w:rFonts w:ascii="Arial" w:eastAsia="Times New Roman" w:hAnsi="Arial" w:cs="Arial"/>
                <w:b/>
                <w:bCs/>
                <w:i/>
                <w:iCs/>
                <w:color w:val="000000"/>
                <w:lang w:eastAsia="en-GB"/>
              </w:rPr>
              <w:t>Live</w:t>
            </w:r>
          </w:p>
        </w:tc>
        <w:tc>
          <w:tcPr>
            <w:tcW w:w="2516" w:type="dxa"/>
            <w:gridSpan w:val="2"/>
            <w:shd w:val="clear" w:color="auto" w:fill="C1F0C7" w:themeFill="accent3" w:themeFillTint="33"/>
            <w:noWrap/>
            <w:vAlign w:val="bottom"/>
            <w:hideMark/>
          </w:tcPr>
          <w:p w14:paraId="7DF35314" w14:textId="77777777" w:rsidR="002E5C7A" w:rsidRPr="002E5C7A" w:rsidRDefault="002E5C7A" w:rsidP="002E5C7A">
            <w:pPr>
              <w:spacing w:after="0" w:line="240" w:lineRule="auto"/>
              <w:jc w:val="right"/>
              <w:rPr>
                <w:rFonts w:ascii="Arial" w:eastAsia="Times New Roman" w:hAnsi="Arial" w:cs="Arial"/>
                <w:b/>
                <w:bCs/>
                <w:i/>
                <w:iCs/>
                <w:color w:val="000000"/>
                <w:lang w:eastAsia="en-GB"/>
              </w:rPr>
            </w:pPr>
            <w:r w:rsidRPr="002E5C7A">
              <w:rPr>
                <w:rFonts w:ascii="Arial" w:eastAsia="Times New Roman" w:hAnsi="Arial" w:cs="Arial"/>
                <w:b/>
                <w:bCs/>
                <w:i/>
                <w:iCs/>
                <w:color w:val="000000"/>
                <w:lang w:eastAsia="en-GB"/>
              </w:rPr>
              <w:t>12</w:t>
            </w:r>
          </w:p>
        </w:tc>
      </w:tr>
      <w:tr w:rsidR="002E5C7A" w:rsidRPr="002E5C7A" w14:paraId="0D76F57D" w14:textId="77777777" w:rsidTr="00BF2D58">
        <w:trPr>
          <w:gridAfter w:val="1"/>
          <w:wAfter w:w="24" w:type="dxa"/>
          <w:trHeight w:val="285"/>
        </w:trPr>
        <w:tc>
          <w:tcPr>
            <w:tcW w:w="3580" w:type="dxa"/>
            <w:gridSpan w:val="3"/>
            <w:shd w:val="clear" w:color="auto" w:fill="C1F0C7" w:themeFill="accent3" w:themeFillTint="33"/>
            <w:noWrap/>
            <w:vAlign w:val="bottom"/>
            <w:hideMark/>
          </w:tcPr>
          <w:p w14:paraId="4435A5B0" w14:textId="77777777" w:rsidR="002E5C7A" w:rsidRPr="002E5C7A" w:rsidRDefault="002E5C7A" w:rsidP="002E5C7A">
            <w:pPr>
              <w:spacing w:after="0" w:line="240" w:lineRule="auto"/>
              <w:ind w:firstLineChars="100" w:firstLine="220"/>
              <w:rPr>
                <w:rFonts w:ascii="Arial" w:eastAsia="Times New Roman" w:hAnsi="Arial" w:cs="Arial"/>
                <w:color w:val="000000"/>
                <w:lang w:eastAsia="en-GB"/>
              </w:rPr>
            </w:pPr>
            <w:r w:rsidRPr="002E5C7A">
              <w:rPr>
                <w:rFonts w:ascii="Arial" w:eastAsia="Times New Roman" w:hAnsi="Arial" w:cs="Arial"/>
                <w:color w:val="000000"/>
                <w:lang w:eastAsia="en-GB"/>
              </w:rPr>
              <w:t>Audiology</w:t>
            </w:r>
          </w:p>
        </w:tc>
        <w:tc>
          <w:tcPr>
            <w:tcW w:w="2516" w:type="dxa"/>
            <w:gridSpan w:val="2"/>
            <w:shd w:val="clear" w:color="auto" w:fill="C1F0C7" w:themeFill="accent3" w:themeFillTint="33"/>
            <w:noWrap/>
            <w:vAlign w:val="bottom"/>
            <w:hideMark/>
          </w:tcPr>
          <w:p w14:paraId="592221C9" w14:textId="77777777" w:rsidR="002E5C7A" w:rsidRPr="002E5C7A" w:rsidRDefault="002E5C7A" w:rsidP="002E5C7A">
            <w:pPr>
              <w:spacing w:after="0" w:line="240" w:lineRule="auto"/>
              <w:jc w:val="right"/>
              <w:rPr>
                <w:rFonts w:ascii="Arial" w:eastAsia="Times New Roman" w:hAnsi="Arial" w:cs="Arial"/>
                <w:color w:val="000000"/>
                <w:lang w:eastAsia="en-GB"/>
              </w:rPr>
            </w:pPr>
            <w:r w:rsidRPr="002E5C7A">
              <w:rPr>
                <w:rFonts w:ascii="Arial" w:eastAsia="Times New Roman" w:hAnsi="Arial" w:cs="Arial"/>
                <w:color w:val="000000"/>
                <w:lang w:eastAsia="en-GB"/>
              </w:rPr>
              <w:t>3</w:t>
            </w:r>
          </w:p>
        </w:tc>
      </w:tr>
      <w:tr w:rsidR="002E5C7A" w:rsidRPr="002E5C7A" w14:paraId="6D6A57E1" w14:textId="77777777" w:rsidTr="00BF2D58">
        <w:trPr>
          <w:gridAfter w:val="1"/>
          <w:wAfter w:w="24" w:type="dxa"/>
          <w:trHeight w:val="285"/>
        </w:trPr>
        <w:tc>
          <w:tcPr>
            <w:tcW w:w="3580" w:type="dxa"/>
            <w:gridSpan w:val="3"/>
            <w:shd w:val="clear" w:color="auto" w:fill="C1F0C7" w:themeFill="accent3" w:themeFillTint="33"/>
            <w:noWrap/>
            <w:vAlign w:val="bottom"/>
            <w:hideMark/>
          </w:tcPr>
          <w:p w14:paraId="27B46B3E" w14:textId="77777777" w:rsidR="002E5C7A" w:rsidRPr="002E5C7A" w:rsidRDefault="002E5C7A" w:rsidP="002E5C7A">
            <w:pPr>
              <w:spacing w:after="0" w:line="240" w:lineRule="auto"/>
              <w:ind w:firstLineChars="100" w:firstLine="220"/>
              <w:rPr>
                <w:rFonts w:ascii="Arial" w:eastAsia="Times New Roman" w:hAnsi="Arial" w:cs="Arial"/>
                <w:color w:val="000000"/>
                <w:lang w:eastAsia="en-GB"/>
              </w:rPr>
            </w:pPr>
            <w:r w:rsidRPr="002E5C7A">
              <w:rPr>
                <w:rFonts w:ascii="Arial" w:eastAsia="Times New Roman" w:hAnsi="Arial" w:cs="Arial"/>
                <w:color w:val="000000"/>
                <w:lang w:eastAsia="en-GB"/>
              </w:rPr>
              <w:t>Cardiac Rehabilitation</w:t>
            </w:r>
          </w:p>
        </w:tc>
        <w:tc>
          <w:tcPr>
            <w:tcW w:w="2516" w:type="dxa"/>
            <w:gridSpan w:val="2"/>
            <w:shd w:val="clear" w:color="auto" w:fill="C1F0C7" w:themeFill="accent3" w:themeFillTint="33"/>
            <w:noWrap/>
            <w:vAlign w:val="bottom"/>
            <w:hideMark/>
          </w:tcPr>
          <w:p w14:paraId="4F82F127" w14:textId="77777777" w:rsidR="002E5C7A" w:rsidRPr="002E5C7A" w:rsidRDefault="002E5C7A" w:rsidP="002E5C7A">
            <w:pPr>
              <w:spacing w:after="0" w:line="240" w:lineRule="auto"/>
              <w:jc w:val="right"/>
              <w:rPr>
                <w:rFonts w:ascii="Arial" w:eastAsia="Times New Roman" w:hAnsi="Arial" w:cs="Arial"/>
                <w:color w:val="000000"/>
                <w:lang w:eastAsia="en-GB"/>
              </w:rPr>
            </w:pPr>
            <w:r w:rsidRPr="002E5C7A">
              <w:rPr>
                <w:rFonts w:ascii="Arial" w:eastAsia="Times New Roman" w:hAnsi="Arial" w:cs="Arial"/>
                <w:color w:val="000000"/>
                <w:lang w:eastAsia="en-GB"/>
              </w:rPr>
              <w:t>1</w:t>
            </w:r>
          </w:p>
        </w:tc>
      </w:tr>
      <w:tr w:rsidR="002E5C7A" w:rsidRPr="002E5C7A" w14:paraId="481DC9B3" w14:textId="77777777" w:rsidTr="00BF2D58">
        <w:trPr>
          <w:gridAfter w:val="1"/>
          <w:wAfter w:w="24" w:type="dxa"/>
          <w:trHeight w:val="285"/>
        </w:trPr>
        <w:tc>
          <w:tcPr>
            <w:tcW w:w="3580" w:type="dxa"/>
            <w:gridSpan w:val="3"/>
            <w:shd w:val="clear" w:color="auto" w:fill="C1F0C7" w:themeFill="accent3" w:themeFillTint="33"/>
            <w:noWrap/>
            <w:vAlign w:val="bottom"/>
            <w:hideMark/>
          </w:tcPr>
          <w:p w14:paraId="23BA5677" w14:textId="77777777" w:rsidR="002E5C7A" w:rsidRPr="002E5C7A" w:rsidRDefault="002E5C7A" w:rsidP="002E5C7A">
            <w:pPr>
              <w:spacing w:after="0" w:line="240" w:lineRule="auto"/>
              <w:ind w:firstLineChars="100" w:firstLine="220"/>
              <w:rPr>
                <w:rFonts w:ascii="Arial" w:eastAsia="Times New Roman" w:hAnsi="Arial" w:cs="Arial"/>
                <w:color w:val="000000"/>
                <w:lang w:eastAsia="en-GB"/>
              </w:rPr>
            </w:pPr>
            <w:r w:rsidRPr="002E5C7A">
              <w:rPr>
                <w:rFonts w:ascii="Arial" w:eastAsia="Times New Roman" w:hAnsi="Arial" w:cs="Arial"/>
                <w:color w:val="000000"/>
                <w:lang w:eastAsia="en-GB"/>
              </w:rPr>
              <w:t>Dental Teaching Unit</w:t>
            </w:r>
          </w:p>
        </w:tc>
        <w:tc>
          <w:tcPr>
            <w:tcW w:w="2516" w:type="dxa"/>
            <w:gridSpan w:val="2"/>
            <w:shd w:val="clear" w:color="auto" w:fill="C1F0C7" w:themeFill="accent3" w:themeFillTint="33"/>
            <w:noWrap/>
            <w:vAlign w:val="bottom"/>
            <w:hideMark/>
          </w:tcPr>
          <w:p w14:paraId="3E93D34B" w14:textId="77777777" w:rsidR="002E5C7A" w:rsidRPr="002E5C7A" w:rsidRDefault="002E5C7A" w:rsidP="002E5C7A">
            <w:pPr>
              <w:spacing w:after="0" w:line="240" w:lineRule="auto"/>
              <w:jc w:val="right"/>
              <w:rPr>
                <w:rFonts w:ascii="Arial" w:eastAsia="Times New Roman" w:hAnsi="Arial" w:cs="Arial"/>
                <w:color w:val="000000"/>
                <w:lang w:eastAsia="en-GB"/>
              </w:rPr>
            </w:pPr>
            <w:r w:rsidRPr="002E5C7A">
              <w:rPr>
                <w:rFonts w:ascii="Arial" w:eastAsia="Times New Roman" w:hAnsi="Arial" w:cs="Arial"/>
                <w:color w:val="000000"/>
                <w:lang w:eastAsia="en-GB"/>
              </w:rPr>
              <w:t>1</w:t>
            </w:r>
          </w:p>
        </w:tc>
      </w:tr>
      <w:tr w:rsidR="002E5C7A" w:rsidRPr="002E5C7A" w14:paraId="2E99B176" w14:textId="77777777" w:rsidTr="00BF2D58">
        <w:trPr>
          <w:gridAfter w:val="1"/>
          <w:wAfter w:w="24" w:type="dxa"/>
          <w:trHeight w:val="285"/>
        </w:trPr>
        <w:tc>
          <w:tcPr>
            <w:tcW w:w="3580" w:type="dxa"/>
            <w:gridSpan w:val="3"/>
            <w:shd w:val="clear" w:color="auto" w:fill="C1F0C7" w:themeFill="accent3" w:themeFillTint="33"/>
            <w:noWrap/>
            <w:vAlign w:val="bottom"/>
            <w:hideMark/>
          </w:tcPr>
          <w:p w14:paraId="39CFAF9F" w14:textId="77777777" w:rsidR="002E5C7A" w:rsidRPr="002E5C7A" w:rsidRDefault="002E5C7A" w:rsidP="002E5C7A">
            <w:pPr>
              <w:spacing w:after="0" w:line="240" w:lineRule="auto"/>
              <w:ind w:firstLineChars="100" w:firstLine="220"/>
              <w:rPr>
                <w:rFonts w:ascii="Arial" w:eastAsia="Times New Roman" w:hAnsi="Arial" w:cs="Arial"/>
                <w:color w:val="000000"/>
                <w:lang w:eastAsia="en-GB"/>
              </w:rPr>
            </w:pPr>
            <w:r w:rsidRPr="002E5C7A">
              <w:rPr>
                <w:rFonts w:ascii="Arial" w:eastAsia="Times New Roman" w:hAnsi="Arial" w:cs="Arial"/>
                <w:color w:val="000000"/>
                <w:lang w:eastAsia="en-GB"/>
              </w:rPr>
              <w:t>Home Enteral Feeding</w:t>
            </w:r>
          </w:p>
        </w:tc>
        <w:tc>
          <w:tcPr>
            <w:tcW w:w="2516" w:type="dxa"/>
            <w:gridSpan w:val="2"/>
            <w:shd w:val="clear" w:color="auto" w:fill="C1F0C7" w:themeFill="accent3" w:themeFillTint="33"/>
            <w:noWrap/>
            <w:vAlign w:val="bottom"/>
            <w:hideMark/>
          </w:tcPr>
          <w:p w14:paraId="6F912733" w14:textId="77777777" w:rsidR="002E5C7A" w:rsidRPr="002E5C7A" w:rsidRDefault="002E5C7A" w:rsidP="002E5C7A">
            <w:pPr>
              <w:spacing w:after="0" w:line="240" w:lineRule="auto"/>
              <w:jc w:val="right"/>
              <w:rPr>
                <w:rFonts w:ascii="Arial" w:eastAsia="Times New Roman" w:hAnsi="Arial" w:cs="Arial"/>
                <w:color w:val="000000"/>
                <w:lang w:eastAsia="en-GB"/>
              </w:rPr>
            </w:pPr>
            <w:r w:rsidRPr="002E5C7A">
              <w:rPr>
                <w:rFonts w:ascii="Arial" w:eastAsia="Times New Roman" w:hAnsi="Arial" w:cs="Arial"/>
                <w:color w:val="000000"/>
                <w:lang w:eastAsia="en-GB"/>
              </w:rPr>
              <w:t>1</w:t>
            </w:r>
          </w:p>
        </w:tc>
      </w:tr>
      <w:tr w:rsidR="002E5C7A" w:rsidRPr="002E5C7A" w14:paraId="1E713A3A" w14:textId="77777777" w:rsidTr="00BF2D58">
        <w:trPr>
          <w:gridAfter w:val="1"/>
          <w:wAfter w:w="24" w:type="dxa"/>
          <w:trHeight w:val="300"/>
        </w:trPr>
        <w:tc>
          <w:tcPr>
            <w:tcW w:w="3580" w:type="dxa"/>
            <w:gridSpan w:val="3"/>
            <w:shd w:val="clear" w:color="auto" w:fill="C1F0C7" w:themeFill="accent3" w:themeFillTint="33"/>
            <w:noWrap/>
            <w:vAlign w:val="bottom"/>
            <w:hideMark/>
          </w:tcPr>
          <w:p w14:paraId="5939BEED" w14:textId="77777777" w:rsidR="002E5C7A" w:rsidRPr="002E5C7A" w:rsidRDefault="002E5C7A" w:rsidP="002E5C7A">
            <w:pPr>
              <w:spacing w:after="0" w:line="240" w:lineRule="auto"/>
              <w:ind w:firstLineChars="100" w:firstLine="220"/>
              <w:rPr>
                <w:rFonts w:ascii="Arial" w:eastAsia="Times New Roman" w:hAnsi="Arial" w:cs="Arial"/>
                <w:color w:val="000000"/>
                <w:lang w:eastAsia="en-GB"/>
              </w:rPr>
            </w:pPr>
            <w:r w:rsidRPr="002E5C7A">
              <w:rPr>
                <w:rFonts w:ascii="Arial" w:eastAsia="Times New Roman" w:hAnsi="Arial" w:cs="Arial"/>
                <w:color w:val="000000"/>
                <w:lang w:eastAsia="en-GB"/>
              </w:rPr>
              <w:t>Occupational Therapy</w:t>
            </w:r>
          </w:p>
        </w:tc>
        <w:tc>
          <w:tcPr>
            <w:tcW w:w="2516" w:type="dxa"/>
            <w:gridSpan w:val="2"/>
            <w:shd w:val="clear" w:color="auto" w:fill="C1F0C7" w:themeFill="accent3" w:themeFillTint="33"/>
            <w:noWrap/>
            <w:vAlign w:val="bottom"/>
            <w:hideMark/>
          </w:tcPr>
          <w:p w14:paraId="175E79BE" w14:textId="77777777" w:rsidR="002E5C7A" w:rsidRPr="002E5C7A" w:rsidRDefault="002E5C7A" w:rsidP="002E5C7A">
            <w:pPr>
              <w:spacing w:after="0" w:line="240" w:lineRule="auto"/>
              <w:jc w:val="right"/>
              <w:rPr>
                <w:rFonts w:ascii="Arial" w:eastAsia="Times New Roman" w:hAnsi="Arial" w:cs="Arial"/>
                <w:color w:val="000000"/>
                <w:lang w:eastAsia="en-GB"/>
              </w:rPr>
            </w:pPr>
            <w:r w:rsidRPr="002E5C7A">
              <w:rPr>
                <w:rFonts w:ascii="Arial" w:eastAsia="Times New Roman" w:hAnsi="Arial" w:cs="Arial"/>
                <w:color w:val="000000"/>
                <w:lang w:eastAsia="en-GB"/>
              </w:rPr>
              <w:t>2</w:t>
            </w:r>
          </w:p>
        </w:tc>
      </w:tr>
      <w:tr w:rsidR="002E5C7A" w:rsidRPr="002E5C7A" w14:paraId="2D6E4617" w14:textId="77777777" w:rsidTr="00BF2D58">
        <w:trPr>
          <w:gridAfter w:val="1"/>
          <w:wAfter w:w="24" w:type="dxa"/>
          <w:trHeight w:val="285"/>
        </w:trPr>
        <w:tc>
          <w:tcPr>
            <w:tcW w:w="3580" w:type="dxa"/>
            <w:gridSpan w:val="3"/>
            <w:shd w:val="clear" w:color="auto" w:fill="C1F0C7" w:themeFill="accent3" w:themeFillTint="33"/>
            <w:noWrap/>
            <w:vAlign w:val="bottom"/>
            <w:hideMark/>
          </w:tcPr>
          <w:p w14:paraId="78D3927E" w14:textId="77777777" w:rsidR="002E5C7A" w:rsidRPr="002E5C7A" w:rsidRDefault="002E5C7A" w:rsidP="002E5C7A">
            <w:pPr>
              <w:spacing w:after="0" w:line="240" w:lineRule="auto"/>
              <w:ind w:firstLineChars="100" w:firstLine="220"/>
              <w:rPr>
                <w:rFonts w:ascii="Arial" w:eastAsia="Times New Roman" w:hAnsi="Arial" w:cs="Arial"/>
                <w:color w:val="000000"/>
                <w:lang w:eastAsia="en-GB"/>
              </w:rPr>
            </w:pPr>
            <w:r w:rsidRPr="002E5C7A">
              <w:rPr>
                <w:rFonts w:ascii="Arial" w:eastAsia="Times New Roman" w:hAnsi="Arial" w:cs="Arial"/>
                <w:color w:val="000000"/>
                <w:lang w:eastAsia="en-GB"/>
              </w:rPr>
              <w:t>Other</w:t>
            </w:r>
          </w:p>
        </w:tc>
        <w:tc>
          <w:tcPr>
            <w:tcW w:w="2516" w:type="dxa"/>
            <w:gridSpan w:val="2"/>
            <w:shd w:val="clear" w:color="auto" w:fill="C1F0C7" w:themeFill="accent3" w:themeFillTint="33"/>
            <w:noWrap/>
            <w:vAlign w:val="bottom"/>
            <w:hideMark/>
          </w:tcPr>
          <w:p w14:paraId="67A7DA4A" w14:textId="77777777" w:rsidR="002E5C7A" w:rsidRPr="002E5C7A" w:rsidRDefault="002E5C7A" w:rsidP="002E5C7A">
            <w:pPr>
              <w:spacing w:after="0" w:line="240" w:lineRule="auto"/>
              <w:jc w:val="right"/>
              <w:rPr>
                <w:rFonts w:ascii="Arial" w:eastAsia="Times New Roman" w:hAnsi="Arial" w:cs="Arial"/>
                <w:color w:val="000000"/>
                <w:lang w:eastAsia="en-GB"/>
              </w:rPr>
            </w:pPr>
            <w:r w:rsidRPr="002E5C7A">
              <w:rPr>
                <w:rFonts w:ascii="Arial" w:eastAsia="Times New Roman" w:hAnsi="Arial" w:cs="Arial"/>
                <w:color w:val="000000"/>
                <w:lang w:eastAsia="en-GB"/>
              </w:rPr>
              <w:t>2</w:t>
            </w:r>
          </w:p>
        </w:tc>
      </w:tr>
      <w:tr w:rsidR="002E5C7A" w:rsidRPr="002E5C7A" w14:paraId="23A350FF" w14:textId="77777777" w:rsidTr="00BF2D58">
        <w:trPr>
          <w:gridAfter w:val="1"/>
          <w:wAfter w:w="24" w:type="dxa"/>
          <w:trHeight w:val="300"/>
        </w:trPr>
        <w:tc>
          <w:tcPr>
            <w:tcW w:w="3580" w:type="dxa"/>
            <w:gridSpan w:val="3"/>
            <w:shd w:val="clear" w:color="auto" w:fill="C1F0C7" w:themeFill="accent3" w:themeFillTint="33"/>
            <w:noWrap/>
            <w:vAlign w:val="bottom"/>
            <w:hideMark/>
          </w:tcPr>
          <w:p w14:paraId="7A83A7D5" w14:textId="77777777" w:rsidR="002E5C7A" w:rsidRPr="002E5C7A" w:rsidRDefault="002E5C7A" w:rsidP="002E5C7A">
            <w:pPr>
              <w:spacing w:after="0" w:line="240" w:lineRule="auto"/>
              <w:ind w:firstLineChars="100" w:firstLine="220"/>
              <w:rPr>
                <w:rFonts w:ascii="Arial" w:eastAsia="Times New Roman" w:hAnsi="Arial" w:cs="Arial"/>
                <w:color w:val="000000"/>
                <w:lang w:eastAsia="en-GB"/>
              </w:rPr>
            </w:pPr>
            <w:r w:rsidRPr="002E5C7A">
              <w:rPr>
                <w:rFonts w:ascii="Arial" w:eastAsia="Times New Roman" w:hAnsi="Arial" w:cs="Arial"/>
                <w:color w:val="000000"/>
                <w:lang w:eastAsia="en-GB"/>
              </w:rPr>
              <w:t xml:space="preserve">Speech and Language Therapy </w:t>
            </w:r>
          </w:p>
        </w:tc>
        <w:tc>
          <w:tcPr>
            <w:tcW w:w="2516" w:type="dxa"/>
            <w:gridSpan w:val="2"/>
            <w:shd w:val="clear" w:color="auto" w:fill="C1F0C7" w:themeFill="accent3" w:themeFillTint="33"/>
            <w:noWrap/>
            <w:vAlign w:val="bottom"/>
            <w:hideMark/>
          </w:tcPr>
          <w:p w14:paraId="27CAA186" w14:textId="77777777" w:rsidR="002E5C7A" w:rsidRPr="002E5C7A" w:rsidRDefault="002E5C7A" w:rsidP="002E5C7A">
            <w:pPr>
              <w:spacing w:after="0" w:line="240" w:lineRule="auto"/>
              <w:jc w:val="right"/>
              <w:rPr>
                <w:rFonts w:ascii="Arial" w:eastAsia="Times New Roman" w:hAnsi="Arial" w:cs="Arial"/>
                <w:color w:val="000000"/>
                <w:lang w:eastAsia="en-GB"/>
              </w:rPr>
            </w:pPr>
            <w:r w:rsidRPr="002E5C7A">
              <w:rPr>
                <w:rFonts w:ascii="Arial" w:eastAsia="Times New Roman" w:hAnsi="Arial" w:cs="Arial"/>
                <w:color w:val="000000"/>
                <w:lang w:eastAsia="en-GB"/>
              </w:rPr>
              <w:t>2</w:t>
            </w:r>
          </w:p>
        </w:tc>
      </w:tr>
      <w:tr w:rsidR="008B753C" w:rsidRPr="008B753C" w14:paraId="0101E608" w14:textId="77777777" w:rsidTr="00BF2D58">
        <w:trPr>
          <w:gridAfter w:val="1"/>
          <w:wAfter w:w="24" w:type="dxa"/>
          <w:trHeight w:val="300"/>
        </w:trPr>
        <w:tc>
          <w:tcPr>
            <w:tcW w:w="6096" w:type="dxa"/>
            <w:gridSpan w:val="5"/>
            <w:shd w:val="clear" w:color="C0E6F5" w:fill="FFD745"/>
            <w:noWrap/>
            <w:vAlign w:val="bottom"/>
            <w:hideMark/>
          </w:tcPr>
          <w:p w14:paraId="36AC09D4" w14:textId="2D9292CB" w:rsidR="008B753C" w:rsidRPr="008B753C" w:rsidRDefault="008B753C" w:rsidP="008B753C">
            <w:pPr>
              <w:spacing w:after="0" w:line="240" w:lineRule="auto"/>
              <w:rPr>
                <w:rFonts w:ascii="Arial" w:eastAsia="Times New Roman" w:hAnsi="Arial" w:cs="Arial"/>
                <w:b/>
                <w:bCs/>
                <w:color w:val="000000"/>
                <w:lang w:eastAsia="en-GB"/>
              </w:rPr>
            </w:pPr>
            <w:r>
              <w:rPr>
                <w:rFonts w:ascii="Arial" w:eastAsia="Times New Roman" w:hAnsi="Arial" w:cs="Arial"/>
                <w:b/>
                <w:bCs/>
                <w:color w:val="000000"/>
                <w:lang w:eastAsia="en-GB"/>
              </w:rPr>
              <w:t>Singleton Neath Port Talbot</w:t>
            </w:r>
          </w:p>
        </w:tc>
      </w:tr>
      <w:tr w:rsidR="008B753C" w:rsidRPr="008B753C" w14:paraId="465FE839" w14:textId="77777777" w:rsidTr="00BF2D58">
        <w:trPr>
          <w:gridAfter w:val="1"/>
          <w:wAfter w:w="24" w:type="dxa"/>
          <w:trHeight w:val="300"/>
        </w:trPr>
        <w:tc>
          <w:tcPr>
            <w:tcW w:w="3280" w:type="dxa"/>
            <w:gridSpan w:val="2"/>
            <w:shd w:val="clear" w:color="auto" w:fill="FFFF99"/>
            <w:noWrap/>
            <w:vAlign w:val="bottom"/>
            <w:hideMark/>
          </w:tcPr>
          <w:p w14:paraId="40E2767B" w14:textId="77777777" w:rsidR="008B753C" w:rsidRPr="008B753C" w:rsidRDefault="008B753C" w:rsidP="008B753C">
            <w:pPr>
              <w:spacing w:after="0" w:line="240" w:lineRule="auto"/>
              <w:rPr>
                <w:rFonts w:ascii="Arial" w:eastAsia="Times New Roman" w:hAnsi="Arial" w:cs="Arial"/>
                <w:b/>
                <w:bCs/>
                <w:i/>
                <w:iCs/>
                <w:color w:val="000000"/>
                <w:lang w:eastAsia="en-GB"/>
              </w:rPr>
            </w:pPr>
            <w:r w:rsidRPr="008B753C">
              <w:rPr>
                <w:rFonts w:ascii="Arial" w:eastAsia="Times New Roman" w:hAnsi="Arial" w:cs="Arial"/>
                <w:b/>
                <w:bCs/>
                <w:i/>
                <w:iCs/>
                <w:color w:val="000000"/>
                <w:lang w:eastAsia="en-GB"/>
              </w:rPr>
              <w:t>Live</w:t>
            </w:r>
          </w:p>
        </w:tc>
        <w:tc>
          <w:tcPr>
            <w:tcW w:w="2816" w:type="dxa"/>
            <w:gridSpan w:val="3"/>
            <w:shd w:val="clear" w:color="auto" w:fill="FFFF99"/>
            <w:noWrap/>
            <w:vAlign w:val="bottom"/>
            <w:hideMark/>
          </w:tcPr>
          <w:p w14:paraId="4AE821A7" w14:textId="77777777" w:rsidR="008B753C" w:rsidRPr="008B753C" w:rsidRDefault="008B753C" w:rsidP="008B753C">
            <w:pPr>
              <w:spacing w:after="0" w:line="240" w:lineRule="auto"/>
              <w:jc w:val="right"/>
              <w:rPr>
                <w:rFonts w:ascii="Arial" w:eastAsia="Times New Roman" w:hAnsi="Arial" w:cs="Arial"/>
                <w:b/>
                <w:bCs/>
                <w:i/>
                <w:iCs/>
                <w:color w:val="000000"/>
                <w:lang w:eastAsia="en-GB"/>
              </w:rPr>
            </w:pPr>
            <w:r w:rsidRPr="008B753C">
              <w:rPr>
                <w:rFonts w:ascii="Arial" w:eastAsia="Times New Roman" w:hAnsi="Arial" w:cs="Arial"/>
                <w:b/>
                <w:bCs/>
                <w:i/>
                <w:iCs/>
                <w:color w:val="000000"/>
                <w:lang w:eastAsia="en-GB"/>
              </w:rPr>
              <w:t>23</w:t>
            </w:r>
          </w:p>
        </w:tc>
      </w:tr>
      <w:tr w:rsidR="008B753C" w:rsidRPr="008B753C" w14:paraId="1CE0EC23" w14:textId="77777777" w:rsidTr="00BF2D58">
        <w:trPr>
          <w:gridAfter w:val="1"/>
          <w:wAfter w:w="24" w:type="dxa"/>
          <w:trHeight w:val="285"/>
        </w:trPr>
        <w:tc>
          <w:tcPr>
            <w:tcW w:w="3280" w:type="dxa"/>
            <w:gridSpan w:val="2"/>
            <w:shd w:val="clear" w:color="auto" w:fill="FFFF99"/>
            <w:noWrap/>
            <w:vAlign w:val="bottom"/>
            <w:hideMark/>
          </w:tcPr>
          <w:p w14:paraId="685CA367" w14:textId="77777777" w:rsidR="008B753C" w:rsidRPr="008B753C" w:rsidRDefault="008B753C" w:rsidP="008B753C">
            <w:pPr>
              <w:spacing w:after="0" w:line="240" w:lineRule="auto"/>
              <w:ind w:firstLineChars="100" w:firstLine="220"/>
              <w:rPr>
                <w:rFonts w:ascii="Arial" w:eastAsia="Times New Roman" w:hAnsi="Arial" w:cs="Arial"/>
                <w:color w:val="000000"/>
                <w:lang w:eastAsia="en-GB"/>
              </w:rPr>
            </w:pPr>
            <w:r w:rsidRPr="008B753C">
              <w:rPr>
                <w:rFonts w:ascii="Arial" w:eastAsia="Times New Roman" w:hAnsi="Arial" w:cs="Arial"/>
                <w:color w:val="000000"/>
                <w:lang w:eastAsia="en-GB"/>
              </w:rPr>
              <w:t>Community Paediatrics</w:t>
            </w:r>
          </w:p>
        </w:tc>
        <w:tc>
          <w:tcPr>
            <w:tcW w:w="2816" w:type="dxa"/>
            <w:gridSpan w:val="3"/>
            <w:shd w:val="clear" w:color="auto" w:fill="FFFF99"/>
            <w:noWrap/>
            <w:vAlign w:val="bottom"/>
            <w:hideMark/>
          </w:tcPr>
          <w:p w14:paraId="44F5984F" w14:textId="77777777" w:rsidR="008B753C" w:rsidRPr="008B753C" w:rsidRDefault="008B753C" w:rsidP="008B753C">
            <w:pPr>
              <w:spacing w:after="0" w:line="240" w:lineRule="auto"/>
              <w:jc w:val="right"/>
              <w:rPr>
                <w:rFonts w:ascii="Arial" w:eastAsia="Times New Roman" w:hAnsi="Arial" w:cs="Arial"/>
                <w:color w:val="000000"/>
                <w:lang w:eastAsia="en-GB"/>
              </w:rPr>
            </w:pPr>
            <w:r w:rsidRPr="008B753C">
              <w:rPr>
                <w:rFonts w:ascii="Arial" w:eastAsia="Times New Roman" w:hAnsi="Arial" w:cs="Arial"/>
                <w:color w:val="000000"/>
                <w:lang w:eastAsia="en-GB"/>
              </w:rPr>
              <w:t>2</w:t>
            </w:r>
          </w:p>
        </w:tc>
      </w:tr>
      <w:tr w:rsidR="008B753C" w:rsidRPr="008B753C" w14:paraId="5C4AA01A" w14:textId="77777777" w:rsidTr="00BF2D58">
        <w:trPr>
          <w:gridAfter w:val="1"/>
          <w:wAfter w:w="24" w:type="dxa"/>
          <w:trHeight w:val="285"/>
        </w:trPr>
        <w:tc>
          <w:tcPr>
            <w:tcW w:w="3280" w:type="dxa"/>
            <w:gridSpan w:val="2"/>
            <w:shd w:val="clear" w:color="auto" w:fill="FFFF99"/>
            <w:noWrap/>
            <w:vAlign w:val="bottom"/>
            <w:hideMark/>
          </w:tcPr>
          <w:p w14:paraId="7BCFC198" w14:textId="77777777" w:rsidR="008B753C" w:rsidRPr="008B753C" w:rsidRDefault="008B753C" w:rsidP="008B753C">
            <w:pPr>
              <w:spacing w:after="0" w:line="240" w:lineRule="auto"/>
              <w:ind w:firstLineChars="100" w:firstLine="220"/>
              <w:rPr>
                <w:rFonts w:ascii="Arial" w:eastAsia="Times New Roman" w:hAnsi="Arial" w:cs="Arial"/>
                <w:color w:val="000000"/>
                <w:lang w:eastAsia="en-GB"/>
              </w:rPr>
            </w:pPr>
            <w:r w:rsidRPr="008B753C">
              <w:rPr>
                <w:rFonts w:ascii="Arial" w:eastAsia="Times New Roman" w:hAnsi="Arial" w:cs="Arial"/>
                <w:color w:val="000000"/>
                <w:lang w:eastAsia="en-GB"/>
              </w:rPr>
              <w:t>Dermatology</w:t>
            </w:r>
          </w:p>
        </w:tc>
        <w:tc>
          <w:tcPr>
            <w:tcW w:w="2816" w:type="dxa"/>
            <w:gridSpan w:val="3"/>
            <w:shd w:val="clear" w:color="auto" w:fill="FFFF99"/>
            <w:noWrap/>
            <w:vAlign w:val="bottom"/>
            <w:hideMark/>
          </w:tcPr>
          <w:p w14:paraId="6C42DDFA" w14:textId="77777777" w:rsidR="008B753C" w:rsidRPr="008B753C" w:rsidRDefault="008B753C" w:rsidP="008B753C">
            <w:pPr>
              <w:spacing w:after="0" w:line="240" w:lineRule="auto"/>
              <w:jc w:val="right"/>
              <w:rPr>
                <w:rFonts w:ascii="Arial" w:eastAsia="Times New Roman" w:hAnsi="Arial" w:cs="Arial"/>
                <w:color w:val="000000"/>
                <w:lang w:eastAsia="en-GB"/>
              </w:rPr>
            </w:pPr>
            <w:r w:rsidRPr="008B753C">
              <w:rPr>
                <w:rFonts w:ascii="Arial" w:eastAsia="Times New Roman" w:hAnsi="Arial" w:cs="Arial"/>
                <w:color w:val="000000"/>
                <w:lang w:eastAsia="en-GB"/>
              </w:rPr>
              <w:t>1</w:t>
            </w:r>
          </w:p>
        </w:tc>
      </w:tr>
      <w:tr w:rsidR="008B753C" w:rsidRPr="008B753C" w14:paraId="07E29F3C" w14:textId="77777777" w:rsidTr="00BF2D58">
        <w:trPr>
          <w:gridAfter w:val="1"/>
          <w:wAfter w:w="24" w:type="dxa"/>
          <w:trHeight w:val="285"/>
        </w:trPr>
        <w:tc>
          <w:tcPr>
            <w:tcW w:w="3280" w:type="dxa"/>
            <w:gridSpan w:val="2"/>
            <w:shd w:val="clear" w:color="auto" w:fill="FFFF99"/>
            <w:noWrap/>
            <w:vAlign w:val="bottom"/>
            <w:hideMark/>
          </w:tcPr>
          <w:p w14:paraId="35ECEF05" w14:textId="77777777" w:rsidR="008B753C" w:rsidRPr="008B753C" w:rsidRDefault="008B753C" w:rsidP="008B753C">
            <w:pPr>
              <w:spacing w:after="0" w:line="240" w:lineRule="auto"/>
              <w:ind w:firstLineChars="100" w:firstLine="220"/>
              <w:rPr>
                <w:rFonts w:ascii="Arial" w:eastAsia="Times New Roman" w:hAnsi="Arial" w:cs="Arial"/>
                <w:color w:val="000000"/>
                <w:lang w:eastAsia="en-GB"/>
              </w:rPr>
            </w:pPr>
            <w:r w:rsidRPr="008B753C">
              <w:rPr>
                <w:rFonts w:ascii="Arial" w:eastAsia="Times New Roman" w:hAnsi="Arial" w:cs="Arial"/>
                <w:color w:val="000000"/>
                <w:lang w:eastAsia="en-GB"/>
              </w:rPr>
              <w:t>General Paediatrics</w:t>
            </w:r>
          </w:p>
        </w:tc>
        <w:tc>
          <w:tcPr>
            <w:tcW w:w="2816" w:type="dxa"/>
            <w:gridSpan w:val="3"/>
            <w:shd w:val="clear" w:color="auto" w:fill="FFFF99"/>
            <w:noWrap/>
            <w:vAlign w:val="bottom"/>
            <w:hideMark/>
          </w:tcPr>
          <w:p w14:paraId="5D9A6A08" w14:textId="77777777" w:rsidR="008B753C" w:rsidRPr="008B753C" w:rsidRDefault="008B753C" w:rsidP="008B753C">
            <w:pPr>
              <w:spacing w:after="0" w:line="240" w:lineRule="auto"/>
              <w:jc w:val="right"/>
              <w:rPr>
                <w:rFonts w:ascii="Arial" w:eastAsia="Times New Roman" w:hAnsi="Arial" w:cs="Arial"/>
                <w:color w:val="000000"/>
                <w:lang w:eastAsia="en-GB"/>
              </w:rPr>
            </w:pPr>
            <w:r w:rsidRPr="008B753C">
              <w:rPr>
                <w:rFonts w:ascii="Arial" w:eastAsia="Times New Roman" w:hAnsi="Arial" w:cs="Arial"/>
                <w:color w:val="000000"/>
                <w:lang w:eastAsia="en-GB"/>
              </w:rPr>
              <w:t>3</w:t>
            </w:r>
          </w:p>
        </w:tc>
      </w:tr>
      <w:tr w:rsidR="008B753C" w:rsidRPr="008B753C" w14:paraId="6E2129F0" w14:textId="77777777" w:rsidTr="00BF2D58">
        <w:trPr>
          <w:gridAfter w:val="1"/>
          <w:wAfter w:w="24" w:type="dxa"/>
          <w:trHeight w:val="285"/>
        </w:trPr>
        <w:tc>
          <w:tcPr>
            <w:tcW w:w="3280" w:type="dxa"/>
            <w:gridSpan w:val="2"/>
            <w:shd w:val="clear" w:color="auto" w:fill="FFFF99"/>
            <w:noWrap/>
            <w:vAlign w:val="bottom"/>
            <w:hideMark/>
          </w:tcPr>
          <w:p w14:paraId="1C036A9C" w14:textId="77777777" w:rsidR="008B753C" w:rsidRPr="008B753C" w:rsidRDefault="008B753C" w:rsidP="008B753C">
            <w:pPr>
              <w:spacing w:after="0" w:line="240" w:lineRule="auto"/>
              <w:ind w:firstLineChars="100" w:firstLine="220"/>
              <w:rPr>
                <w:rFonts w:ascii="Arial" w:eastAsia="Times New Roman" w:hAnsi="Arial" w:cs="Arial"/>
                <w:color w:val="000000"/>
                <w:lang w:eastAsia="en-GB"/>
              </w:rPr>
            </w:pPr>
            <w:r w:rsidRPr="008B753C">
              <w:rPr>
                <w:rFonts w:ascii="Arial" w:eastAsia="Times New Roman" w:hAnsi="Arial" w:cs="Arial"/>
                <w:color w:val="000000"/>
                <w:lang w:eastAsia="en-GB"/>
              </w:rPr>
              <w:t>Gynaecology</w:t>
            </w:r>
          </w:p>
        </w:tc>
        <w:tc>
          <w:tcPr>
            <w:tcW w:w="2816" w:type="dxa"/>
            <w:gridSpan w:val="3"/>
            <w:shd w:val="clear" w:color="auto" w:fill="FFFF99"/>
            <w:noWrap/>
            <w:vAlign w:val="bottom"/>
            <w:hideMark/>
          </w:tcPr>
          <w:p w14:paraId="4A1DA3C9" w14:textId="77777777" w:rsidR="008B753C" w:rsidRPr="008B753C" w:rsidRDefault="008B753C" w:rsidP="008B753C">
            <w:pPr>
              <w:spacing w:after="0" w:line="240" w:lineRule="auto"/>
              <w:jc w:val="right"/>
              <w:rPr>
                <w:rFonts w:ascii="Arial" w:eastAsia="Times New Roman" w:hAnsi="Arial" w:cs="Arial"/>
                <w:color w:val="000000"/>
                <w:lang w:eastAsia="en-GB"/>
              </w:rPr>
            </w:pPr>
            <w:r w:rsidRPr="008B753C">
              <w:rPr>
                <w:rFonts w:ascii="Arial" w:eastAsia="Times New Roman" w:hAnsi="Arial" w:cs="Arial"/>
                <w:color w:val="000000"/>
                <w:lang w:eastAsia="en-GB"/>
              </w:rPr>
              <w:t>2</w:t>
            </w:r>
          </w:p>
        </w:tc>
      </w:tr>
      <w:tr w:rsidR="008B753C" w:rsidRPr="008B753C" w14:paraId="28012AC0" w14:textId="77777777" w:rsidTr="00BF2D58">
        <w:trPr>
          <w:gridAfter w:val="1"/>
          <w:wAfter w:w="24" w:type="dxa"/>
          <w:trHeight w:val="300"/>
        </w:trPr>
        <w:tc>
          <w:tcPr>
            <w:tcW w:w="3280" w:type="dxa"/>
            <w:gridSpan w:val="2"/>
            <w:shd w:val="clear" w:color="auto" w:fill="FFFF99"/>
            <w:noWrap/>
            <w:vAlign w:val="bottom"/>
            <w:hideMark/>
          </w:tcPr>
          <w:p w14:paraId="0952C6D0" w14:textId="77777777" w:rsidR="008B753C" w:rsidRPr="008B753C" w:rsidRDefault="008B753C" w:rsidP="008B753C">
            <w:pPr>
              <w:spacing w:after="0" w:line="240" w:lineRule="auto"/>
              <w:ind w:firstLineChars="100" w:firstLine="220"/>
              <w:rPr>
                <w:rFonts w:ascii="Arial" w:eastAsia="Times New Roman" w:hAnsi="Arial" w:cs="Arial"/>
                <w:color w:val="000000"/>
                <w:lang w:eastAsia="en-GB"/>
              </w:rPr>
            </w:pPr>
            <w:r w:rsidRPr="008B753C">
              <w:rPr>
                <w:rFonts w:ascii="Arial" w:eastAsia="Times New Roman" w:hAnsi="Arial" w:cs="Arial"/>
                <w:color w:val="000000"/>
                <w:lang w:eastAsia="en-GB"/>
              </w:rPr>
              <w:t>Major Trauma</w:t>
            </w:r>
          </w:p>
        </w:tc>
        <w:tc>
          <w:tcPr>
            <w:tcW w:w="2816" w:type="dxa"/>
            <w:gridSpan w:val="3"/>
            <w:shd w:val="clear" w:color="auto" w:fill="FFFF99"/>
            <w:noWrap/>
            <w:vAlign w:val="bottom"/>
            <w:hideMark/>
          </w:tcPr>
          <w:p w14:paraId="47A1DF52" w14:textId="77777777" w:rsidR="008B753C" w:rsidRPr="008B753C" w:rsidRDefault="008B753C" w:rsidP="008B753C">
            <w:pPr>
              <w:spacing w:after="0" w:line="240" w:lineRule="auto"/>
              <w:jc w:val="right"/>
              <w:rPr>
                <w:rFonts w:ascii="Arial" w:eastAsia="Times New Roman" w:hAnsi="Arial" w:cs="Arial"/>
                <w:color w:val="000000"/>
                <w:lang w:eastAsia="en-GB"/>
              </w:rPr>
            </w:pPr>
            <w:r w:rsidRPr="008B753C">
              <w:rPr>
                <w:rFonts w:ascii="Arial" w:eastAsia="Times New Roman" w:hAnsi="Arial" w:cs="Arial"/>
                <w:color w:val="000000"/>
                <w:lang w:eastAsia="en-GB"/>
              </w:rPr>
              <w:t>1</w:t>
            </w:r>
          </w:p>
        </w:tc>
      </w:tr>
      <w:tr w:rsidR="008B753C" w:rsidRPr="008B753C" w14:paraId="1C78FFE6" w14:textId="77777777" w:rsidTr="00BF2D58">
        <w:trPr>
          <w:gridAfter w:val="1"/>
          <w:wAfter w:w="24" w:type="dxa"/>
          <w:trHeight w:val="285"/>
        </w:trPr>
        <w:tc>
          <w:tcPr>
            <w:tcW w:w="3280" w:type="dxa"/>
            <w:gridSpan w:val="2"/>
            <w:shd w:val="clear" w:color="auto" w:fill="FFFF99"/>
            <w:noWrap/>
            <w:vAlign w:val="bottom"/>
            <w:hideMark/>
          </w:tcPr>
          <w:p w14:paraId="4FD1D90C" w14:textId="77777777" w:rsidR="008B753C" w:rsidRPr="008B753C" w:rsidRDefault="008B753C" w:rsidP="008B753C">
            <w:pPr>
              <w:spacing w:after="0" w:line="240" w:lineRule="auto"/>
              <w:ind w:firstLineChars="100" w:firstLine="220"/>
              <w:rPr>
                <w:rFonts w:ascii="Arial" w:eastAsia="Times New Roman" w:hAnsi="Arial" w:cs="Arial"/>
                <w:color w:val="000000"/>
                <w:lang w:eastAsia="en-GB"/>
              </w:rPr>
            </w:pPr>
            <w:r w:rsidRPr="008B753C">
              <w:rPr>
                <w:rFonts w:ascii="Arial" w:eastAsia="Times New Roman" w:hAnsi="Arial" w:cs="Arial"/>
                <w:color w:val="000000"/>
                <w:lang w:eastAsia="en-GB"/>
              </w:rPr>
              <w:t>Microbiology</w:t>
            </w:r>
          </w:p>
        </w:tc>
        <w:tc>
          <w:tcPr>
            <w:tcW w:w="2816" w:type="dxa"/>
            <w:gridSpan w:val="3"/>
            <w:shd w:val="clear" w:color="auto" w:fill="FFFF99"/>
            <w:noWrap/>
            <w:vAlign w:val="bottom"/>
            <w:hideMark/>
          </w:tcPr>
          <w:p w14:paraId="40807E45" w14:textId="77777777" w:rsidR="008B753C" w:rsidRPr="008B753C" w:rsidRDefault="008B753C" w:rsidP="008B753C">
            <w:pPr>
              <w:spacing w:after="0" w:line="240" w:lineRule="auto"/>
              <w:jc w:val="right"/>
              <w:rPr>
                <w:rFonts w:ascii="Arial" w:eastAsia="Times New Roman" w:hAnsi="Arial" w:cs="Arial"/>
                <w:color w:val="000000"/>
                <w:lang w:eastAsia="en-GB"/>
              </w:rPr>
            </w:pPr>
            <w:r w:rsidRPr="008B753C">
              <w:rPr>
                <w:rFonts w:ascii="Arial" w:eastAsia="Times New Roman" w:hAnsi="Arial" w:cs="Arial"/>
                <w:color w:val="000000"/>
                <w:lang w:eastAsia="en-GB"/>
              </w:rPr>
              <w:t>1</w:t>
            </w:r>
          </w:p>
        </w:tc>
      </w:tr>
      <w:tr w:rsidR="008B753C" w:rsidRPr="008B753C" w14:paraId="526CE676" w14:textId="77777777" w:rsidTr="00BF2D58">
        <w:trPr>
          <w:gridAfter w:val="1"/>
          <w:wAfter w:w="24" w:type="dxa"/>
          <w:trHeight w:val="300"/>
        </w:trPr>
        <w:tc>
          <w:tcPr>
            <w:tcW w:w="3280" w:type="dxa"/>
            <w:gridSpan w:val="2"/>
            <w:shd w:val="clear" w:color="auto" w:fill="FFFF99"/>
            <w:noWrap/>
            <w:vAlign w:val="bottom"/>
            <w:hideMark/>
          </w:tcPr>
          <w:p w14:paraId="68FDE46F" w14:textId="77777777" w:rsidR="008B753C" w:rsidRPr="008B753C" w:rsidRDefault="008B753C" w:rsidP="008B753C">
            <w:pPr>
              <w:spacing w:after="0" w:line="240" w:lineRule="auto"/>
              <w:ind w:firstLineChars="100" w:firstLine="220"/>
              <w:rPr>
                <w:rFonts w:ascii="Arial" w:eastAsia="Times New Roman" w:hAnsi="Arial" w:cs="Arial"/>
                <w:color w:val="000000"/>
                <w:lang w:eastAsia="en-GB"/>
              </w:rPr>
            </w:pPr>
            <w:r w:rsidRPr="008B753C">
              <w:rPr>
                <w:rFonts w:ascii="Arial" w:eastAsia="Times New Roman" w:hAnsi="Arial" w:cs="Arial"/>
                <w:color w:val="000000"/>
                <w:lang w:eastAsia="en-GB"/>
              </w:rPr>
              <w:t>Obstetrics</w:t>
            </w:r>
          </w:p>
        </w:tc>
        <w:tc>
          <w:tcPr>
            <w:tcW w:w="2816" w:type="dxa"/>
            <w:gridSpan w:val="3"/>
            <w:shd w:val="clear" w:color="auto" w:fill="FFFF99"/>
            <w:noWrap/>
            <w:vAlign w:val="bottom"/>
            <w:hideMark/>
          </w:tcPr>
          <w:p w14:paraId="6F3153E8" w14:textId="77777777" w:rsidR="008B753C" w:rsidRPr="008B753C" w:rsidRDefault="008B753C" w:rsidP="008B753C">
            <w:pPr>
              <w:spacing w:after="0" w:line="240" w:lineRule="auto"/>
              <w:jc w:val="right"/>
              <w:rPr>
                <w:rFonts w:ascii="Arial" w:eastAsia="Times New Roman" w:hAnsi="Arial" w:cs="Arial"/>
                <w:color w:val="000000"/>
                <w:lang w:eastAsia="en-GB"/>
              </w:rPr>
            </w:pPr>
            <w:r w:rsidRPr="008B753C">
              <w:rPr>
                <w:rFonts w:ascii="Arial" w:eastAsia="Times New Roman" w:hAnsi="Arial" w:cs="Arial"/>
                <w:color w:val="000000"/>
                <w:lang w:eastAsia="en-GB"/>
              </w:rPr>
              <w:t>1</w:t>
            </w:r>
          </w:p>
        </w:tc>
      </w:tr>
      <w:tr w:rsidR="008B753C" w:rsidRPr="008B753C" w14:paraId="1481B771" w14:textId="77777777" w:rsidTr="00BF2D58">
        <w:trPr>
          <w:gridAfter w:val="1"/>
          <w:wAfter w:w="24" w:type="dxa"/>
          <w:trHeight w:val="300"/>
        </w:trPr>
        <w:tc>
          <w:tcPr>
            <w:tcW w:w="3280" w:type="dxa"/>
            <w:gridSpan w:val="2"/>
            <w:shd w:val="clear" w:color="auto" w:fill="FFFF99"/>
            <w:noWrap/>
            <w:vAlign w:val="bottom"/>
            <w:hideMark/>
          </w:tcPr>
          <w:p w14:paraId="36D22E62" w14:textId="77777777" w:rsidR="008B753C" w:rsidRPr="008B753C" w:rsidRDefault="008B753C" w:rsidP="008B753C">
            <w:pPr>
              <w:spacing w:after="0" w:line="240" w:lineRule="auto"/>
              <w:ind w:firstLineChars="100" w:firstLine="220"/>
              <w:rPr>
                <w:rFonts w:ascii="Arial" w:eastAsia="Times New Roman" w:hAnsi="Arial" w:cs="Arial"/>
                <w:color w:val="000000"/>
                <w:lang w:eastAsia="en-GB"/>
              </w:rPr>
            </w:pPr>
            <w:r w:rsidRPr="008B753C">
              <w:rPr>
                <w:rFonts w:ascii="Arial" w:eastAsia="Times New Roman" w:hAnsi="Arial" w:cs="Arial"/>
                <w:color w:val="000000"/>
                <w:lang w:eastAsia="en-GB"/>
              </w:rPr>
              <w:t>Obstetrics and Gynaecology</w:t>
            </w:r>
          </w:p>
        </w:tc>
        <w:tc>
          <w:tcPr>
            <w:tcW w:w="2816" w:type="dxa"/>
            <w:gridSpan w:val="3"/>
            <w:shd w:val="clear" w:color="auto" w:fill="FFFF99"/>
            <w:noWrap/>
            <w:vAlign w:val="bottom"/>
            <w:hideMark/>
          </w:tcPr>
          <w:p w14:paraId="384A468F" w14:textId="77777777" w:rsidR="008B753C" w:rsidRPr="008B753C" w:rsidRDefault="008B753C" w:rsidP="008B753C">
            <w:pPr>
              <w:spacing w:after="0" w:line="240" w:lineRule="auto"/>
              <w:jc w:val="right"/>
              <w:rPr>
                <w:rFonts w:ascii="Arial" w:eastAsia="Times New Roman" w:hAnsi="Arial" w:cs="Arial"/>
                <w:color w:val="000000"/>
                <w:lang w:eastAsia="en-GB"/>
              </w:rPr>
            </w:pPr>
            <w:r w:rsidRPr="008B753C">
              <w:rPr>
                <w:rFonts w:ascii="Arial" w:eastAsia="Times New Roman" w:hAnsi="Arial" w:cs="Arial"/>
                <w:color w:val="000000"/>
                <w:lang w:eastAsia="en-GB"/>
              </w:rPr>
              <w:t>2</w:t>
            </w:r>
          </w:p>
        </w:tc>
      </w:tr>
      <w:tr w:rsidR="008B753C" w:rsidRPr="008B753C" w14:paraId="28C87D02" w14:textId="77777777" w:rsidTr="00BF2D58">
        <w:trPr>
          <w:gridAfter w:val="1"/>
          <w:wAfter w:w="24" w:type="dxa"/>
          <w:trHeight w:val="300"/>
        </w:trPr>
        <w:tc>
          <w:tcPr>
            <w:tcW w:w="3280" w:type="dxa"/>
            <w:gridSpan w:val="2"/>
            <w:shd w:val="clear" w:color="auto" w:fill="FFFF99"/>
            <w:noWrap/>
            <w:vAlign w:val="bottom"/>
            <w:hideMark/>
          </w:tcPr>
          <w:p w14:paraId="4F671535" w14:textId="77777777" w:rsidR="008B753C" w:rsidRPr="008B753C" w:rsidRDefault="008B753C" w:rsidP="008B753C">
            <w:pPr>
              <w:spacing w:after="0" w:line="240" w:lineRule="auto"/>
              <w:ind w:firstLineChars="100" w:firstLine="220"/>
              <w:rPr>
                <w:rFonts w:ascii="Arial" w:eastAsia="Times New Roman" w:hAnsi="Arial" w:cs="Arial"/>
                <w:color w:val="000000"/>
                <w:lang w:eastAsia="en-GB"/>
              </w:rPr>
            </w:pPr>
            <w:r w:rsidRPr="008B753C">
              <w:rPr>
                <w:rFonts w:ascii="Arial" w:eastAsia="Times New Roman" w:hAnsi="Arial" w:cs="Arial"/>
                <w:color w:val="000000"/>
                <w:lang w:eastAsia="en-GB"/>
              </w:rPr>
              <w:t>Oncology</w:t>
            </w:r>
          </w:p>
        </w:tc>
        <w:tc>
          <w:tcPr>
            <w:tcW w:w="2816" w:type="dxa"/>
            <w:gridSpan w:val="3"/>
            <w:shd w:val="clear" w:color="auto" w:fill="FFFF99"/>
            <w:noWrap/>
            <w:vAlign w:val="bottom"/>
            <w:hideMark/>
          </w:tcPr>
          <w:p w14:paraId="40A58412" w14:textId="77777777" w:rsidR="008B753C" w:rsidRPr="008B753C" w:rsidRDefault="008B753C" w:rsidP="008B753C">
            <w:pPr>
              <w:spacing w:after="0" w:line="240" w:lineRule="auto"/>
              <w:jc w:val="right"/>
              <w:rPr>
                <w:rFonts w:ascii="Arial" w:eastAsia="Times New Roman" w:hAnsi="Arial" w:cs="Arial"/>
                <w:color w:val="000000"/>
                <w:lang w:eastAsia="en-GB"/>
              </w:rPr>
            </w:pPr>
            <w:r w:rsidRPr="008B753C">
              <w:rPr>
                <w:rFonts w:ascii="Arial" w:eastAsia="Times New Roman" w:hAnsi="Arial" w:cs="Arial"/>
                <w:color w:val="000000"/>
                <w:lang w:eastAsia="en-GB"/>
              </w:rPr>
              <w:t>5</w:t>
            </w:r>
          </w:p>
        </w:tc>
      </w:tr>
      <w:tr w:rsidR="008B753C" w:rsidRPr="008B753C" w14:paraId="0DEC6C60" w14:textId="77777777" w:rsidTr="00BF2D58">
        <w:trPr>
          <w:gridAfter w:val="1"/>
          <w:wAfter w:w="24" w:type="dxa"/>
          <w:trHeight w:val="300"/>
        </w:trPr>
        <w:tc>
          <w:tcPr>
            <w:tcW w:w="3280" w:type="dxa"/>
            <w:gridSpan w:val="2"/>
            <w:shd w:val="clear" w:color="auto" w:fill="FFFF99"/>
            <w:noWrap/>
            <w:vAlign w:val="bottom"/>
            <w:hideMark/>
          </w:tcPr>
          <w:p w14:paraId="2E7080BB" w14:textId="77777777" w:rsidR="008B753C" w:rsidRPr="008B753C" w:rsidRDefault="008B753C" w:rsidP="008B753C">
            <w:pPr>
              <w:spacing w:after="0" w:line="240" w:lineRule="auto"/>
              <w:ind w:firstLineChars="100" w:firstLine="220"/>
              <w:rPr>
                <w:rFonts w:ascii="Arial" w:eastAsia="Times New Roman" w:hAnsi="Arial" w:cs="Arial"/>
                <w:color w:val="000000"/>
                <w:lang w:eastAsia="en-GB"/>
              </w:rPr>
            </w:pPr>
            <w:r w:rsidRPr="008B753C">
              <w:rPr>
                <w:rFonts w:ascii="Arial" w:eastAsia="Times New Roman" w:hAnsi="Arial" w:cs="Arial"/>
                <w:color w:val="000000"/>
                <w:lang w:eastAsia="en-GB"/>
              </w:rPr>
              <w:t>Ophthalmology</w:t>
            </w:r>
          </w:p>
        </w:tc>
        <w:tc>
          <w:tcPr>
            <w:tcW w:w="2816" w:type="dxa"/>
            <w:gridSpan w:val="3"/>
            <w:shd w:val="clear" w:color="auto" w:fill="FFFF99"/>
            <w:noWrap/>
            <w:vAlign w:val="bottom"/>
            <w:hideMark/>
          </w:tcPr>
          <w:p w14:paraId="2D0758F5" w14:textId="77777777" w:rsidR="008B753C" w:rsidRPr="008B753C" w:rsidRDefault="008B753C" w:rsidP="008B753C">
            <w:pPr>
              <w:spacing w:after="0" w:line="240" w:lineRule="auto"/>
              <w:jc w:val="right"/>
              <w:rPr>
                <w:rFonts w:ascii="Arial" w:eastAsia="Times New Roman" w:hAnsi="Arial" w:cs="Arial"/>
                <w:color w:val="000000"/>
                <w:lang w:eastAsia="en-GB"/>
              </w:rPr>
            </w:pPr>
            <w:r w:rsidRPr="008B753C">
              <w:rPr>
                <w:rFonts w:ascii="Arial" w:eastAsia="Times New Roman" w:hAnsi="Arial" w:cs="Arial"/>
                <w:color w:val="000000"/>
                <w:lang w:eastAsia="en-GB"/>
              </w:rPr>
              <w:t>2</w:t>
            </w:r>
          </w:p>
        </w:tc>
      </w:tr>
      <w:tr w:rsidR="008B753C" w:rsidRPr="008B753C" w14:paraId="6B759AC4" w14:textId="77777777" w:rsidTr="00BF2D58">
        <w:trPr>
          <w:gridAfter w:val="1"/>
          <w:wAfter w:w="24" w:type="dxa"/>
          <w:trHeight w:val="285"/>
        </w:trPr>
        <w:tc>
          <w:tcPr>
            <w:tcW w:w="3280" w:type="dxa"/>
            <w:gridSpan w:val="2"/>
            <w:shd w:val="clear" w:color="auto" w:fill="FFFF99"/>
            <w:noWrap/>
            <w:vAlign w:val="bottom"/>
            <w:hideMark/>
          </w:tcPr>
          <w:p w14:paraId="42064949" w14:textId="77777777" w:rsidR="008B753C" w:rsidRPr="008B753C" w:rsidRDefault="008B753C" w:rsidP="008B753C">
            <w:pPr>
              <w:spacing w:after="0" w:line="240" w:lineRule="auto"/>
              <w:ind w:firstLineChars="100" w:firstLine="220"/>
              <w:rPr>
                <w:rFonts w:ascii="Arial" w:eastAsia="Times New Roman" w:hAnsi="Arial" w:cs="Arial"/>
                <w:color w:val="000000"/>
                <w:lang w:eastAsia="en-GB"/>
              </w:rPr>
            </w:pPr>
            <w:r w:rsidRPr="008B753C">
              <w:rPr>
                <w:rFonts w:ascii="Arial" w:eastAsia="Times New Roman" w:hAnsi="Arial" w:cs="Arial"/>
                <w:color w:val="000000"/>
                <w:lang w:eastAsia="en-GB"/>
              </w:rPr>
              <w:t>Other</w:t>
            </w:r>
          </w:p>
        </w:tc>
        <w:tc>
          <w:tcPr>
            <w:tcW w:w="2816" w:type="dxa"/>
            <w:gridSpan w:val="3"/>
            <w:shd w:val="clear" w:color="auto" w:fill="FFFF99"/>
            <w:noWrap/>
            <w:vAlign w:val="bottom"/>
            <w:hideMark/>
          </w:tcPr>
          <w:p w14:paraId="06364805" w14:textId="77777777" w:rsidR="008B753C" w:rsidRPr="008B753C" w:rsidRDefault="008B753C" w:rsidP="008B753C">
            <w:pPr>
              <w:spacing w:after="0" w:line="240" w:lineRule="auto"/>
              <w:jc w:val="right"/>
              <w:rPr>
                <w:rFonts w:ascii="Arial" w:eastAsia="Times New Roman" w:hAnsi="Arial" w:cs="Arial"/>
                <w:color w:val="000000"/>
                <w:lang w:eastAsia="en-GB"/>
              </w:rPr>
            </w:pPr>
            <w:r w:rsidRPr="008B753C">
              <w:rPr>
                <w:rFonts w:ascii="Arial" w:eastAsia="Times New Roman" w:hAnsi="Arial" w:cs="Arial"/>
                <w:color w:val="000000"/>
                <w:lang w:eastAsia="en-GB"/>
              </w:rPr>
              <w:t>1</w:t>
            </w:r>
          </w:p>
        </w:tc>
      </w:tr>
      <w:tr w:rsidR="008B753C" w:rsidRPr="008B753C" w14:paraId="3C898A84" w14:textId="77777777" w:rsidTr="00BF2D58">
        <w:trPr>
          <w:gridAfter w:val="1"/>
          <w:wAfter w:w="24" w:type="dxa"/>
          <w:trHeight w:val="285"/>
        </w:trPr>
        <w:tc>
          <w:tcPr>
            <w:tcW w:w="3280" w:type="dxa"/>
            <w:gridSpan w:val="2"/>
            <w:shd w:val="clear" w:color="auto" w:fill="FFFF99"/>
            <w:noWrap/>
            <w:vAlign w:val="bottom"/>
            <w:hideMark/>
          </w:tcPr>
          <w:p w14:paraId="19BF3ED3" w14:textId="1E5A4158" w:rsidR="008B753C" w:rsidRPr="008B753C" w:rsidRDefault="00135334" w:rsidP="008B753C">
            <w:pPr>
              <w:spacing w:after="0" w:line="240" w:lineRule="auto"/>
              <w:ind w:firstLineChars="100" w:firstLine="220"/>
              <w:rPr>
                <w:rFonts w:ascii="Arial" w:eastAsia="Times New Roman" w:hAnsi="Arial" w:cs="Arial"/>
                <w:color w:val="000000"/>
                <w:lang w:eastAsia="en-GB"/>
              </w:rPr>
            </w:pPr>
            <w:r>
              <w:rPr>
                <w:rFonts w:ascii="Arial" w:eastAsia="Times New Roman" w:hAnsi="Arial" w:cs="Arial"/>
                <w:color w:val="000000"/>
                <w:lang w:eastAsia="en-GB"/>
              </w:rPr>
              <w:t xml:space="preserve">Paediatric </w:t>
            </w:r>
            <w:r w:rsidR="008B753C" w:rsidRPr="008B753C">
              <w:rPr>
                <w:rFonts w:ascii="Arial" w:eastAsia="Times New Roman" w:hAnsi="Arial" w:cs="Arial"/>
                <w:color w:val="000000"/>
                <w:lang w:eastAsia="en-GB"/>
              </w:rPr>
              <w:t>Palliative Care</w:t>
            </w:r>
          </w:p>
        </w:tc>
        <w:tc>
          <w:tcPr>
            <w:tcW w:w="2816" w:type="dxa"/>
            <w:gridSpan w:val="3"/>
            <w:shd w:val="clear" w:color="auto" w:fill="FFFF99"/>
            <w:noWrap/>
            <w:vAlign w:val="bottom"/>
            <w:hideMark/>
          </w:tcPr>
          <w:p w14:paraId="58D9F49A" w14:textId="77777777" w:rsidR="008B753C" w:rsidRPr="008B753C" w:rsidRDefault="008B753C" w:rsidP="008B753C">
            <w:pPr>
              <w:spacing w:after="0" w:line="240" w:lineRule="auto"/>
              <w:jc w:val="right"/>
              <w:rPr>
                <w:rFonts w:ascii="Arial" w:eastAsia="Times New Roman" w:hAnsi="Arial" w:cs="Arial"/>
                <w:color w:val="000000"/>
                <w:lang w:eastAsia="en-GB"/>
              </w:rPr>
            </w:pPr>
            <w:r w:rsidRPr="008B753C">
              <w:rPr>
                <w:rFonts w:ascii="Arial" w:eastAsia="Times New Roman" w:hAnsi="Arial" w:cs="Arial"/>
                <w:color w:val="000000"/>
                <w:lang w:eastAsia="en-GB"/>
              </w:rPr>
              <w:t>1</w:t>
            </w:r>
          </w:p>
        </w:tc>
      </w:tr>
      <w:tr w:rsidR="008B753C" w:rsidRPr="008B753C" w14:paraId="5382B8DB" w14:textId="77777777" w:rsidTr="00BF2D58">
        <w:trPr>
          <w:gridAfter w:val="1"/>
          <w:wAfter w:w="24" w:type="dxa"/>
          <w:trHeight w:val="300"/>
        </w:trPr>
        <w:tc>
          <w:tcPr>
            <w:tcW w:w="3280" w:type="dxa"/>
            <w:gridSpan w:val="2"/>
            <w:shd w:val="clear" w:color="auto" w:fill="FFFF99"/>
            <w:noWrap/>
            <w:vAlign w:val="bottom"/>
            <w:hideMark/>
          </w:tcPr>
          <w:p w14:paraId="0393CA3D" w14:textId="77777777" w:rsidR="008B753C" w:rsidRPr="008B753C" w:rsidRDefault="008B753C" w:rsidP="008B753C">
            <w:pPr>
              <w:spacing w:after="0" w:line="240" w:lineRule="auto"/>
              <w:ind w:firstLineChars="100" w:firstLine="220"/>
              <w:rPr>
                <w:rFonts w:ascii="Arial" w:eastAsia="Times New Roman" w:hAnsi="Arial" w:cs="Arial"/>
                <w:color w:val="000000"/>
                <w:lang w:eastAsia="en-GB"/>
              </w:rPr>
            </w:pPr>
            <w:r w:rsidRPr="008B753C">
              <w:rPr>
                <w:rFonts w:ascii="Arial" w:eastAsia="Times New Roman" w:hAnsi="Arial" w:cs="Arial"/>
                <w:color w:val="000000"/>
                <w:lang w:eastAsia="en-GB"/>
              </w:rPr>
              <w:t>Trauma and Orthopaedics</w:t>
            </w:r>
          </w:p>
        </w:tc>
        <w:tc>
          <w:tcPr>
            <w:tcW w:w="2816" w:type="dxa"/>
            <w:gridSpan w:val="3"/>
            <w:shd w:val="clear" w:color="auto" w:fill="FFFF99"/>
            <w:noWrap/>
            <w:vAlign w:val="bottom"/>
            <w:hideMark/>
          </w:tcPr>
          <w:p w14:paraId="57C2494B" w14:textId="77777777" w:rsidR="008B753C" w:rsidRPr="008B753C" w:rsidRDefault="008B753C" w:rsidP="008B753C">
            <w:pPr>
              <w:spacing w:after="0" w:line="240" w:lineRule="auto"/>
              <w:jc w:val="right"/>
              <w:rPr>
                <w:rFonts w:ascii="Arial" w:eastAsia="Times New Roman" w:hAnsi="Arial" w:cs="Arial"/>
                <w:color w:val="000000"/>
                <w:lang w:eastAsia="en-GB"/>
              </w:rPr>
            </w:pPr>
            <w:r w:rsidRPr="008B753C">
              <w:rPr>
                <w:rFonts w:ascii="Arial" w:eastAsia="Times New Roman" w:hAnsi="Arial" w:cs="Arial"/>
                <w:color w:val="000000"/>
                <w:lang w:eastAsia="en-GB"/>
              </w:rPr>
              <w:t>1</w:t>
            </w:r>
          </w:p>
        </w:tc>
      </w:tr>
    </w:tbl>
    <w:p w14:paraId="78209A28" w14:textId="77777777" w:rsidR="008B753C" w:rsidRDefault="008B753C" w:rsidP="0000107D">
      <w:pPr>
        <w:tabs>
          <w:tab w:val="left" w:pos="567"/>
          <w:tab w:val="left" w:pos="709"/>
          <w:tab w:val="left" w:pos="851"/>
        </w:tabs>
        <w:rPr>
          <w:rFonts w:ascii="Verdana" w:hAnsi="Verdana" w:cs="Arial"/>
          <w:b/>
          <w:bCs/>
          <w:sz w:val="24"/>
          <w:szCs w:val="24"/>
        </w:rPr>
      </w:pPr>
    </w:p>
    <w:sectPr w:rsidR="008B753C" w:rsidSect="00CA01F3">
      <w:type w:val="continuous"/>
      <w:pgSz w:w="16838" w:h="11906" w:orient="landscape"/>
      <w:pgMar w:top="1440" w:right="1276" w:bottom="1440" w:left="1276" w:header="708" w:footer="708" w:gutter="0"/>
      <w:pgNumType w:start="18"/>
      <w:cols w:num="2" w:space="28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94D87F" w14:textId="77777777" w:rsidR="002D1E4C" w:rsidRDefault="002D1E4C" w:rsidP="006D1E15">
      <w:pPr>
        <w:spacing w:after="0" w:line="240" w:lineRule="auto"/>
      </w:pPr>
      <w:r>
        <w:separator/>
      </w:r>
    </w:p>
  </w:endnote>
  <w:endnote w:type="continuationSeparator" w:id="0">
    <w:p w14:paraId="6026CD24" w14:textId="77777777" w:rsidR="002D1E4C" w:rsidRDefault="002D1E4C" w:rsidP="006D1E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Perpetua">
    <w:panose1 w:val="02020502060401020303"/>
    <w:charset w:val="00"/>
    <w:family w:val="roman"/>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188054" w14:textId="77777777" w:rsidR="00B91D91" w:rsidRDefault="00B91D9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2645706"/>
      <w:docPartObj>
        <w:docPartGallery w:val="Page Numbers (Bottom of Page)"/>
        <w:docPartUnique/>
      </w:docPartObj>
    </w:sdtPr>
    <w:sdtEndPr>
      <w:rPr>
        <w:color w:val="7F7F7F" w:themeColor="background1" w:themeShade="7F"/>
        <w:spacing w:val="60"/>
      </w:rPr>
    </w:sdtEndPr>
    <w:sdtContent>
      <w:p w14:paraId="5A26B1FA" w14:textId="5C1ED0C8" w:rsidR="007F54ED" w:rsidRDefault="007F54ED">
        <w:pPr>
          <w:pStyle w:val="Footer"/>
          <w:pBdr>
            <w:top w:val="single" w:sz="4" w:space="1" w:color="D9D9D9" w:themeColor="background1" w:themeShade="D9"/>
          </w:pBdr>
          <w:jc w:val="right"/>
        </w:pPr>
        <w:r>
          <w:fldChar w:fldCharType="begin"/>
        </w:r>
        <w:r>
          <w:instrText>PAGE   \* MERGEFORMAT</w:instrText>
        </w:r>
        <w:r>
          <w:fldChar w:fldCharType="separate"/>
        </w:r>
        <w:r>
          <w:t>2</w:t>
        </w:r>
        <w:r>
          <w:fldChar w:fldCharType="end"/>
        </w:r>
        <w:r>
          <w:t xml:space="preserve"> | </w:t>
        </w:r>
        <w:r>
          <w:rPr>
            <w:color w:val="7F7F7F" w:themeColor="background1" w:themeShade="7F"/>
            <w:spacing w:val="60"/>
          </w:rPr>
          <w:t>Page</w:t>
        </w:r>
      </w:p>
    </w:sdtContent>
  </w:sdt>
  <w:p w14:paraId="48537040" w14:textId="77777777" w:rsidR="007F54ED" w:rsidRDefault="007F54E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5E4A93" w14:textId="77777777" w:rsidR="00B91D91" w:rsidRDefault="00B91D9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4E6542" w14:textId="77777777" w:rsidR="002D1E4C" w:rsidRDefault="002D1E4C" w:rsidP="006D1E15">
      <w:pPr>
        <w:spacing w:after="0" w:line="240" w:lineRule="auto"/>
      </w:pPr>
      <w:r>
        <w:separator/>
      </w:r>
    </w:p>
  </w:footnote>
  <w:footnote w:type="continuationSeparator" w:id="0">
    <w:p w14:paraId="2EF91BDB" w14:textId="77777777" w:rsidR="002D1E4C" w:rsidRDefault="002D1E4C" w:rsidP="006D1E1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0757DB" w14:textId="77777777" w:rsidR="00B91D91" w:rsidRDefault="00B91D9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E1FCE3" w14:textId="57105480" w:rsidR="00B91D91" w:rsidRDefault="00B91D9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A8A2B8" w14:textId="77777777" w:rsidR="00B91D91" w:rsidRDefault="00B91D9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44A91"/>
    <w:multiLevelType w:val="multilevel"/>
    <w:tmpl w:val="BE987024"/>
    <w:lvl w:ilvl="0">
      <w:start w:val="2024"/>
      <w:numFmt w:val="decimal"/>
      <w:lvlText w:val="%1"/>
      <w:lvlJc w:val="left"/>
      <w:pPr>
        <w:ind w:left="510" w:hanging="510"/>
      </w:pPr>
      <w:rPr>
        <w:rFonts w:ascii="Arial" w:hAnsi="Arial" w:hint="default"/>
      </w:rPr>
    </w:lvl>
    <w:lvl w:ilvl="1">
      <w:start w:val="2026"/>
      <w:numFmt w:val="decimal"/>
      <w:lvlText w:val="%1.%2"/>
      <w:lvlJc w:val="left"/>
      <w:pPr>
        <w:ind w:left="510" w:hanging="510"/>
      </w:pPr>
      <w:rPr>
        <w:rFonts w:ascii="Arial" w:hAnsi="Arial" w:hint="default"/>
      </w:rPr>
    </w:lvl>
    <w:lvl w:ilvl="2">
      <w:start w:val="1"/>
      <w:numFmt w:val="decimal"/>
      <w:lvlText w:val="%1.%2.%3"/>
      <w:lvlJc w:val="left"/>
      <w:pPr>
        <w:ind w:left="720" w:hanging="720"/>
      </w:pPr>
      <w:rPr>
        <w:rFonts w:ascii="Arial" w:hAnsi="Arial" w:hint="default"/>
      </w:rPr>
    </w:lvl>
    <w:lvl w:ilvl="3">
      <w:start w:val="1"/>
      <w:numFmt w:val="decimal"/>
      <w:lvlText w:val="%1.%2.%3.%4"/>
      <w:lvlJc w:val="left"/>
      <w:pPr>
        <w:ind w:left="1080" w:hanging="1080"/>
      </w:pPr>
      <w:rPr>
        <w:rFonts w:ascii="Arial" w:hAnsi="Arial" w:hint="default"/>
      </w:rPr>
    </w:lvl>
    <w:lvl w:ilvl="4">
      <w:start w:val="1"/>
      <w:numFmt w:val="decimal"/>
      <w:lvlText w:val="%1.%2.%3.%4.%5"/>
      <w:lvlJc w:val="left"/>
      <w:pPr>
        <w:ind w:left="1080" w:hanging="1080"/>
      </w:pPr>
      <w:rPr>
        <w:rFonts w:ascii="Arial" w:hAnsi="Arial" w:hint="default"/>
      </w:rPr>
    </w:lvl>
    <w:lvl w:ilvl="5">
      <w:start w:val="1"/>
      <w:numFmt w:val="decimal"/>
      <w:lvlText w:val="%1.%2.%3.%4.%5.%6"/>
      <w:lvlJc w:val="left"/>
      <w:pPr>
        <w:ind w:left="1440" w:hanging="1440"/>
      </w:pPr>
      <w:rPr>
        <w:rFonts w:ascii="Arial" w:hAnsi="Arial" w:hint="default"/>
      </w:rPr>
    </w:lvl>
    <w:lvl w:ilvl="6">
      <w:start w:val="1"/>
      <w:numFmt w:val="decimal"/>
      <w:lvlText w:val="%1.%2.%3.%4.%5.%6.%7"/>
      <w:lvlJc w:val="left"/>
      <w:pPr>
        <w:ind w:left="1440" w:hanging="1440"/>
      </w:pPr>
      <w:rPr>
        <w:rFonts w:ascii="Arial" w:hAnsi="Arial" w:hint="default"/>
      </w:rPr>
    </w:lvl>
    <w:lvl w:ilvl="7">
      <w:start w:val="1"/>
      <w:numFmt w:val="decimal"/>
      <w:lvlText w:val="%1.%2.%3.%4.%5.%6.%7.%8"/>
      <w:lvlJc w:val="left"/>
      <w:pPr>
        <w:ind w:left="1800" w:hanging="1800"/>
      </w:pPr>
      <w:rPr>
        <w:rFonts w:ascii="Arial" w:hAnsi="Arial" w:hint="default"/>
      </w:rPr>
    </w:lvl>
    <w:lvl w:ilvl="8">
      <w:start w:val="1"/>
      <w:numFmt w:val="decimal"/>
      <w:lvlText w:val="%1.%2.%3.%4.%5.%6.%7.%8.%9"/>
      <w:lvlJc w:val="left"/>
      <w:pPr>
        <w:ind w:left="1800" w:hanging="1800"/>
      </w:pPr>
      <w:rPr>
        <w:rFonts w:ascii="Arial" w:hAnsi="Arial" w:hint="default"/>
      </w:rPr>
    </w:lvl>
  </w:abstractNum>
  <w:abstractNum w:abstractNumId="1" w15:restartNumberingAfterBreak="0">
    <w:nsid w:val="01F716C4"/>
    <w:multiLevelType w:val="multilevel"/>
    <w:tmpl w:val="40E2AAD2"/>
    <w:lvl w:ilvl="0">
      <w:start w:val="2"/>
      <w:numFmt w:val="decimal"/>
      <w:lvlText w:val="%1"/>
      <w:lvlJc w:val="left"/>
      <w:pPr>
        <w:ind w:left="390" w:hanging="390"/>
      </w:pPr>
      <w:rPr>
        <w:rFonts w:hint="default"/>
        <w:b w:val="0"/>
      </w:rPr>
    </w:lvl>
    <w:lvl w:ilvl="1">
      <w:start w:val="1"/>
      <w:numFmt w:val="decimal"/>
      <w:lvlText w:val="%1.%2"/>
      <w:lvlJc w:val="left"/>
      <w:pPr>
        <w:ind w:left="720" w:hanging="720"/>
      </w:pPr>
      <w:rPr>
        <w:rFonts w:hint="default"/>
        <w:b w:val="0"/>
      </w:rPr>
    </w:lvl>
    <w:lvl w:ilvl="2">
      <w:start w:val="1"/>
      <w:numFmt w:val="decimal"/>
      <w:lvlText w:val="%1.%2.%3"/>
      <w:lvlJc w:val="left"/>
      <w:pPr>
        <w:ind w:left="1080" w:hanging="1080"/>
      </w:pPr>
      <w:rPr>
        <w:rFonts w:hint="default"/>
        <w:b w:val="0"/>
      </w:rPr>
    </w:lvl>
    <w:lvl w:ilvl="3">
      <w:start w:val="1"/>
      <w:numFmt w:val="decimal"/>
      <w:lvlText w:val="%1.%2.%3.%4"/>
      <w:lvlJc w:val="left"/>
      <w:pPr>
        <w:ind w:left="1440" w:hanging="1440"/>
      </w:pPr>
      <w:rPr>
        <w:rFonts w:hint="default"/>
        <w:b w:val="0"/>
      </w:rPr>
    </w:lvl>
    <w:lvl w:ilvl="4">
      <w:start w:val="1"/>
      <w:numFmt w:val="decimal"/>
      <w:lvlText w:val="%1.%2.%3.%4.%5"/>
      <w:lvlJc w:val="left"/>
      <w:pPr>
        <w:ind w:left="1440" w:hanging="1440"/>
      </w:pPr>
      <w:rPr>
        <w:rFonts w:hint="default"/>
        <w:b w:val="0"/>
      </w:rPr>
    </w:lvl>
    <w:lvl w:ilvl="5">
      <w:start w:val="1"/>
      <w:numFmt w:val="decimal"/>
      <w:lvlText w:val="%1.%2.%3.%4.%5.%6"/>
      <w:lvlJc w:val="left"/>
      <w:pPr>
        <w:ind w:left="1800" w:hanging="1800"/>
      </w:pPr>
      <w:rPr>
        <w:rFonts w:hint="default"/>
        <w:b w:val="0"/>
      </w:rPr>
    </w:lvl>
    <w:lvl w:ilvl="6">
      <w:start w:val="1"/>
      <w:numFmt w:val="decimal"/>
      <w:lvlText w:val="%1.%2.%3.%4.%5.%6.%7"/>
      <w:lvlJc w:val="left"/>
      <w:pPr>
        <w:ind w:left="2160" w:hanging="2160"/>
      </w:pPr>
      <w:rPr>
        <w:rFonts w:hint="default"/>
        <w:b w:val="0"/>
      </w:rPr>
    </w:lvl>
    <w:lvl w:ilvl="7">
      <w:start w:val="1"/>
      <w:numFmt w:val="decimal"/>
      <w:lvlText w:val="%1.%2.%3.%4.%5.%6.%7.%8"/>
      <w:lvlJc w:val="left"/>
      <w:pPr>
        <w:ind w:left="2520" w:hanging="2520"/>
      </w:pPr>
      <w:rPr>
        <w:rFonts w:hint="default"/>
        <w:b w:val="0"/>
      </w:rPr>
    </w:lvl>
    <w:lvl w:ilvl="8">
      <w:start w:val="1"/>
      <w:numFmt w:val="decimal"/>
      <w:lvlText w:val="%1.%2.%3.%4.%5.%6.%7.%8.%9"/>
      <w:lvlJc w:val="left"/>
      <w:pPr>
        <w:ind w:left="2880" w:hanging="2880"/>
      </w:pPr>
      <w:rPr>
        <w:rFonts w:hint="default"/>
        <w:b w:val="0"/>
      </w:rPr>
    </w:lvl>
  </w:abstractNum>
  <w:abstractNum w:abstractNumId="2" w15:restartNumberingAfterBreak="0">
    <w:nsid w:val="06C15400"/>
    <w:multiLevelType w:val="multilevel"/>
    <w:tmpl w:val="978E8638"/>
    <w:lvl w:ilvl="0">
      <w:start w:val="2024"/>
      <w:numFmt w:val="decimal"/>
      <w:lvlText w:val="%1"/>
      <w:lvlJc w:val="left"/>
      <w:pPr>
        <w:ind w:left="510" w:hanging="510"/>
      </w:pPr>
      <w:rPr>
        <w:rFonts w:ascii="Arial" w:hAnsi="Arial" w:hint="default"/>
      </w:rPr>
    </w:lvl>
    <w:lvl w:ilvl="1">
      <w:start w:val="2026"/>
      <w:numFmt w:val="decimal"/>
      <w:lvlText w:val="%1.%2"/>
      <w:lvlJc w:val="left"/>
      <w:pPr>
        <w:ind w:left="510" w:hanging="510"/>
      </w:pPr>
      <w:rPr>
        <w:rFonts w:ascii="Arial" w:hAnsi="Arial" w:hint="default"/>
      </w:rPr>
    </w:lvl>
    <w:lvl w:ilvl="2">
      <w:start w:val="1"/>
      <w:numFmt w:val="decimal"/>
      <w:lvlText w:val="%1.%2.%3"/>
      <w:lvlJc w:val="left"/>
      <w:pPr>
        <w:ind w:left="720" w:hanging="720"/>
      </w:pPr>
      <w:rPr>
        <w:rFonts w:ascii="Arial" w:hAnsi="Arial" w:hint="default"/>
      </w:rPr>
    </w:lvl>
    <w:lvl w:ilvl="3">
      <w:start w:val="1"/>
      <w:numFmt w:val="decimal"/>
      <w:lvlText w:val="%1.%2.%3.%4"/>
      <w:lvlJc w:val="left"/>
      <w:pPr>
        <w:ind w:left="1080" w:hanging="1080"/>
      </w:pPr>
      <w:rPr>
        <w:rFonts w:ascii="Arial" w:hAnsi="Arial" w:hint="default"/>
      </w:rPr>
    </w:lvl>
    <w:lvl w:ilvl="4">
      <w:start w:val="1"/>
      <w:numFmt w:val="decimal"/>
      <w:lvlText w:val="%1.%2.%3.%4.%5"/>
      <w:lvlJc w:val="left"/>
      <w:pPr>
        <w:ind w:left="1080" w:hanging="1080"/>
      </w:pPr>
      <w:rPr>
        <w:rFonts w:ascii="Arial" w:hAnsi="Arial" w:hint="default"/>
      </w:rPr>
    </w:lvl>
    <w:lvl w:ilvl="5">
      <w:start w:val="1"/>
      <w:numFmt w:val="decimal"/>
      <w:lvlText w:val="%1.%2.%3.%4.%5.%6"/>
      <w:lvlJc w:val="left"/>
      <w:pPr>
        <w:ind w:left="1440" w:hanging="1440"/>
      </w:pPr>
      <w:rPr>
        <w:rFonts w:ascii="Arial" w:hAnsi="Arial" w:hint="default"/>
      </w:rPr>
    </w:lvl>
    <w:lvl w:ilvl="6">
      <w:start w:val="1"/>
      <w:numFmt w:val="decimal"/>
      <w:lvlText w:val="%1.%2.%3.%4.%5.%6.%7"/>
      <w:lvlJc w:val="left"/>
      <w:pPr>
        <w:ind w:left="1440" w:hanging="1440"/>
      </w:pPr>
      <w:rPr>
        <w:rFonts w:ascii="Arial" w:hAnsi="Arial" w:hint="default"/>
      </w:rPr>
    </w:lvl>
    <w:lvl w:ilvl="7">
      <w:start w:val="1"/>
      <w:numFmt w:val="decimal"/>
      <w:lvlText w:val="%1.%2.%3.%4.%5.%6.%7.%8"/>
      <w:lvlJc w:val="left"/>
      <w:pPr>
        <w:ind w:left="1800" w:hanging="1800"/>
      </w:pPr>
      <w:rPr>
        <w:rFonts w:ascii="Arial" w:hAnsi="Arial" w:hint="default"/>
      </w:rPr>
    </w:lvl>
    <w:lvl w:ilvl="8">
      <w:start w:val="1"/>
      <w:numFmt w:val="decimal"/>
      <w:lvlText w:val="%1.%2.%3.%4.%5.%6.%7.%8.%9"/>
      <w:lvlJc w:val="left"/>
      <w:pPr>
        <w:ind w:left="1800" w:hanging="1800"/>
      </w:pPr>
      <w:rPr>
        <w:rFonts w:ascii="Arial" w:hAnsi="Arial" w:hint="default"/>
      </w:rPr>
    </w:lvl>
  </w:abstractNum>
  <w:abstractNum w:abstractNumId="3" w15:restartNumberingAfterBreak="0">
    <w:nsid w:val="0F875DBD"/>
    <w:multiLevelType w:val="multilevel"/>
    <w:tmpl w:val="C28ADFB6"/>
    <w:lvl w:ilvl="0">
      <w:start w:val="2"/>
      <w:numFmt w:val="decimal"/>
      <w:lvlText w:val="%1"/>
      <w:lvlJc w:val="left"/>
      <w:pPr>
        <w:ind w:left="390" w:hanging="390"/>
      </w:pPr>
      <w:rPr>
        <w:rFonts w:hint="default"/>
        <w:b w:val="0"/>
      </w:rPr>
    </w:lvl>
    <w:lvl w:ilvl="1">
      <w:start w:val="1"/>
      <w:numFmt w:val="decimal"/>
      <w:lvlText w:val="%1.%2"/>
      <w:lvlJc w:val="left"/>
      <w:pPr>
        <w:ind w:left="720" w:hanging="720"/>
      </w:pPr>
      <w:rPr>
        <w:rFonts w:hint="default"/>
        <w:b w:val="0"/>
      </w:rPr>
    </w:lvl>
    <w:lvl w:ilvl="2">
      <w:start w:val="1"/>
      <w:numFmt w:val="decimal"/>
      <w:lvlText w:val="%1.%2.%3"/>
      <w:lvlJc w:val="left"/>
      <w:pPr>
        <w:ind w:left="1080" w:hanging="1080"/>
      </w:pPr>
      <w:rPr>
        <w:rFonts w:hint="default"/>
        <w:b w:val="0"/>
      </w:rPr>
    </w:lvl>
    <w:lvl w:ilvl="3">
      <w:start w:val="1"/>
      <w:numFmt w:val="decimal"/>
      <w:lvlText w:val="%1.%2.%3.%4"/>
      <w:lvlJc w:val="left"/>
      <w:pPr>
        <w:ind w:left="1440" w:hanging="1440"/>
      </w:pPr>
      <w:rPr>
        <w:rFonts w:hint="default"/>
        <w:b w:val="0"/>
      </w:rPr>
    </w:lvl>
    <w:lvl w:ilvl="4">
      <w:start w:val="1"/>
      <w:numFmt w:val="decimal"/>
      <w:lvlText w:val="%1.%2.%3.%4.%5"/>
      <w:lvlJc w:val="left"/>
      <w:pPr>
        <w:ind w:left="1440" w:hanging="1440"/>
      </w:pPr>
      <w:rPr>
        <w:rFonts w:hint="default"/>
        <w:b w:val="0"/>
      </w:rPr>
    </w:lvl>
    <w:lvl w:ilvl="5">
      <w:start w:val="1"/>
      <w:numFmt w:val="decimal"/>
      <w:lvlText w:val="%1.%2.%3.%4.%5.%6"/>
      <w:lvlJc w:val="left"/>
      <w:pPr>
        <w:ind w:left="1800" w:hanging="1800"/>
      </w:pPr>
      <w:rPr>
        <w:rFonts w:hint="default"/>
        <w:b w:val="0"/>
      </w:rPr>
    </w:lvl>
    <w:lvl w:ilvl="6">
      <w:start w:val="1"/>
      <w:numFmt w:val="decimal"/>
      <w:lvlText w:val="%1.%2.%3.%4.%5.%6.%7"/>
      <w:lvlJc w:val="left"/>
      <w:pPr>
        <w:ind w:left="2160" w:hanging="2160"/>
      </w:pPr>
      <w:rPr>
        <w:rFonts w:hint="default"/>
        <w:b w:val="0"/>
      </w:rPr>
    </w:lvl>
    <w:lvl w:ilvl="7">
      <w:start w:val="1"/>
      <w:numFmt w:val="decimal"/>
      <w:lvlText w:val="%1.%2.%3.%4.%5.%6.%7.%8"/>
      <w:lvlJc w:val="left"/>
      <w:pPr>
        <w:ind w:left="2520" w:hanging="2520"/>
      </w:pPr>
      <w:rPr>
        <w:rFonts w:hint="default"/>
        <w:b w:val="0"/>
      </w:rPr>
    </w:lvl>
    <w:lvl w:ilvl="8">
      <w:start w:val="1"/>
      <w:numFmt w:val="decimal"/>
      <w:lvlText w:val="%1.%2.%3.%4.%5.%6.%7.%8.%9"/>
      <w:lvlJc w:val="left"/>
      <w:pPr>
        <w:ind w:left="2880" w:hanging="2880"/>
      </w:pPr>
      <w:rPr>
        <w:rFonts w:hint="default"/>
        <w:b w:val="0"/>
      </w:rPr>
    </w:lvl>
  </w:abstractNum>
  <w:abstractNum w:abstractNumId="4" w15:restartNumberingAfterBreak="0">
    <w:nsid w:val="12F333A5"/>
    <w:multiLevelType w:val="multilevel"/>
    <w:tmpl w:val="20E2D4C6"/>
    <w:lvl w:ilvl="0">
      <w:start w:val="2"/>
      <w:numFmt w:val="decimal"/>
      <w:lvlText w:val="%1"/>
      <w:lvlJc w:val="left"/>
      <w:pPr>
        <w:ind w:left="390" w:hanging="390"/>
      </w:pPr>
      <w:rPr>
        <w:rFonts w:hint="default"/>
        <w:b w:val="0"/>
      </w:rPr>
    </w:lvl>
    <w:lvl w:ilvl="1">
      <w:start w:val="2"/>
      <w:numFmt w:val="decimal"/>
      <w:lvlText w:val="%1.%2"/>
      <w:lvlJc w:val="left"/>
      <w:pPr>
        <w:ind w:left="720" w:hanging="720"/>
      </w:pPr>
      <w:rPr>
        <w:rFonts w:hint="default"/>
        <w:b w:val="0"/>
      </w:rPr>
    </w:lvl>
    <w:lvl w:ilvl="2">
      <w:start w:val="1"/>
      <w:numFmt w:val="decimal"/>
      <w:lvlText w:val="%1.%2.%3"/>
      <w:lvlJc w:val="left"/>
      <w:pPr>
        <w:ind w:left="1080" w:hanging="1080"/>
      </w:pPr>
      <w:rPr>
        <w:rFonts w:hint="default"/>
        <w:b w:val="0"/>
      </w:rPr>
    </w:lvl>
    <w:lvl w:ilvl="3">
      <w:start w:val="1"/>
      <w:numFmt w:val="decimal"/>
      <w:lvlText w:val="%1.%2.%3.%4"/>
      <w:lvlJc w:val="left"/>
      <w:pPr>
        <w:ind w:left="1440" w:hanging="1440"/>
      </w:pPr>
      <w:rPr>
        <w:rFonts w:hint="default"/>
        <w:b w:val="0"/>
      </w:rPr>
    </w:lvl>
    <w:lvl w:ilvl="4">
      <w:start w:val="1"/>
      <w:numFmt w:val="decimal"/>
      <w:lvlText w:val="%1.%2.%3.%4.%5"/>
      <w:lvlJc w:val="left"/>
      <w:pPr>
        <w:ind w:left="1440" w:hanging="1440"/>
      </w:pPr>
      <w:rPr>
        <w:rFonts w:hint="default"/>
        <w:b w:val="0"/>
      </w:rPr>
    </w:lvl>
    <w:lvl w:ilvl="5">
      <w:start w:val="1"/>
      <w:numFmt w:val="decimal"/>
      <w:lvlText w:val="%1.%2.%3.%4.%5.%6"/>
      <w:lvlJc w:val="left"/>
      <w:pPr>
        <w:ind w:left="1800" w:hanging="1800"/>
      </w:pPr>
      <w:rPr>
        <w:rFonts w:hint="default"/>
        <w:b w:val="0"/>
      </w:rPr>
    </w:lvl>
    <w:lvl w:ilvl="6">
      <w:start w:val="1"/>
      <w:numFmt w:val="decimal"/>
      <w:lvlText w:val="%1.%2.%3.%4.%5.%6.%7"/>
      <w:lvlJc w:val="left"/>
      <w:pPr>
        <w:ind w:left="2160" w:hanging="2160"/>
      </w:pPr>
      <w:rPr>
        <w:rFonts w:hint="default"/>
        <w:b w:val="0"/>
      </w:rPr>
    </w:lvl>
    <w:lvl w:ilvl="7">
      <w:start w:val="1"/>
      <w:numFmt w:val="decimal"/>
      <w:lvlText w:val="%1.%2.%3.%4.%5.%6.%7.%8"/>
      <w:lvlJc w:val="left"/>
      <w:pPr>
        <w:ind w:left="2520" w:hanging="2520"/>
      </w:pPr>
      <w:rPr>
        <w:rFonts w:hint="default"/>
        <w:b w:val="0"/>
      </w:rPr>
    </w:lvl>
    <w:lvl w:ilvl="8">
      <w:start w:val="1"/>
      <w:numFmt w:val="decimal"/>
      <w:lvlText w:val="%1.%2.%3.%4.%5.%6.%7.%8.%9"/>
      <w:lvlJc w:val="left"/>
      <w:pPr>
        <w:ind w:left="2880" w:hanging="2880"/>
      </w:pPr>
      <w:rPr>
        <w:rFonts w:hint="default"/>
        <w:b w:val="0"/>
      </w:rPr>
    </w:lvl>
  </w:abstractNum>
  <w:abstractNum w:abstractNumId="5" w15:restartNumberingAfterBreak="0">
    <w:nsid w:val="15FB7C74"/>
    <w:multiLevelType w:val="multilevel"/>
    <w:tmpl w:val="1D2452DA"/>
    <w:lvl w:ilvl="0">
      <w:start w:val="2"/>
      <w:numFmt w:val="decimal"/>
      <w:lvlText w:val="%1"/>
      <w:lvlJc w:val="left"/>
      <w:pPr>
        <w:ind w:left="390" w:hanging="390"/>
      </w:pPr>
      <w:rPr>
        <w:rFonts w:hint="default"/>
        <w:b w:val="0"/>
      </w:rPr>
    </w:lvl>
    <w:lvl w:ilvl="1">
      <w:start w:val="1"/>
      <w:numFmt w:val="decimal"/>
      <w:lvlText w:val="%1.%2"/>
      <w:lvlJc w:val="left"/>
      <w:pPr>
        <w:ind w:left="995" w:hanging="720"/>
      </w:pPr>
      <w:rPr>
        <w:rFonts w:hint="default"/>
        <w:b/>
        <w:bCs w:val="0"/>
      </w:rPr>
    </w:lvl>
    <w:lvl w:ilvl="2">
      <w:start w:val="1"/>
      <w:numFmt w:val="decimal"/>
      <w:lvlText w:val="%1.%2.%3"/>
      <w:lvlJc w:val="left"/>
      <w:pPr>
        <w:ind w:left="1630" w:hanging="1080"/>
      </w:pPr>
      <w:rPr>
        <w:rFonts w:hint="default"/>
        <w:b w:val="0"/>
      </w:rPr>
    </w:lvl>
    <w:lvl w:ilvl="3">
      <w:start w:val="1"/>
      <w:numFmt w:val="decimal"/>
      <w:lvlText w:val="%1.%2.%3.%4"/>
      <w:lvlJc w:val="left"/>
      <w:pPr>
        <w:ind w:left="2265" w:hanging="1440"/>
      </w:pPr>
      <w:rPr>
        <w:rFonts w:hint="default"/>
        <w:b w:val="0"/>
      </w:rPr>
    </w:lvl>
    <w:lvl w:ilvl="4">
      <w:start w:val="1"/>
      <w:numFmt w:val="decimal"/>
      <w:lvlText w:val="%1.%2.%3.%4.%5"/>
      <w:lvlJc w:val="left"/>
      <w:pPr>
        <w:ind w:left="2540" w:hanging="1440"/>
      </w:pPr>
      <w:rPr>
        <w:rFonts w:hint="default"/>
        <w:b w:val="0"/>
      </w:rPr>
    </w:lvl>
    <w:lvl w:ilvl="5">
      <w:start w:val="1"/>
      <w:numFmt w:val="decimal"/>
      <w:lvlText w:val="%1.%2.%3.%4.%5.%6"/>
      <w:lvlJc w:val="left"/>
      <w:pPr>
        <w:ind w:left="3175" w:hanging="1800"/>
      </w:pPr>
      <w:rPr>
        <w:rFonts w:hint="default"/>
        <w:b w:val="0"/>
      </w:rPr>
    </w:lvl>
    <w:lvl w:ilvl="6">
      <w:start w:val="1"/>
      <w:numFmt w:val="decimal"/>
      <w:lvlText w:val="%1.%2.%3.%4.%5.%6.%7"/>
      <w:lvlJc w:val="left"/>
      <w:pPr>
        <w:ind w:left="3810" w:hanging="2160"/>
      </w:pPr>
      <w:rPr>
        <w:rFonts w:hint="default"/>
        <w:b w:val="0"/>
      </w:rPr>
    </w:lvl>
    <w:lvl w:ilvl="7">
      <w:start w:val="1"/>
      <w:numFmt w:val="decimal"/>
      <w:lvlText w:val="%1.%2.%3.%4.%5.%6.%7.%8"/>
      <w:lvlJc w:val="left"/>
      <w:pPr>
        <w:ind w:left="4445" w:hanging="2520"/>
      </w:pPr>
      <w:rPr>
        <w:rFonts w:hint="default"/>
        <w:b w:val="0"/>
      </w:rPr>
    </w:lvl>
    <w:lvl w:ilvl="8">
      <w:start w:val="1"/>
      <w:numFmt w:val="decimal"/>
      <w:lvlText w:val="%1.%2.%3.%4.%5.%6.%7.%8.%9"/>
      <w:lvlJc w:val="left"/>
      <w:pPr>
        <w:ind w:left="5080" w:hanging="2880"/>
      </w:pPr>
      <w:rPr>
        <w:rFonts w:hint="default"/>
        <w:b w:val="0"/>
      </w:rPr>
    </w:lvl>
  </w:abstractNum>
  <w:abstractNum w:abstractNumId="6" w15:restartNumberingAfterBreak="0">
    <w:nsid w:val="194D4DEA"/>
    <w:multiLevelType w:val="multilevel"/>
    <w:tmpl w:val="81AE9710"/>
    <w:lvl w:ilvl="0">
      <w:start w:val="2"/>
      <w:numFmt w:val="decimal"/>
      <w:lvlText w:val="%1"/>
      <w:lvlJc w:val="left"/>
      <w:pPr>
        <w:ind w:left="420" w:hanging="420"/>
      </w:pPr>
      <w:rPr>
        <w:rFonts w:hint="default"/>
      </w:rPr>
    </w:lvl>
    <w:lvl w:ilvl="1">
      <w:start w:val="10"/>
      <w:numFmt w:val="decimal"/>
      <w:lvlText w:val="%1.%2"/>
      <w:lvlJc w:val="left"/>
      <w:pPr>
        <w:ind w:left="1158" w:hanging="420"/>
      </w:pPr>
      <w:rPr>
        <w:rFonts w:hint="default"/>
      </w:rPr>
    </w:lvl>
    <w:lvl w:ilvl="2">
      <w:start w:val="1"/>
      <w:numFmt w:val="decimal"/>
      <w:lvlText w:val="%1.%2.%3"/>
      <w:lvlJc w:val="left"/>
      <w:pPr>
        <w:ind w:left="2196" w:hanging="720"/>
      </w:pPr>
      <w:rPr>
        <w:rFonts w:hint="default"/>
      </w:rPr>
    </w:lvl>
    <w:lvl w:ilvl="3">
      <w:start w:val="1"/>
      <w:numFmt w:val="decimal"/>
      <w:lvlText w:val="%1.%2.%3.%4"/>
      <w:lvlJc w:val="left"/>
      <w:pPr>
        <w:ind w:left="2934" w:hanging="720"/>
      </w:pPr>
      <w:rPr>
        <w:rFonts w:hint="default"/>
      </w:rPr>
    </w:lvl>
    <w:lvl w:ilvl="4">
      <w:start w:val="1"/>
      <w:numFmt w:val="decimal"/>
      <w:lvlText w:val="%1.%2.%3.%4.%5"/>
      <w:lvlJc w:val="left"/>
      <w:pPr>
        <w:ind w:left="4032" w:hanging="1080"/>
      </w:pPr>
      <w:rPr>
        <w:rFonts w:hint="default"/>
      </w:rPr>
    </w:lvl>
    <w:lvl w:ilvl="5">
      <w:start w:val="1"/>
      <w:numFmt w:val="decimal"/>
      <w:lvlText w:val="%1.%2.%3.%4.%5.%6"/>
      <w:lvlJc w:val="left"/>
      <w:pPr>
        <w:ind w:left="5130" w:hanging="1440"/>
      </w:pPr>
      <w:rPr>
        <w:rFonts w:hint="default"/>
      </w:rPr>
    </w:lvl>
    <w:lvl w:ilvl="6">
      <w:start w:val="1"/>
      <w:numFmt w:val="decimal"/>
      <w:lvlText w:val="%1.%2.%3.%4.%5.%6.%7"/>
      <w:lvlJc w:val="left"/>
      <w:pPr>
        <w:ind w:left="5868" w:hanging="1440"/>
      </w:pPr>
      <w:rPr>
        <w:rFonts w:hint="default"/>
      </w:rPr>
    </w:lvl>
    <w:lvl w:ilvl="7">
      <w:start w:val="1"/>
      <w:numFmt w:val="decimal"/>
      <w:lvlText w:val="%1.%2.%3.%4.%5.%6.%7.%8"/>
      <w:lvlJc w:val="left"/>
      <w:pPr>
        <w:ind w:left="6966" w:hanging="1800"/>
      </w:pPr>
      <w:rPr>
        <w:rFonts w:hint="default"/>
      </w:rPr>
    </w:lvl>
    <w:lvl w:ilvl="8">
      <w:start w:val="1"/>
      <w:numFmt w:val="decimal"/>
      <w:lvlText w:val="%1.%2.%3.%4.%5.%6.%7.%8.%9"/>
      <w:lvlJc w:val="left"/>
      <w:pPr>
        <w:ind w:left="7704" w:hanging="1800"/>
      </w:pPr>
      <w:rPr>
        <w:rFonts w:hint="default"/>
      </w:rPr>
    </w:lvl>
  </w:abstractNum>
  <w:abstractNum w:abstractNumId="7" w15:restartNumberingAfterBreak="0">
    <w:nsid w:val="1B2B7380"/>
    <w:multiLevelType w:val="hybridMultilevel"/>
    <w:tmpl w:val="84C039D0"/>
    <w:lvl w:ilvl="0" w:tplc="0809000F">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E8B5FF0"/>
    <w:multiLevelType w:val="multilevel"/>
    <w:tmpl w:val="86EA69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3326936"/>
    <w:multiLevelType w:val="hybridMultilevel"/>
    <w:tmpl w:val="85B85DB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8F86C96"/>
    <w:multiLevelType w:val="multilevel"/>
    <w:tmpl w:val="F98C03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9654A31"/>
    <w:multiLevelType w:val="multilevel"/>
    <w:tmpl w:val="1CC8AD06"/>
    <w:lvl w:ilvl="0">
      <w:start w:val="2"/>
      <w:numFmt w:val="decimal"/>
      <w:lvlText w:val="%1"/>
      <w:lvlJc w:val="left"/>
      <w:pPr>
        <w:ind w:left="390" w:hanging="390"/>
      </w:pPr>
      <w:rPr>
        <w:rFonts w:hint="default"/>
        <w:b w:val="0"/>
      </w:rPr>
    </w:lvl>
    <w:lvl w:ilvl="1">
      <w:start w:val="1"/>
      <w:numFmt w:val="decimal"/>
      <w:lvlText w:val="%1.%2"/>
      <w:lvlJc w:val="left"/>
      <w:pPr>
        <w:ind w:left="720" w:hanging="720"/>
      </w:pPr>
      <w:rPr>
        <w:rFonts w:hint="default"/>
        <w:b w:val="0"/>
      </w:rPr>
    </w:lvl>
    <w:lvl w:ilvl="2">
      <w:start w:val="1"/>
      <w:numFmt w:val="decimal"/>
      <w:lvlText w:val="%1.%2.%3"/>
      <w:lvlJc w:val="left"/>
      <w:pPr>
        <w:ind w:left="1080" w:hanging="1080"/>
      </w:pPr>
      <w:rPr>
        <w:rFonts w:hint="default"/>
        <w:b w:val="0"/>
      </w:rPr>
    </w:lvl>
    <w:lvl w:ilvl="3">
      <w:start w:val="1"/>
      <w:numFmt w:val="decimal"/>
      <w:lvlText w:val="%1.%2.%3.%4"/>
      <w:lvlJc w:val="left"/>
      <w:pPr>
        <w:ind w:left="1440" w:hanging="1440"/>
      </w:pPr>
      <w:rPr>
        <w:rFonts w:hint="default"/>
        <w:b w:val="0"/>
      </w:rPr>
    </w:lvl>
    <w:lvl w:ilvl="4">
      <w:start w:val="1"/>
      <w:numFmt w:val="decimal"/>
      <w:lvlText w:val="%1.%2.%3.%4.%5"/>
      <w:lvlJc w:val="left"/>
      <w:pPr>
        <w:ind w:left="1440" w:hanging="1440"/>
      </w:pPr>
      <w:rPr>
        <w:rFonts w:hint="default"/>
        <w:b w:val="0"/>
      </w:rPr>
    </w:lvl>
    <w:lvl w:ilvl="5">
      <w:start w:val="1"/>
      <w:numFmt w:val="decimal"/>
      <w:lvlText w:val="%1.%2.%3.%4.%5.%6"/>
      <w:lvlJc w:val="left"/>
      <w:pPr>
        <w:ind w:left="1800" w:hanging="1800"/>
      </w:pPr>
      <w:rPr>
        <w:rFonts w:hint="default"/>
        <w:b w:val="0"/>
      </w:rPr>
    </w:lvl>
    <w:lvl w:ilvl="6">
      <w:start w:val="1"/>
      <w:numFmt w:val="decimal"/>
      <w:lvlText w:val="%1.%2.%3.%4.%5.%6.%7"/>
      <w:lvlJc w:val="left"/>
      <w:pPr>
        <w:ind w:left="2160" w:hanging="2160"/>
      </w:pPr>
      <w:rPr>
        <w:rFonts w:hint="default"/>
        <w:b w:val="0"/>
      </w:rPr>
    </w:lvl>
    <w:lvl w:ilvl="7">
      <w:start w:val="1"/>
      <w:numFmt w:val="decimal"/>
      <w:lvlText w:val="%1.%2.%3.%4.%5.%6.%7.%8"/>
      <w:lvlJc w:val="left"/>
      <w:pPr>
        <w:ind w:left="2520" w:hanging="2520"/>
      </w:pPr>
      <w:rPr>
        <w:rFonts w:hint="default"/>
        <w:b w:val="0"/>
      </w:rPr>
    </w:lvl>
    <w:lvl w:ilvl="8">
      <w:start w:val="1"/>
      <w:numFmt w:val="decimal"/>
      <w:lvlText w:val="%1.%2.%3.%4.%5.%6.%7.%8.%9"/>
      <w:lvlJc w:val="left"/>
      <w:pPr>
        <w:ind w:left="2880" w:hanging="2880"/>
      </w:pPr>
      <w:rPr>
        <w:rFonts w:hint="default"/>
        <w:b w:val="0"/>
      </w:rPr>
    </w:lvl>
  </w:abstractNum>
  <w:abstractNum w:abstractNumId="12" w15:restartNumberingAfterBreak="0">
    <w:nsid w:val="2CD21FCD"/>
    <w:multiLevelType w:val="multilevel"/>
    <w:tmpl w:val="6B60C408"/>
    <w:lvl w:ilvl="0">
      <w:start w:val="2"/>
      <w:numFmt w:val="decimal"/>
      <w:lvlText w:val="%1"/>
      <w:lvlJc w:val="left"/>
      <w:pPr>
        <w:ind w:left="390" w:hanging="390"/>
      </w:pPr>
      <w:rPr>
        <w:rFonts w:hint="default"/>
        <w:b w:val="0"/>
      </w:rPr>
    </w:lvl>
    <w:lvl w:ilvl="1">
      <w:start w:val="5"/>
      <w:numFmt w:val="decimal"/>
      <w:lvlText w:val="%1.%2"/>
      <w:lvlJc w:val="left"/>
      <w:pPr>
        <w:ind w:left="720" w:hanging="720"/>
      </w:pPr>
      <w:rPr>
        <w:rFonts w:hint="default"/>
        <w:b w:val="0"/>
      </w:rPr>
    </w:lvl>
    <w:lvl w:ilvl="2">
      <w:start w:val="1"/>
      <w:numFmt w:val="decimal"/>
      <w:lvlText w:val="%1.%2.%3"/>
      <w:lvlJc w:val="left"/>
      <w:pPr>
        <w:ind w:left="1080" w:hanging="1080"/>
      </w:pPr>
      <w:rPr>
        <w:rFonts w:hint="default"/>
        <w:b w:val="0"/>
      </w:rPr>
    </w:lvl>
    <w:lvl w:ilvl="3">
      <w:start w:val="1"/>
      <w:numFmt w:val="decimal"/>
      <w:lvlText w:val="%1.%2.%3.%4"/>
      <w:lvlJc w:val="left"/>
      <w:pPr>
        <w:ind w:left="1440" w:hanging="1440"/>
      </w:pPr>
      <w:rPr>
        <w:rFonts w:hint="default"/>
        <w:b w:val="0"/>
      </w:rPr>
    </w:lvl>
    <w:lvl w:ilvl="4">
      <w:start w:val="1"/>
      <w:numFmt w:val="decimal"/>
      <w:lvlText w:val="%1.%2.%3.%4.%5"/>
      <w:lvlJc w:val="left"/>
      <w:pPr>
        <w:ind w:left="1440" w:hanging="1440"/>
      </w:pPr>
      <w:rPr>
        <w:rFonts w:hint="default"/>
        <w:b w:val="0"/>
      </w:rPr>
    </w:lvl>
    <w:lvl w:ilvl="5">
      <w:start w:val="1"/>
      <w:numFmt w:val="decimal"/>
      <w:lvlText w:val="%1.%2.%3.%4.%5.%6"/>
      <w:lvlJc w:val="left"/>
      <w:pPr>
        <w:ind w:left="1800" w:hanging="1800"/>
      </w:pPr>
      <w:rPr>
        <w:rFonts w:hint="default"/>
        <w:b w:val="0"/>
      </w:rPr>
    </w:lvl>
    <w:lvl w:ilvl="6">
      <w:start w:val="1"/>
      <w:numFmt w:val="decimal"/>
      <w:lvlText w:val="%1.%2.%3.%4.%5.%6.%7"/>
      <w:lvlJc w:val="left"/>
      <w:pPr>
        <w:ind w:left="2160" w:hanging="2160"/>
      </w:pPr>
      <w:rPr>
        <w:rFonts w:hint="default"/>
        <w:b w:val="0"/>
      </w:rPr>
    </w:lvl>
    <w:lvl w:ilvl="7">
      <w:start w:val="1"/>
      <w:numFmt w:val="decimal"/>
      <w:lvlText w:val="%1.%2.%3.%4.%5.%6.%7.%8"/>
      <w:lvlJc w:val="left"/>
      <w:pPr>
        <w:ind w:left="2520" w:hanging="2520"/>
      </w:pPr>
      <w:rPr>
        <w:rFonts w:hint="default"/>
        <w:b w:val="0"/>
      </w:rPr>
    </w:lvl>
    <w:lvl w:ilvl="8">
      <w:start w:val="1"/>
      <w:numFmt w:val="decimal"/>
      <w:lvlText w:val="%1.%2.%3.%4.%5.%6.%7.%8.%9"/>
      <w:lvlJc w:val="left"/>
      <w:pPr>
        <w:ind w:left="2880" w:hanging="2880"/>
      </w:pPr>
      <w:rPr>
        <w:rFonts w:hint="default"/>
        <w:b w:val="0"/>
      </w:rPr>
    </w:lvl>
  </w:abstractNum>
  <w:abstractNum w:abstractNumId="13" w15:restartNumberingAfterBreak="0">
    <w:nsid w:val="2E7A45A3"/>
    <w:multiLevelType w:val="multilevel"/>
    <w:tmpl w:val="5D4C8CAA"/>
    <w:lvl w:ilvl="0">
      <w:start w:val="2"/>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319E42C4"/>
    <w:multiLevelType w:val="multilevel"/>
    <w:tmpl w:val="577CA6F2"/>
    <w:lvl w:ilvl="0">
      <w:start w:val="2"/>
      <w:numFmt w:val="decimal"/>
      <w:lvlText w:val="%1"/>
      <w:lvlJc w:val="left"/>
      <w:pPr>
        <w:ind w:left="390" w:hanging="390"/>
      </w:pPr>
      <w:rPr>
        <w:rFonts w:hint="default"/>
        <w:b w:val="0"/>
      </w:rPr>
    </w:lvl>
    <w:lvl w:ilvl="1">
      <w:start w:val="3"/>
      <w:numFmt w:val="decimal"/>
      <w:lvlText w:val="%1.%2"/>
      <w:lvlJc w:val="left"/>
      <w:pPr>
        <w:ind w:left="720" w:hanging="720"/>
      </w:pPr>
      <w:rPr>
        <w:rFonts w:hint="default"/>
        <w:b w:val="0"/>
      </w:rPr>
    </w:lvl>
    <w:lvl w:ilvl="2">
      <w:start w:val="1"/>
      <w:numFmt w:val="decimal"/>
      <w:lvlText w:val="%1.%2.%3"/>
      <w:lvlJc w:val="left"/>
      <w:pPr>
        <w:ind w:left="1080" w:hanging="1080"/>
      </w:pPr>
      <w:rPr>
        <w:rFonts w:hint="default"/>
        <w:b w:val="0"/>
      </w:rPr>
    </w:lvl>
    <w:lvl w:ilvl="3">
      <w:start w:val="1"/>
      <w:numFmt w:val="decimal"/>
      <w:lvlText w:val="%1.%2.%3.%4"/>
      <w:lvlJc w:val="left"/>
      <w:pPr>
        <w:ind w:left="1440" w:hanging="1440"/>
      </w:pPr>
      <w:rPr>
        <w:rFonts w:hint="default"/>
        <w:b w:val="0"/>
      </w:rPr>
    </w:lvl>
    <w:lvl w:ilvl="4">
      <w:start w:val="1"/>
      <w:numFmt w:val="decimal"/>
      <w:lvlText w:val="%1.%2.%3.%4.%5"/>
      <w:lvlJc w:val="left"/>
      <w:pPr>
        <w:ind w:left="1440" w:hanging="1440"/>
      </w:pPr>
      <w:rPr>
        <w:rFonts w:hint="default"/>
        <w:b w:val="0"/>
      </w:rPr>
    </w:lvl>
    <w:lvl w:ilvl="5">
      <w:start w:val="1"/>
      <w:numFmt w:val="decimal"/>
      <w:lvlText w:val="%1.%2.%3.%4.%5.%6"/>
      <w:lvlJc w:val="left"/>
      <w:pPr>
        <w:ind w:left="1800" w:hanging="1800"/>
      </w:pPr>
      <w:rPr>
        <w:rFonts w:hint="default"/>
        <w:b w:val="0"/>
      </w:rPr>
    </w:lvl>
    <w:lvl w:ilvl="6">
      <w:start w:val="1"/>
      <w:numFmt w:val="decimal"/>
      <w:lvlText w:val="%1.%2.%3.%4.%5.%6.%7"/>
      <w:lvlJc w:val="left"/>
      <w:pPr>
        <w:ind w:left="2160" w:hanging="2160"/>
      </w:pPr>
      <w:rPr>
        <w:rFonts w:hint="default"/>
        <w:b w:val="0"/>
      </w:rPr>
    </w:lvl>
    <w:lvl w:ilvl="7">
      <w:start w:val="1"/>
      <w:numFmt w:val="decimal"/>
      <w:lvlText w:val="%1.%2.%3.%4.%5.%6.%7.%8"/>
      <w:lvlJc w:val="left"/>
      <w:pPr>
        <w:ind w:left="2520" w:hanging="2520"/>
      </w:pPr>
      <w:rPr>
        <w:rFonts w:hint="default"/>
        <w:b w:val="0"/>
      </w:rPr>
    </w:lvl>
    <w:lvl w:ilvl="8">
      <w:start w:val="1"/>
      <w:numFmt w:val="decimal"/>
      <w:lvlText w:val="%1.%2.%3.%4.%5.%6.%7.%8.%9"/>
      <w:lvlJc w:val="left"/>
      <w:pPr>
        <w:ind w:left="2880" w:hanging="2880"/>
      </w:pPr>
      <w:rPr>
        <w:rFonts w:hint="default"/>
        <w:b w:val="0"/>
      </w:rPr>
    </w:lvl>
  </w:abstractNum>
  <w:abstractNum w:abstractNumId="15" w15:restartNumberingAfterBreak="0">
    <w:nsid w:val="364236AE"/>
    <w:multiLevelType w:val="multilevel"/>
    <w:tmpl w:val="D4E84C7E"/>
    <w:lvl w:ilvl="0">
      <w:start w:val="2"/>
      <w:numFmt w:val="decimal"/>
      <w:lvlText w:val="%1"/>
      <w:lvlJc w:val="left"/>
      <w:pPr>
        <w:ind w:left="360" w:hanging="360"/>
      </w:pPr>
      <w:rPr>
        <w:rFonts w:hint="default"/>
        <w:b w:val="0"/>
      </w:rPr>
    </w:lvl>
    <w:lvl w:ilvl="1">
      <w:start w:val="7"/>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1800" w:hanging="1800"/>
      </w:pPr>
      <w:rPr>
        <w:rFonts w:hint="default"/>
        <w:b w:val="0"/>
      </w:rPr>
    </w:lvl>
  </w:abstractNum>
  <w:abstractNum w:abstractNumId="16" w15:restartNumberingAfterBreak="0">
    <w:nsid w:val="3A8E069B"/>
    <w:multiLevelType w:val="multilevel"/>
    <w:tmpl w:val="0E763CF6"/>
    <w:lvl w:ilvl="0">
      <w:start w:val="2024"/>
      <w:numFmt w:val="decimal"/>
      <w:lvlText w:val="%1"/>
      <w:lvlJc w:val="left"/>
      <w:pPr>
        <w:ind w:left="510" w:hanging="510"/>
      </w:pPr>
      <w:rPr>
        <w:rFonts w:ascii="Arial" w:hAnsi="Arial" w:hint="default"/>
      </w:rPr>
    </w:lvl>
    <w:lvl w:ilvl="1">
      <w:start w:val="2026"/>
      <w:numFmt w:val="decimal"/>
      <w:lvlText w:val="%1.%2"/>
      <w:lvlJc w:val="left"/>
      <w:pPr>
        <w:ind w:left="510" w:hanging="510"/>
      </w:pPr>
      <w:rPr>
        <w:rFonts w:ascii="Arial" w:hAnsi="Arial" w:hint="default"/>
      </w:rPr>
    </w:lvl>
    <w:lvl w:ilvl="2">
      <w:start w:val="1"/>
      <w:numFmt w:val="decimal"/>
      <w:lvlText w:val="%1.%2.%3"/>
      <w:lvlJc w:val="left"/>
      <w:pPr>
        <w:ind w:left="720" w:hanging="720"/>
      </w:pPr>
      <w:rPr>
        <w:rFonts w:ascii="Arial" w:hAnsi="Arial" w:hint="default"/>
      </w:rPr>
    </w:lvl>
    <w:lvl w:ilvl="3">
      <w:start w:val="1"/>
      <w:numFmt w:val="decimal"/>
      <w:lvlText w:val="%1.%2.%3.%4"/>
      <w:lvlJc w:val="left"/>
      <w:pPr>
        <w:ind w:left="1080" w:hanging="1080"/>
      </w:pPr>
      <w:rPr>
        <w:rFonts w:ascii="Arial" w:hAnsi="Arial" w:hint="default"/>
      </w:rPr>
    </w:lvl>
    <w:lvl w:ilvl="4">
      <w:start w:val="1"/>
      <w:numFmt w:val="decimal"/>
      <w:lvlText w:val="%1.%2.%3.%4.%5"/>
      <w:lvlJc w:val="left"/>
      <w:pPr>
        <w:ind w:left="1080" w:hanging="1080"/>
      </w:pPr>
      <w:rPr>
        <w:rFonts w:ascii="Arial" w:hAnsi="Arial" w:hint="default"/>
      </w:rPr>
    </w:lvl>
    <w:lvl w:ilvl="5">
      <w:start w:val="1"/>
      <w:numFmt w:val="decimal"/>
      <w:lvlText w:val="%1.%2.%3.%4.%5.%6"/>
      <w:lvlJc w:val="left"/>
      <w:pPr>
        <w:ind w:left="1440" w:hanging="1440"/>
      </w:pPr>
      <w:rPr>
        <w:rFonts w:ascii="Arial" w:hAnsi="Arial" w:hint="default"/>
      </w:rPr>
    </w:lvl>
    <w:lvl w:ilvl="6">
      <w:start w:val="1"/>
      <w:numFmt w:val="decimal"/>
      <w:lvlText w:val="%1.%2.%3.%4.%5.%6.%7"/>
      <w:lvlJc w:val="left"/>
      <w:pPr>
        <w:ind w:left="1440" w:hanging="1440"/>
      </w:pPr>
      <w:rPr>
        <w:rFonts w:ascii="Arial" w:hAnsi="Arial" w:hint="default"/>
      </w:rPr>
    </w:lvl>
    <w:lvl w:ilvl="7">
      <w:start w:val="1"/>
      <w:numFmt w:val="decimal"/>
      <w:lvlText w:val="%1.%2.%3.%4.%5.%6.%7.%8"/>
      <w:lvlJc w:val="left"/>
      <w:pPr>
        <w:ind w:left="1800" w:hanging="1800"/>
      </w:pPr>
      <w:rPr>
        <w:rFonts w:ascii="Arial" w:hAnsi="Arial" w:hint="default"/>
      </w:rPr>
    </w:lvl>
    <w:lvl w:ilvl="8">
      <w:start w:val="1"/>
      <w:numFmt w:val="decimal"/>
      <w:lvlText w:val="%1.%2.%3.%4.%5.%6.%7.%8.%9"/>
      <w:lvlJc w:val="left"/>
      <w:pPr>
        <w:ind w:left="1800" w:hanging="1800"/>
      </w:pPr>
      <w:rPr>
        <w:rFonts w:ascii="Arial" w:hAnsi="Arial" w:hint="default"/>
      </w:rPr>
    </w:lvl>
  </w:abstractNum>
  <w:abstractNum w:abstractNumId="17" w15:restartNumberingAfterBreak="0">
    <w:nsid w:val="414D5D61"/>
    <w:multiLevelType w:val="hybridMultilevel"/>
    <w:tmpl w:val="79ECC066"/>
    <w:lvl w:ilvl="0" w:tplc="0809000F">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5017445"/>
    <w:multiLevelType w:val="multilevel"/>
    <w:tmpl w:val="3CAC1C20"/>
    <w:lvl w:ilvl="0">
      <w:start w:val="1"/>
      <w:numFmt w:val="decimal"/>
      <w:lvlText w:val="%1."/>
      <w:lvlJc w:val="left"/>
      <w:pPr>
        <w:ind w:left="720" w:hanging="360"/>
      </w:pPr>
      <w:rPr>
        <w:rFonts w:ascii="Arial" w:eastAsiaTheme="minorHAnsi" w:hAnsi="Arial" w:cs="Arial"/>
        <w:b/>
        <w:sz w:val="24"/>
      </w:rPr>
    </w:lvl>
    <w:lvl w:ilvl="1">
      <w:start w:val="1"/>
      <w:numFmt w:val="decimal"/>
      <w:isLgl/>
      <w:lvlText w:val="%1.%2"/>
      <w:lvlJc w:val="left"/>
      <w:pPr>
        <w:ind w:left="1185" w:hanging="465"/>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19" w15:restartNumberingAfterBreak="0">
    <w:nsid w:val="457C6038"/>
    <w:multiLevelType w:val="multilevel"/>
    <w:tmpl w:val="F93AC8FE"/>
    <w:lvl w:ilvl="0">
      <w:start w:val="2"/>
      <w:numFmt w:val="decimal"/>
      <w:lvlText w:val="%1"/>
      <w:lvlJc w:val="left"/>
      <w:pPr>
        <w:ind w:left="390" w:hanging="390"/>
      </w:pPr>
      <w:rPr>
        <w:rFonts w:hint="default"/>
        <w:b w:val="0"/>
      </w:rPr>
    </w:lvl>
    <w:lvl w:ilvl="1">
      <w:start w:val="4"/>
      <w:numFmt w:val="decimal"/>
      <w:lvlText w:val="%1.%2"/>
      <w:lvlJc w:val="left"/>
      <w:pPr>
        <w:ind w:left="720" w:hanging="720"/>
      </w:pPr>
      <w:rPr>
        <w:rFonts w:hint="default"/>
        <w:b w:val="0"/>
      </w:rPr>
    </w:lvl>
    <w:lvl w:ilvl="2">
      <w:start w:val="1"/>
      <w:numFmt w:val="decimal"/>
      <w:lvlText w:val="%1.%2.%3"/>
      <w:lvlJc w:val="left"/>
      <w:pPr>
        <w:ind w:left="1080" w:hanging="1080"/>
      </w:pPr>
      <w:rPr>
        <w:rFonts w:hint="default"/>
        <w:b w:val="0"/>
      </w:rPr>
    </w:lvl>
    <w:lvl w:ilvl="3">
      <w:start w:val="1"/>
      <w:numFmt w:val="decimal"/>
      <w:lvlText w:val="%1.%2.%3.%4"/>
      <w:lvlJc w:val="left"/>
      <w:pPr>
        <w:ind w:left="1440" w:hanging="1440"/>
      </w:pPr>
      <w:rPr>
        <w:rFonts w:hint="default"/>
        <w:b w:val="0"/>
      </w:rPr>
    </w:lvl>
    <w:lvl w:ilvl="4">
      <w:start w:val="1"/>
      <w:numFmt w:val="decimal"/>
      <w:lvlText w:val="%1.%2.%3.%4.%5"/>
      <w:lvlJc w:val="left"/>
      <w:pPr>
        <w:ind w:left="1440" w:hanging="1440"/>
      </w:pPr>
      <w:rPr>
        <w:rFonts w:hint="default"/>
        <w:b w:val="0"/>
      </w:rPr>
    </w:lvl>
    <w:lvl w:ilvl="5">
      <w:start w:val="1"/>
      <w:numFmt w:val="decimal"/>
      <w:lvlText w:val="%1.%2.%3.%4.%5.%6"/>
      <w:lvlJc w:val="left"/>
      <w:pPr>
        <w:ind w:left="1800" w:hanging="1800"/>
      </w:pPr>
      <w:rPr>
        <w:rFonts w:hint="default"/>
        <w:b w:val="0"/>
      </w:rPr>
    </w:lvl>
    <w:lvl w:ilvl="6">
      <w:start w:val="1"/>
      <w:numFmt w:val="decimal"/>
      <w:lvlText w:val="%1.%2.%3.%4.%5.%6.%7"/>
      <w:lvlJc w:val="left"/>
      <w:pPr>
        <w:ind w:left="2160" w:hanging="2160"/>
      </w:pPr>
      <w:rPr>
        <w:rFonts w:hint="default"/>
        <w:b w:val="0"/>
      </w:rPr>
    </w:lvl>
    <w:lvl w:ilvl="7">
      <w:start w:val="1"/>
      <w:numFmt w:val="decimal"/>
      <w:lvlText w:val="%1.%2.%3.%4.%5.%6.%7.%8"/>
      <w:lvlJc w:val="left"/>
      <w:pPr>
        <w:ind w:left="2520" w:hanging="2520"/>
      </w:pPr>
      <w:rPr>
        <w:rFonts w:hint="default"/>
        <w:b w:val="0"/>
      </w:rPr>
    </w:lvl>
    <w:lvl w:ilvl="8">
      <w:start w:val="1"/>
      <w:numFmt w:val="decimal"/>
      <w:lvlText w:val="%1.%2.%3.%4.%5.%6.%7.%8.%9"/>
      <w:lvlJc w:val="left"/>
      <w:pPr>
        <w:ind w:left="2880" w:hanging="2880"/>
      </w:pPr>
      <w:rPr>
        <w:rFonts w:hint="default"/>
        <w:b w:val="0"/>
      </w:rPr>
    </w:lvl>
  </w:abstractNum>
  <w:abstractNum w:abstractNumId="20" w15:restartNumberingAfterBreak="0">
    <w:nsid w:val="4D0B6DEE"/>
    <w:multiLevelType w:val="multilevel"/>
    <w:tmpl w:val="345AC768"/>
    <w:lvl w:ilvl="0">
      <w:start w:val="2"/>
      <w:numFmt w:val="decimal"/>
      <w:lvlText w:val="%1"/>
      <w:lvlJc w:val="left"/>
      <w:pPr>
        <w:ind w:left="420" w:hanging="42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21" w15:restartNumberingAfterBreak="0">
    <w:nsid w:val="64167BAA"/>
    <w:multiLevelType w:val="hybridMultilevel"/>
    <w:tmpl w:val="4E0C9A10"/>
    <w:lvl w:ilvl="0" w:tplc="3A3EE9F0">
      <w:start w:val="4"/>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6757128"/>
    <w:multiLevelType w:val="multilevel"/>
    <w:tmpl w:val="96D01D10"/>
    <w:lvl w:ilvl="0">
      <w:start w:val="2"/>
      <w:numFmt w:val="decimal"/>
      <w:lvlText w:val="%1"/>
      <w:lvlJc w:val="left"/>
      <w:pPr>
        <w:ind w:left="390" w:hanging="390"/>
      </w:pPr>
      <w:rPr>
        <w:rFonts w:hint="default"/>
        <w:b w:val="0"/>
      </w:rPr>
    </w:lvl>
    <w:lvl w:ilvl="1">
      <w:start w:val="6"/>
      <w:numFmt w:val="decimal"/>
      <w:lvlText w:val="%1.%2"/>
      <w:lvlJc w:val="left"/>
      <w:pPr>
        <w:ind w:left="720" w:hanging="720"/>
      </w:pPr>
      <w:rPr>
        <w:rFonts w:hint="default"/>
        <w:b w:val="0"/>
      </w:rPr>
    </w:lvl>
    <w:lvl w:ilvl="2">
      <w:start w:val="1"/>
      <w:numFmt w:val="decimal"/>
      <w:lvlText w:val="%1.%2.%3"/>
      <w:lvlJc w:val="left"/>
      <w:pPr>
        <w:ind w:left="1080" w:hanging="1080"/>
      </w:pPr>
      <w:rPr>
        <w:rFonts w:hint="default"/>
        <w:b w:val="0"/>
      </w:rPr>
    </w:lvl>
    <w:lvl w:ilvl="3">
      <w:start w:val="1"/>
      <w:numFmt w:val="decimal"/>
      <w:lvlText w:val="%1.%2.%3.%4"/>
      <w:lvlJc w:val="left"/>
      <w:pPr>
        <w:ind w:left="1440" w:hanging="1440"/>
      </w:pPr>
      <w:rPr>
        <w:rFonts w:hint="default"/>
        <w:b w:val="0"/>
      </w:rPr>
    </w:lvl>
    <w:lvl w:ilvl="4">
      <w:start w:val="1"/>
      <w:numFmt w:val="decimal"/>
      <w:lvlText w:val="%1.%2.%3.%4.%5"/>
      <w:lvlJc w:val="left"/>
      <w:pPr>
        <w:ind w:left="1440" w:hanging="1440"/>
      </w:pPr>
      <w:rPr>
        <w:rFonts w:hint="default"/>
        <w:b w:val="0"/>
      </w:rPr>
    </w:lvl>
    <w:lvl w:ilvl="5">
      <w:start w:val="1"/>
      <w:numFmt w:val="decimal"/>
      <w:lvlText w:val="%1.%2.%3.%4.%5.%6"/>
      <w:lvlJc w:val="left"/>
      <w:pPr>
        <w:ind w:left="1800" w:hanging="1800"/>
      </w:pPr>
      <w:rPr>
        <w:rFonts w:hint="default"/>
        <w:b w:val="0"/>
      </w:rPr>
    </w:lvl>
    <w:lvl w:ilvl="6">
      <w:start w:val="1"/>
      <w:numFmt w:val="decimal"/>
      <w:lvlText w:val="%1.%2.%3.%4.%5.%6.%7"/>
      <w:lvlJc w:val="left"/>
      <w:pPr>
        <w:ind w:left="2160" w:hanging="2160"/>
      </w:pPr>
      <w:rPr>
        <w:rFonts w:hint="default"/>
        <w:b w:val="0"/>
      </w:rPr>
    </w:lvl>
    <w:lvl w:ilvl="7">
      <w:start w:val="1"/>
      <w:numFmt w:val="decimal"/>
      <w:lvlText w:val="%1.%2.%3.%4.%5.%6.%7.%8"/>
      <w:lvlJc w:val="left"/>
      <w:pPr>
        <w:ind w:left="2520" w:hanging="2520"/>
      </w:pPr>
      <w:rPr>
        <w:rFonts w:hint="default"/>
        <w:b w:val="0"/>
      </w:rPr>
    </w:lvl>
    <w:lvl w:ilvl="8">
      <w:start w:val="1"/>
      <w:numFmt w:val="decimal"/>
      <w:lvlText w:val="%1.%2.%3.%4.%5.%6.%7.%8.%9"/>
      <w:lvlJc w:val="left"/>
      <w:pPr>
        <w:ind w:left="2880" w:hanging="2880"/>
      </w:pPr>
      <w:rPr>
        <w:rFonts w:hint="default"/>
        <w:b w:val="0"/>
      </w:rPr>
    </w:lvl>
  </w:abstractNum>
  <w:abstractNum w:abstractNumId="23" w15:restartNumberingAfterBreak="0">
    <w:nsid w:val="67543CB0"/>
    <w:multiLevelType w:val="multilevel"/>
    <w:tmpl w:val="638C8A72"/>
    <w:lvl w:ilvl="0">
      <w:start w:val="2"/>
      <w:numFmt w:val="decimal"/>
      <w:lvlText w:val="%1"/>
      <w:lvlJc w:val="left"/>
      <w:pPr>
        <w:ind w:left="390" w:hanging="390"/>
      </w:pPr>
      <w:rPr>
        <w:rFonts w:hint="default"/>
        <w:b w:val="0"/>
      </w:rPr>
    </w:lvl>
    <w:lvl w:ilvl="1">
      <w:start w:val="1"/>
      <w:numFmt w:val="decimal"/>
      <w:lvlText w:val="%1.%2"/>
      <w:lvlJc w:val="left"/>
      <w:pPr>
        <w:ind w:left="720" w:hanging="720"/>
      </w:pPr>
      <w:rPr>
        <w:rFonts w:hint="default"/>
        <w:b/>
        <w:bCs w:val="0"/>
      </w:rPr>
    </w:lvl>
    <w:lvl w:ilvl="2">
      <w:start w:val="1"/>
      <w:numFmt w:val="decimal"/>
      <w:lvlText w:val="%1.%2.%3"/>
      <w:lvlJc w:val="left"/>
      <w:pPr>
        <w:ind w:left="1080" w:hanging="1080"/>
      </w:pPr>
      <w:rPr>
        <w:rFonts w:hint="default"/>
        <w:b w:val="0"/>
      </w:rPr>
    </w:lvl>
    <w:lvl w:ilvl="3">
      <w:start w:val="1"/>
      <w:numFmt w:val="decimal"/>
      <w:lvlText w:val="%1.%2.%3.%4"/>
      <w:lvlJc w:val="left"/>
      <w:pPr>
        <w:ind w:left="1440" w:hanging="1440"/>
      </w:pPr>
      <w:rPr>
        <w:rFonts w:hint="default"/>
        <w:b w:val="0"/>
      </w:rPr>
    </w:lvl>
    <w:lvl w:ilvl="4">
      <w:start w:val="1"/>
      <w:numFmt w:val="decimal"/>
      <w:lvlText w:val="%1.%2.%3.%4.%5"/>
      <w:lvlJc w:val="left"/>
      <w:pPr>
        <w:ind w:left="1440" w:hanging="1440"/>
      </w:pPr>
      <w:rPr>
        <w:rFonts w:hint="default"/>
        <w:b w:val="0"/>
      </w:rPr>
    </w:lvl>
    <w:lvl w:ilvl="5">
      <w:start w:val="1"/>
      <w:numFmt w:val="decimal"/>
      <w:lvlText w:val="%1.%2.%3.%4.%5.%6"/>
      <w:lvlJc w:val="left"/>
      <w:pPr>
        <w:ind w:left="1800" w:hanging="1800"/>
      </w:pPr>
      <w:rPr>
        <w:rFonts w:hint="default"/>
        <w:b w:val="0"/>
      </w:rPr>
    </w:lvl>
    <w:lvl w:ilvl="6">
      <w:start w:val="1"/>
      <w:numFmt w:val="decimal"/>
      <w:lvlText w:val="%1.%2.%3.%4.%5.%6.%7"/>
      <w:lvlJc w:val="left"/>
      <w:pPr>
        <w:ind w:left="2160" w:hanging="2160"/>
      </w:pPr>
      <w:rPr>
        <w:rFonts w:hint="default"/>
        <w:b w:val="0"/>
      </w:rPr>
    </w:lvl>
    <w:lvl w:ilvl="7">
      <w:start w:val="1"/>
      <w:numFmt w:val="decimal"/>
      <w:lvlText w:val="%1.%2.%3.%4.%5.%6.%7.%8"/>
      <w:lvlJc w:val="left"/>
      <w:pPr>
        <w:ind w:left="2520" w:hanging="2520"/>
      </w:pPr>
      <w:rPr>
        <w:rFonts w:hint="default"/>
        <w:b w:val="0"/>
      </w:rPr>
    </w:lvl>
    <w:lvl w:ilvl="8">
      <w:start w:val="1"/>
      <w:numFmt w:val="decimal"/>
      <w:lvlText w:val="%1.%2.%3.%4.%5.%6.%7.%8.%9"/>
      <w:lvlJc w:val="left"/>
      <w:pPr>
        <w:ind w:left="2880" w:hanging="2880"/>
      </w:pPr>
      <w:rPr>
        <w:rFonts w:hint="default"/>
        <w:b w:val="0"/>
      </w:rPr>
    </w:lvl>
  </w:abstractNum>
  <w:abstractNum w:abstractNumId="24" w15:restartNumberingAfterBreak="0">
    <w:nsid w:val="69A658B4"/>
    <w:multiLevelType w:val="multilevel"/>
    <w:tmpl w:val="943AD9A2"/>
    <w:lvl w:ilvl="0">
      <w:start w:val="1"/>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25" w15:restartNumberingAfterBreak="0">
    <w:nsid w:val="69C20BB4"/>
    <w:multiLevelType w:val="multilevel"/>
    <w:tmpl w:val="348A0B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0D31078"/>
    <w:multiLevelType w:val="multilevel"/>
    <w:tmpl w:val="DE3433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4CA2CAA"/>
    <w:multiLevelType w:val="multilevel"/>
    <w:tmpl w:val="438A5DB8"/>
    <w:lvl w:ilvl="0">
      <w:start w:val="2"/>
      <w:numFmt w:val="decimal"/>
      <w:lvlText w:val="%1"/>
      <w:lvlJc w:val="left"/>
      <w:pPr>
        <w:ind w:left="390" w:hanging="390"/>
      </w:pPr>
      <w:rPr>
        <w:rFonts w:hint="default"/>
        <w:b w:val="0"/>
      </w:rPr>
    </w:lvl>
    <w:lvl w:ilvl="1">
      <w:start w:val="1"/>
      <w:numFmt w:val="decimal"/>
      <w:lvlText w:val="%1.%2"/>
      <w:lvlJc w:val="left"/>
      <w:pPr>
        <w:ind w:left="720" w:hanging="720"/>
      </w:pPr>
      <w:rPr>
        <w:rFonts w:hint="default"/>
        <w:b w:val="0"/>
      </w:rPr>
    </w:lvl>
    <w:lvl w:ilvl="2">
      <w:start w:val="1"/>
      <w:numFmt w:val="decimal"/>
      <w:lvlText w:val="%1.%2.%3"/>
      <w:lvlJc w:val="left"/>
      <w:pPr>
        <w:ind w:left="1080" w:hanging="1080"/>
      </w:pPr>
      <w:rPr>
        <w:rFonts w:hint="default"/>
        <w:b w:val="0"/>
      </w:rPr>
    </w:lvl>
    <w:lvl w:ilvl="3">
      <w:start w:val="1"/>
      <w:numFmt w:val="decimal"/>
      <w:lvlText w:val="%1.%2.%3.%4"/>
      <w:lvlJc w:val="left"/>
      <w:pPr>
        <w:ind w:left="1440" w:hanging="1440"/>
      </w:pPr>
      <w:rPr>
        <w:rFonts w:hint="default"/>
        <w:b w:val="0"/>
      </w:rPr>
    </w:lvl>
    <w:lvl w:ilvl="4">
      <w:start w:val="1"/>
      <w:numFmt w:val="decimal"/>
      <w:lvlText w:val="%1.%2.%3.%4.%5"/>
      <w:lvlJc w:val="left"/>
      <w:pPr>
        <w:ind w:left="1440" w:hanging="1440"/>
      </w:pPr>
      <w:rPr>
        <w:rFonts w:hint="default"/>
        <w:b w:val="0"/>
      </w:rPr>
    </w:lvl>
    <w:lvl w:ilvl="5">
      <w:start w:val="1"/>
      <w:numFmt w:val="decimal"/>
      <w:lvlText w:val="%1.%2.%3.%4.%5.%6"/>
      <w:lvlJc w:val="left"/>
      <w:pPr>
        <w:ind w:left="1800" w:hanging="1800"/>
      </w:pPr>
      <w:rPr>
        <w:rFonts w:hint="default"/>
        <w:b w:val="0"/>
      </w:rPr>
    </w:lvl>
    <w:lvl w:ilvl="6">
      <w:start w:val="1"/>
      <w:numFmt w:val="decimal"/>
      <w:lvlText w:val="%1.%2.%3.%4.%5.%6.%7"/>
      <w:lvlJc w:val="left"/>
      <w:pPr>
        <w:ind w:left="2160" w:hanging="2160"/>
      </w:pPr>
      <w:rPr>
        <w:rFonts w:hint="default"/>
        <w:b w:val="0"/>
      </w:rPr>
    </w:lvl>
    <w:lvl w:ilvl="7">
      <w:start w:val="1"/>
      <w:numFmt w:val="decimal"/>
      <w:lvlText w:val="%1.%2.%3.%4.%5.%6.%7.%8"/>
      <w:lvlJc w:val="left"/>
      <w:pPr>
        <w:ind w:left="2520" w:hanging="2520"/>
      </w:pPr>
      <w:rPr>
        <w:rFonts w:hint="default"/>
        <w:b w:val="0"/>
      </w:rPr>
    </w:lvl>
    <w:lvl w:ilvl="8">
      <w:start w:val="1"/>
      <w:numFmt w:val="decimal"/>
      <w:lvlText w:val="%1.%2.%3.%4.%5.%6.%7.%8.%9"/>
      <w:lvlJc w:val="left"/>
      <w:pPr>
        <w:ind w:left="2880" w:hanging="2880"/>
      </w:pPr>
      <w:rPr>
        <w:rFonts w:hint="default"/>
        <w:b w:val="0"/>
      </w:rPr>
    </w:lvl>
  </w:abstractNum>
  <w:abstractNum w:abstractNumId="28" w15:restartNumberingAfterBreak="0">
    <w:nsid w:val="781B0888"/>
    <w:multiLevelType w:val="multilevel"/>
    <w:tmpl w:val="F62801CA"/>
    <w:lvl w:ilvl="0">
      <w:start w:val="1"/>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num w:numId="1">
    <w:abstractNumId w:val="18"/>
  </w:num>
  <w:num w:numId="2">
    <w:abstractNumId w:val="6"/>
  </w:num>
  <w:num w:numId="3">
    <w:abstractNumId w:val="17"/>
  </w:num>
  <w:num w:numId="4">
    <w:abstractNumId w:val="7"/>
  </w:num>
  <w:num w:numId="5">
    <w:abstractNumId w:val="13"/>
  </w:num>
  <w:num w:numId="6">
    <w:abstractNumId w:val="15"/>
  </w:num>
  <w:num w:numId="7">
    <w:abstractNumId w:val="22"/>
  </w:num>
  <w:num w:numId="8">
    <w:abstractNumId w:val="12"/>
  </w:num>
  <w:num w:numId="9">
    <w:abstractNumId w:val="19"/>
  </w:num>
  <w:num w:numId="10">
    <w:abstractNumId w:val="14"/>
  </w:num>
  <w:num w:numId="11">
    <w:abstractNumId w:val="4"/>
  </w:num>
  <w:num w:numId="12">
    <w:abstractNumId w:val="3"/>
  </w:num>
  <w:num w:numId="13">
    <w:abstractNumId w:val="11"/>
  </w:num>
  <w:num w:numId="14">
    <w:abstractNumId w:val="1"/>
  </w:num>
  <w:num w:numId="15">
    <w:abstractNumId w:val="5"/>
  </w:num>
  <w:num w:numId="16">
    <w:abstractNumId w:val="21"/>
  </w:num>
  <w:num w:numId="17">
    <w:abstractNumId w:val="0"/>
  </w:num>
  <w:num w:numId="18">
    <w:abstractNumId w:val="16"/>
  </w:num>
  <w:num w:numId="19">
    <w:abstractNumId w:val="2"/>
  </w:num>
  <w:num w:numId="20">
    <w:abstractNumId w:val="28"/>
  </w:num>
  <w:num w:numId="21">
    <w:abstractNumId w:val="24"/>
  </w:num>
  <w:num w:numId="22">
    <w:abstractNumId w:val="27"/>
  </w:num>
  <w:num w:numId="23">
    <w:abstractNumId w:val="23"/>
  </w:num>
  <w:num w:numId="24">
    <w:abstractNumId w:val="10"/>
  </w:num>
  <w:num w:numId="25">
    <w:abstractNumId w:val="25"/>
  </w:num>
  <w:num w:numId="26">
    <w:abstractNumId w:val="9"/>
  </w:num>
  <w:num w:numId="27">
    <w:abstractNumId w:val="20"/>
  </w:num>
  <w:num w:numId="28">
    <w:abstractNumId w:val="26"/>
  </w:num>
  <w:num w:numId="2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7"/>
  <w:proofState w:spelling="clean" w:grammar="clean"/>
  <w:defaultTabStop w:val="720"/>
  <w:characterSpacingControl w:val="doNotCompress"/>
  <w:hdrShapeDefaults>
    <o:shapedefaults v:ext="edit" spidmax="1843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1E15"/>
    <w:rsid w:val="00000F19"/>
    <w:rsid w:val="0000107D"/>
    <w:rsid w:val="00003888"/>
    <w:rsid w:val="00003E9C"/>
    <w:rsid w:val="000043F8"/>
    <w:rsid w:val="0000537F"/>
    <w:rsid w:val="000058F5"/>
    <w:rsid w:val="0000780F"/>
    <w:rsid w:val="00011E5B"/>
    <w:rsid w:val="0001239C"/>
    <w:rsid w:val="00014872"/>
    <w:rsid w:val="000158B6"/>
    <w:rsid w:val="000178E3"/>
    <w:rsid w:val="000211C1"/>
    <w:rsid w:val="000258A0"/>
    <w:rsid w:val="00027595"/>
    <w:rsid w:val="000348EA"/>
    <w:rsid w:val="000405FC"/>
    <w:rsid w:val="00041F89"/>
    <w:rsid w:val="000452DD"/>
    <w:rsid w:val="00045B2E"/>
    <w:rsid w:val="00051CEF"/>
    <w:rsid w:val="00055AE7"/>
    <w:rsid w:val="000607DD"/>
    <w:rsid w:val="00061B6B"/>
    <w:rsid w:val="000628F5"/>
    <w:rsid w:val="000638D4"/>
    <w:rsid w:val="00066AE6"/>
    <w:rsid w:val="00067766"/>
    <w:rsid w:val="00072399"/>
    <w:rsid w:val="00073D0A"/>
    <w:rsid w:val="0008252B"/>
    <w:rsid w:val="00082B76"/>
    <w:rsid w:val="00086759"/>
    <w:rsid w:val="00087740"/>
    <w:rsid w:val="00094628"/>
    <w:rsid w:val="00094ECD"/>
    <w:rsid w:val="000A1119"/>
    <w:rsid w:val="000A5579"/>
    <w:rsid w:val="000B1021"/>
    <w:rsid w:val="000B544E"/>
    <w:rsid w:val="000B6664"/>
    <w:rsid w:val="000B7323"/>
    <w:rsid w:val="000C197F"/>
    <w:rsid w:val="000C50F2"/>
    <w:rsid w:val="000C70FE"/>
    <w:rsid w:val="000D50D1"/>
    <w:rsid w:val="000E71C0"/>
    <w:rsid w:val="000F0BEC"/>
    <w:rsid w:val="000F2438"/>
    <w:rsid w:val="000F3CF1"/>
    <w:rsid w:val="0010164A"/>
    <w:rsid w:val="001026DF"/>
    <w:rsid w:val="00104F66"/>
    <w:rsid w:val="001078CF"/>
    <w:rsid w:val="001133A8"/>
    <w:rsid w:val="0011485F"/>
    <w:rsid w:val="00123B76"/>
    <w:rsid w:val="001311CD"/>
    <w:rsid w:val="00131E2E"/>
    <w:rsid w:val="00133FE4"/>
    <w:rsid w:val="00135334"/>
    <w:rsid w:val="0013772D"/>
    <w:rsid w:val="00137EC2"/>
    <w:rsid w:val="00140E27"/>
    <w:rsid w:val="00141E3F"/>
    <w:rsid w:val="0014268A"/>
    <w:rsid w:val="00142D65"/>
    <w:rsid w:val="00144662"/>
    <w:rsid w:val="00146F8F"/>
    <w:rsid w:val="00152CB7"/>
    <w:rsid w:val="0015475D"/>
    <w:rsid w:val="00155340"/>
    <w:rsid w:val="001644D5"/>
    <w:rsid w:val="00165D47"/>
    <w:rsid w:val="00166DB0"/>
    <w:rsid w:val="00171443"/>
    <w:rsid w:val="00171563"/>
    <w:rsid w:val="00171960"/>
    <w:rsid w:val="001723BC"/>
    <w:rsid w:val="00173770"/>
    <w:rsid w:val="001737E1"/>
    <w:rsid w:val="00175698"/>
    <w:rsid w:val="00177E5A"/>
    <w:rsid w:val="00182084"/>
    <w:rsid w:val="00191309"/>
    <w:rsid w:val="001934EF"/>
    <w:rsid w:val="00196071"/>
    <w:rsid w:val="00197391"/>
    <w:rsid w:val="00197868"/>
    <w:rsid w:val="001A586D"/>
    <w:rsid w:val="001B163D"/>
    <w:rsid w:val="001B1870"/>
    <w:rsid w:val="001B3AB7"/>
    <w:rsid w:val="001B52E2"/>
    <w:rsid w:val="001B61D1"/>
    <w:rsid w:val="001B67E5"/>
    <w:rsid w:val="001B788F"/>
    <w:rsid w:val="001B7F43"/>
    <w:rsid w:val="001C1557"/>
    <w:rsid w:val="001C1BFE"/>
    <w:rsid w:val="001C3F9E"/>
    <w:rsid w:val="001C5611"/>
    <w:rsid w:val="001C60BB"/>
    <w:rsid w:val="001C6FAE"/>
    <w:rsid w:val="001C7829"/>
    <w:rsid w:val="001D2ED1"/>
    <w:rsid w:val="001D47B7"/>
    <w:rsid w:val="00200CA0"/>
    <w:rsid w:val="00201323"/>
    <w:rsid w:val="00203B30"/>
    <w:rsid w:val="00206199"/>
    <w:rsid w:val="00211151"/>
    <w:rsid w:val="00212221"/>
    <w:rsid w:val="002138BD"/>
    <w:rsid w:val="00223569"/>
    <w:rsid w:val="002239C9"/>
    <w:rsid w:val="00225AFA"/>
    <w:rsid w:val="0022772B"/>
    <w:rsid w:val="00227D9B"/>
    <w:rsid w:val="0023253B"/>
    <w:rsid w:val="002337F9"/>
    <w:rsid w:val="00235CCA"/>
    <w:rsid w:val="00241309"/>
    <w:rsid w:val="00241A04"/>
    <w:rsid w:val="002425A6"/>
    <w:rsid w:val="002460E7"/>
    <w:rsid w:val="00246D81"/>
    <w:rsid w:val="00247948"/>
    <w:rsid w:val="00252277"/>
    <w:rsid w:val="00254992"/>
    <w:rsid w:val="00254B0D"/>
    <w:rsid w:val="002569CA"/>
    <w:rsid w:val="00262DDC"/>
    <w:rsid w:val="002637E3"/>
    <w:rsid w:val="00283DAF"/>
    <w:rsid w:val="00287ED9"/>
    <w:rsid w:val="002915E7"/>
    <w:rsid w:val="00291957"/>
    <w:rsid w:val="00293473"/>
    <w:rsid w:val="00293A6B"/>
    <w:rsid w:val="00294F00"/>
    <w:rsid w:val="0029723A"/>
    <w:rsid w:val="002A1049"/>
    <w:rsid w:val="002A2BF0"/>
    <w:rsid w:val="002A5A8D"/>
    <w:rsid w:val="002B0C76"/>
    <w:rsid w:val="002B0D76"/>
    <w:rsid w:val="002B13D2"/>
    <w:rsid w:val="002B1E7F"/>
    <w:rsid w:val="002B2CB9"/>
    <w:rsid w:val="002B48BC"/>
    <w:rsid w:val="002B5CFD"/>
    <w:rsid w:val="002B5E4E"/>
    <w:rsid w:val="002B5F57"/>
    <w:rsid w:val="002B654B"/>
    <w:rsid w:val="002B6E61"/>
    <w:rsid w:val="002C28C4"/>
    <w:rsid w:val="002C4D18"/>
    <w:rsid w:val="002C7CB0"/>
    <w:rsid w:val="002C7E5E"/>
    <w:rsid w:val="002D043F"/>
    <w:rsid w:val="002D1E4C"/>
    <w:rsid w:val="002D2E5A"/>
    <w:rsid w:val="002D2FB8"/>
    <w:rsid w:val="002E3867"/>
    <w:rsid w:val="002E5C7A"/>
    <w:rsid w:val="002E7834"/>
    <w:rsid w:val="002E79BB"/>
    <w:rsid w:val="003076FC"/>
    <w:rsid w:val="00310221"/>
    <w:rsid w:val="00311864"/>
    <w:rsid w:val="00311E71"/>
    <w:rsid w:val="00313725"/>
    <w:rsid w:val="00313801"/>
    <w:rsid w:val="00314AE2"/>
    <w:rsid w:val="00314C3F"/>
    <w:rsid w:val="00314DD6"/>
    <w:rsid w:val="00320223"/>
    <w:rsid w:val="00320D6C"/>
    <w:rsid w:val="00326A85"/>
    <w:rsid w:val="0032762D"/>
    <w:rsid w:val="0032765F"/>
    <w:rsid w:val="0033323C"/>
    <w:rsid w:val="00335C0C"/>
    <w:rsid w:val="00337F2F"/>
    <w:rsid w:val="003455CA"/>
    <w:rsid w:val="00346276"/>
    <w:rsid w:val="0034768B"/>
    <w:rsid w:val="00350463"/>
    <w:rsid w:val="0035153F"/>
    <w:rsid w:val="00354E2B"/>
    <w:rsid w:val="0035693B"/>
    <w:rsid w:val="00356D26"/>
    <w:rsid w:val="00362F4A"/>
    <w:rsid w:val="00364311"/>
    <w:rsid w:val="00364CDE"/>
    <w:rsid w:val="003728AB"/>
    <w:rsid w:val="003738D4"/>
    <w:rsid w:val="00373E19"/>
    <w:rsid w:val="00377012"/>
    <w:rsid w:val="0037720E"/>
    <w:rsid w:val="00381EC8"/>
    <w:rsid w:val="003836F7"/>
    <w:rsid w:val="00383F29"/>
    <w:rsid w:val="0039129D"/>
    <w:rsid w:val="0039431A"/>
    <w:rsid w:val="00394D60"/>
    <w:rsid w:val="003A143A"/>
    <w:rsid w:val="003B1F63"/>
    <w:rsid w:val="003B5850"/>
    <w:rsid w:val="003C35DE"/>
    <w:rsid w:val="003C69F9"/>
    <w:rsid w:val="003C75E4"/>
    <w:rsid w:val="003D0211"/>
    <w:rsid w:val="003D6982"/>
    <w:rsid w:val="003E2BE0"/>
    <w:rsid w:val="003E4BC6"/>
    <w:rsid w:val="003E6B6F"/>
    <w:rsid w:val="003F2B5D"/>
    <w:rsid w:val="0041090E"/>
    <w:rsid w:val="004133C0"/>
    <w:rsid w:val="004142D9"/>
    <w:rsid w:val="00414447"/>
    <w:rsid w:val="0043062F"/>
    <w:rsid w:val="00434423"/>
    <w:rsid w:val="00436040"/>
    <w:rsid w:val="00436B04"/>
    <w:rsid w:val="004373DF"/>
    <w:rsid w:val="0044195B"/>
    <w:rsid w:val="004434EE"/>
    <w:rsid w:val="00444170"/>
    <w:rsid w:val="00445B96"/>
    <w:rsid w:val="00447A17"/>
    <w:rsid w:val="00450F5A"/>
    <w:rsid w:val="004559BE"/>
    <w:rsid w:val="0045633F"/>
    <w:rsid w:val="00460DF0"/>
    <w:rsid w:val="00462A71"/>
    <w:rsid w:val="00472F85"/>
    <w:rsid w:val="00481882"/>
    <w:rsid w:val="00487409"/>
    <w:rsid w:val="004877C6"/>
    <w:rsid w:val="00491656"/>
    <w:rsid w:val="004924C3"/>
    <w:rsid w:val="004A3AC4"/>
    <w:rsid w:val="004B1516"/>
    <w:rsid w:val="004B207C"/>
    <w:rsid w:val="004B2E21"/>
    <w:rsid w:val="004B300F"/>
    <w:rsid w:val="004B3688"/>
    <w:rsid w:val="004D0B31"/>
    <w:rsid w:val="004D3D1F"/>
    <w:rsid w:val="004E201D"/>
    <w:rsid w:val="004E45B8"/>
    <w:rsid w:val="004E4A39"/>
    <w:rsid w:val="004F11D7"/>
    <w:rsid w:val="004F2986"/>
    <w:rsid w:val="004F6A7F"/>
    <w:rsid w:val="00501257"/>
    <w:rsid w:val="005015FC"/>
    <w:rsid w:val="0050165C"/>
    <w:rsid w:val="00501F0F"/>
    <w:rsid w:val="0051421B"/>
    <w:rsid w:val="00515915"/>
    <w:rsid w:val="00520B1D"/>
    <w:rsid w:val="0052211B"/>
    <w:rsid w:val="005235B1"/>
    <w:rsid w:val="0052432F"/>
    <w:rsid w:val="00526501"/>
    <w:rsid w:val="00535147"/>
    <w:rsid w:val="00535D57"/>
    <w:rsid w:val="005379CC"/>
    <w:rsid w:val="005413D1"/>
    <w:rsid w:val="0054695F"/>
    <w:rsid w:val="00557639"/>
    <w:rsid w:val="00562724"/>
    <w:rsid w:val="00565060"/>
    <w:rsid w:val="005707E4"/>
    <w:rsid w:val="00570FDB"/>
    <w:rsid w:val="00571C06"/>
    <w:rsid w:val="00572BA9"/>
    <w:rsid w:val="00577309"/>
    <w:rsid w:val="005807E1"/>
    <w:rsid w:val="00582237"/>
    <w:rsid w:val="00587C80"/>
    <w:rsid w:val="005A02FC"/>
    <w:rsid w:val="005A18DF"/>
    <w:rsid w:val="005A3E53"/>
    <w:rsid w:val="005A6101"/>
    <w:rsid w:val="005B1196"/>
    <w:rsid w:val="005B4D32"/>
    <w:rsid w:val="005B57EC"/>
    <w:rsid w:val="005B6D82"/>
    <w:rsid w:val="005C229F"/>
    <w:rsid w:val="005C37DA"/>
    <w:rsid w:val="005C57D9"/>
    <w:rsid w:val="005C5D9B"/>
    <w:rsid w:val="005D061A"/>
    <w:rsid w:val="005D26A6"/>
    <w:rsid w:val="005D39ED"/>
    <w:rsid w:val="005D5DCB"/>
    <w:rsid w:val="005E7F09"/>
    <w:rsid w:val="005F6B74"/>
    <w:rsid w:val="00603F63"/>
    <w:rsid w:val="0060660F"/>
    <w:rsid w:val="006071E7"/>
    <w:rsid w:val="00621571"/>
    <w:rsid w:val="00621A06"/>
    <w:rsid w:val="00626B03"/>
    <w:rsid w:val="006275FA"/>
    <w:rsid w:val="00630D03"/>
    <w:rsid w:val="006311AD"/>
    <w:rsid w:val="0063193C"/>
    <w:rsid w:val="0063327B"/>
    <w:rsid w:val="00633BE2"/>
    <w:rsid w:val="00637326"/>
    <w:rsid w:val="006374FC"/>
    <w:rsid w:val="00637D5F"/>
    <w:rsid w:val="00640693"/>
    <w:rsid w:val="0064506A"/>
    <w:rsid w:val="006460EA"/>
    <w:rsid w:val="006467F4"/>
    <w:rsid w:val="00646A61"/>
    <w:rsid w:val="00647ACF"/>
    <w:rsid w:val="00651856"/>
    <w:rsid w:val="0065188E"/>
    <w:rsid w:val="0065349E"/>
    <w:rsid w:val="00653C56"/>
    <w:rsid w:val="00657378"/>
    <w:rsid w:val="00657FD5"/>
    <w:rsid w:val="00664279"/>
    <w:rsid w:val="0067459D"/>
    <w:rsid w:val="00674696"/>
    <w:rsid w:val="00676EB2"/>
    <w:rsid w:val="00680184"/>
    <w:rsid w:val="0068279D"/>
    <w:rsid w:val="006853A9"/>
    <w:rsid w:val="006875E1"/>
    <w:rsid w:val="00692EB0"/>
    <w:rsid w:val="006962E8"/>
    <w:rsid w:val="006969F9"/>
    <w:rsid w:val="006B0AED"/>
    <w:rsid w:val="006B1576"/>
    <w:rsid w:val="006B31F6"/>
    <w:rsid w:val="006B341C"/>
    <w:rsid w:val="006B36C0"/>
    <w:rsid w:val="006B3D77"/>
    <w:rsid w:val="006B3DA0"/>
    <w:rsid w:val="006B484B"/>
    <w:rsid w:val="006B497C"/>
    <w:rsid w:val="006C236F"/>
    <w:rsid w:val="006C24E0"/>
    <w:rsid w:val="006C3322"/>
    <w:rsid w:val="006C6BF7"/>
    <w:rsid w:val="006D1E15"/>
    <w:rsid w:val="006D2509"/>
    <w:rsid w:val="006D41E1"/>
    <w:rsid w:val="006E28CE"/>
    <w:rsid w:val="006E3538"/>
    <w:rsid w:val="006F1D58"/>
    <w:rsid w:val="006F36EB"/>
    <w:rsid w:val="006F3DC0"/>
    <w:rsid w:val="006F7E0F"/>
    <w:rsid w:val="007063C1"/>
    <w:rsid w:val="007077A3"/>
    <w:rsid w:val="007151E5"/>
    <w:rsid w:val="007158C0"/>
    <w:rsid w:val="00716E93"/>
    <w:rsid w:val="0072272B"/>
    <w:rsid w:val="00723607"/>
    <w:rsid w:val="007246C5"/>
    <w:rsid w:val="00724A73"/>
    <w:rsid w:val="0072619D"/>
    <w:rsid w:val="007318DB"/>
    <w:rsid w:val="00732BDF"/>
    <w:rsid w:val="007333AE"/>
    <w:rsid w:val="0073458D"/>
    <w:rsid w:val="00736F0B"/>
    <w:rsid w:val="00750DEF"/>
    <w:rsid w:val="00752A28"/>
    <w:rsid w:val="00755172"/>
    <w:rsid w:val="00760063"/>
    <w:rsid w:val="00760343"/>
    <w:rsid w:val="0076067D"/>
    <w:rsid w:val="00760926"/>
    <w:rsid w:val="00763128"/>
    <w:rsid w:val="00770474"/>
    <w:rsid w:val="00770A5A"/>
    <w:rsid w:val="00774D5E"/>
    <w:rsid w:val="00775E4B"/>
    <w:rsid w:val="00776D36"/>
    <w:rsid w:val="007809A5"/>
    <w:rsid w:val="00782C21"/>
    <w:rsid w:val="0078376E"/>
    <w:rsid w:val="0078596C"/>
    <w:rsid w:val="00786842"/>
    <w:rsid w:val="00791680"/>
    <w:rsid w:val="007925D6"/>
    <w:rsid w:val="007938B3"/>
    <w:rsid w:val="00797B41"/>
    <w:rsid w:val="007A505C"/>
    <w:rsid w:val="007A67BE"/>
    <w:rsid w:val="007A6ADB"/>
    <w:rsid w:val="007B47D3"/>
    <w:rsid w:val="007B4AA5"/>
    <w:rsid w:val="007C2218"/>
    <w:rsid w:val="007C22E9"/>
    <w:rsid w:val="007C269E"/>
    <w:rsid w:val="007C3598"/>
    <w:rsid w:val="007C538D"/>
    <w:rsid w:val="007C6748"/>
    <w:rsid w:val="007D4A73"/>
    <w:rsid w:val="007D52DE"/>
    <w:rsid w:val="007D6E99"/>
    <w:rsid w:val="007E09D8"/>
    <w:rsid w:val="007E194E"/>
    <w:rsid w:val="007E4104"/>
    <w:rsid w:val="007E499B"/>
    <w:rsid w:val="007F54ED"/>
    <w:rsid w:val="007F67A0"/>
    <w:rsid w:val="008024D8"/>
    <w:rsid w:val="00803C95"/>
    <w:rsid w:val="0080760B"/>
    <w:rsid w:val="00812A69"/>
    <w:rsid w:val="00813F25"/>
    <w:rsid w:val="00815D29"/>
    <w:rsid w:val="008225F5"/>
    <w:rsid w:val="00825F8C"/>
    <w:rsid w:val="00831623"/>
    <w:rsid w:val="0083234E"/>
    <w:rsid w:val="008328EA"/>
    <w:rsid w:val="00834EE6"/>
    <w:rsid w:val="008409E9"/>
    <w:rsid w:val="00840ED7"/>
    <w:rsid w:val="00841E60"/>
    <w:rsid w:val="00842757"/>
    <w:rsid w:val="00851C71"/>
    <w:rsid w:val="008560F5"/>
    <w:rsid w:val="0086055E"/>
    <w:rsid w:val="00861181"/>
    <w:rsid w:val="0086188D"/>
    <w:rsid w:val="00864F5F"/>
    <w:rsid w:val="00872075"/>
    <w:rsid w:val="008726F0"/>
    <w:rsid w:val="008739E1"/>
    <w:rsid w:val="008745E5"/>
    <w:rsid w:val="00874D71"/>
    <w:rsid w:val="00890F77"/>
    <w:rsid w:val="00893A4D"/>
    <w:rsid w:val="00896DD8"/>
    <w:rsid w:val="008A05D3"/>
    <w:rsid w:val="008A4B23"/>
    <w:rsid w:val="008A510E"/>
    <w:rsid w:val="008A735D"/>
    <w:rsid w:val="008B017D"/>
    <w:rsid w:val="008B275A"/>
    <w:rsid w:val="008B5FDB"/>
    <w:rsid w:val="008B67F0"/>
    <w:rsid w:val="008B753C"/>
    <w:rsid w:val="008C308F"/>
    <w:rsid w:val="008C58A6"/>
    <w:rsid w:val="008C7B7E"/>
    <w:rsid w:val="008D147F"/>
    <w:rsid w:val="008D29A1"/>
    <w:rsid w:val="008D3517"/>
    <w:rsid w:val="008D3E34"/>
    <w:rsid w:val="008D7C8B"/>
    <w:rsid w:val="008E10AF"/>
    <w:rsid w:val="008E24E4"/>
    <w:rsid w:val="008E31F1"/>
    <w:rsid w:val="008E334C"/>
    <w:rsid w:val="008E6B96"/>
    <w:rsid w:val="008F0A3B"/>
    <w:rsid w:val="008F3BAF"/>
    <w:rsid w:val="008F633A"/>
    <w:rsid w:val="008F69B8"/>
    <w:rsid w:val="00900F0F"/>
    <w:rsid w:val="009018AB"/>
    <w:rsid w:val="009037E8"/>
    <w:rsid w:val="009051C4"/>
    <w:rsid w:val="00905DB4"/>
    <w:rsid w:val="00906736"/>
    <w:rsid w:val="0091055C"/>
    <w:rsid w:val="009109D3"/>
    <w:rsid w:val="009115B6"/>
    <w:rsid w:val="00913134"/>
    <w:rsid w:val="00920285"/>
    <w:rsid w:val="009207DE"/>
    <w:rsid w:val="00920933"/>
    <w:rsid w:val="00922295"/>
    <w:rsid w:val="00922547"/>
    <w:rsid w:val="00923B8A"/>
    <w:rsid w:val="00926928"/>
    <w:rsid w:val="009313E8"/>
    <w:rsid w:val="00933236"/>
    <w:rsid w:val="009377DB"/>
    <w:rsid w:val="009431E1"/>
    <w:rsid w:val="009440BD"/>
    <w:rsid w:val="00945B0D"/>
    <w:rsid w:val="00946770"/>
    <w:rsid w:val="00950125"/>
    <w:rsid w:val="00953D8A"/>
    <w:rsid w:val="009550A2"/>
    <w:rsid w:val="0095511E"/>
    <w:rsid w:val="009557BF"/>
    <w:rsid w:val="00955EC0"/>
    <w:rsid w:val="00957AAC"/>
    <w:rsid w:val="009615F4"/>
    <w:rsid w:val="00963164"/>
    <w:rsid w:val="00963AC9"/>
    <w:rsid w:val="00965009"/>
    <w:rsid w:val="009718E4"/>
    <w:rsid w:val="00972E1E"/>
    <w:rsid w:val="00973528"/>
    <w:rsid w:val="0097451F"/>
    <w:rsid w:val="0097648D"/>
    <w:rsid w:val="009807F6"/>
    <w:rsid w:val="00982641"/>
    <w:rsid w:val="009848FD"/>
    <w:rsid w:val="009870DE"/>
    <w:rsid w:val="00987D1F"/>
    <w:rsid w:val="009922F2"/>
    <w:rsid w:val="00994C4C"/>
    <w:rsid w:val="00997321"/>
    <w:rsid w:val="009A16F6"/>
    <w:rsid w:val="009A271F"/>
    <w:rsid w:val="009A5409"/>
    <w:rsid w:val="009A6354"/>
    <w:rsid w:val="009A7412"/>
    <w:rsid w:val="009A76B1"/>
    <w:rsid w:val="009B2BD9"/>
    <w:rsid w:val="009C17FA"/>
    <w:rsid w:val="009C293B"/>
    <w:rsid w:val="009C6B89"/>
    <w:rsid w:val="009C7234"/>
    <w:rsid w:val="009C78C2"/>
    <w:rsid w:val="009D0E4A"/>
    <w:rsid w:val="009D15EC"/>
    <w:rsid w:val="009D1943"/>
    <w:rsid w:val="009D36B8"/>
    <w:rsid w:val="009D3FCB"/>
    <w:rsid w:val="009E3D6D"/>
    <w:rsid w:val="009E440A"/>
    <w:rsid w:val="009E6A5E"/>
    <w:rsid w:val="009F0A12"/>
    <w:rsid w:val="009F2B7E"/>
    <w:rsid w:val="009F3236"/>
    <w:rsid w:val="00A03CBC"/>
    <w:rsid w:val="00A04B0D"/>
    <w:rsid w:val="00A077DC"/>
    <w:rsid w:val="00A123B1"/>
    <w:rsid w:val="00A12547"/>
    <w:rsid w:val="00A160C1"/>
    <w:rsid w:val="00A23886"/>
    <w:rsid w:val="00A3190F"/>
    <w:rsid w:val="00A32286"/>
    <w:rsid w:val="00A32487"/>
    <w:rsid w:val="00A3334E"/>
    <w:rsid w:val="00A36D45"/>
    <w:rsid w:val="00A36EB4"/>
    <w:rsid w:val="00A4105B"/>
    <w:rsid w:val="00A41CB1"/>
    <w:rsid w:val="00A639F9"/>
    <w:rsid w:val="00A65006"/>
    <w:rsid w:val="00A67E5F"/>
    <w:rsid w:val="00A70DE7"/>
    <w:rsid w:val="00A754A7"/>
    <w:rsid w:val="00A77C42"/>
    <w:rsid w:val="00A835F5"/>
    <w:rsid w:val="00A86513"/>
    <w:rsid w:val="00A8735D"/>
    <w:rsid w:val="00A95132"/>
    <w:rsid w:val="00A96314"/>
    <w:rsid w:val="00A97A04"/>
    <w:rsid w:val="00AA4CE1"/>
    <w:rsid w:val="00AA7E9E"/>
    <w:rsid w:val="00AB0C3D"/>
    <w:rsid w:val="00AB1513"/>
    <w:rsid w:val="00AB7663"/>
    <w:rsid w:val="00AC0B84"/>
    <w:rsid w:val="00AC1D5D"/>
    <w:rsid w:val="00AC4BF2"/>
    <w:rsid w:val="00AC513E"/>
    <w:rsid w:val="00AD020E"/>
    <w:rsid w:val="00AD0769"/>
    <w:rsid w:val="00AD204E"/>
    <w:rsid w:val="00AD2115"/>
    <w:rsid w:val="00AD6058"/>
    <w:rsid w:val="00AE7972"/>
    <w:rsid w:val="00AF0734"/>
    <w:rsid w:val="00AF32DB"/>
    <w:rsid w:val="00AF61F6"/>
    <w:rsid w:val="00B01378"/>
    <w:rsid w:val="00B027BF"/>
    <w:rsid w:val="00B02BA8"/>
    <w:rsid w:val="00B106E6"/>
    <w:rsid w:val="00B12DBF"/>
    <w:rsid w:val="00B149E5"/>
    <w:rsid w:val="00B17221"/>
    <w:rsid w:val="00B1768E"/>
    <w:rsid w:val="00B21621"/>
    <w:rsid w:val="00B258F1"/>
    <w:rsid w:val="00B269F3"/>
    <w:rsid w:val="00B30B88"/>
    <w:rsid w:val="00B36E0C"/>
    <w:rsid w:val="00B37221"/>
    <w:rsid w:val="00B37C11"/>
    <w:rsid w:val="00B4291E"/>
    <w:rsid w:val="00B45344"/>
    <w:rsid w:val="00B50D99"/>
    <w:rsid w:val="00B50F71"/>
    <w:rsid w:val="00B542B1"/>
    <w:rsid w:val="00B54813"/>
    <w:rsid w:val="00B56CBD"/>
    <w:rsid w:val="00B60A09"/>
    <w:rsid w:val="00B62CAD"/>
    <w:rsid w:val="00B64109"/>
    <w:rsid w:val="00B6487E"/>
    <w:rsid w:val="00B70602"/>
    <w:rsid w:val="00B71786"/>
    <w:rsid w:val="00B76956"/>
    <w:rsid w:val="00B814FB"/>
    <w:rsid w:val="00B82CA3"/>
    <w:rsid w:val="00B85347"/>
    <w:rsid w:val="00B8638E"/>
    <w:rsid w:val="00B87592"/>
    <w:rsid w:val="00B87F28"/>
    <w:rsid w:val="00B91D91"/>
    <w:rsid w:val="00B92968"/>
    <w:rsid w:val="00B92BFA"/>
    <w:rsid w:val="00B94CE0"/>
    <w:rsid w:val="00B94DF0"/>
    <w:rsid w:val="00BA00B1"/>
    <w:rsid w:val="00BA1112"/>
    <w:rsid w:val="00BA1BD3"/>
    <w:rsid w:val="00BA33AC"/>
    <w:rsid w:val="00BB1CA7"/>
    <w:rsid w:val="00BB3A40"/>
    <w:rsid w:val="00BB5CBC"/>
    <w:rsid w:val="00BC1500"/>
    <w:rsid w:val="00BC1E6B"/>
    <w:rsid w:val="00BC640D"/>
    <w:rsid w:val="00BD06B9"/>
    <w:rsid w:val="00BD0BED"/>
    <w:rsid w:val="00BD7C41"/>
    <w:rsid w:val="00BE076D"/>
    <w:rsid w:val="00BE45C4"/>
    <w:rsid w:val="00BE5D0A"/>
    <w:rsid w:val="00BF144D"/>
    <w:rsid w:val="00BF238B"/>
    <w:rsid w:val="00BF2D58"/>
    <w:rsid w:val="00BF6669"/>
    <w:rsid w:val="00BF7D6B"/>
    <w:rsid w:val="00C003A1"/>
    <w:rsid w:val="00C0304D"/>
    <w:rsid w:val="00C04A93"/>
    <w:rsid w:val="00C06421"/>
    <w:rsid w:val="00C12384"/>
    <w:rsid w:val="00C157CE"/>
    <w:rsid w:val="00C1582C"/>
    <w:rsid w:val="00C16623"/>
    <w:rsid w:val="00C17915"/>
    <w:rsid w:val="00C22465"/>
    <w:rsid w:val="00C22B6E"/>
    <w:rsid w:val="00C251B9"/>
    <w:rsid w:val="00C259E0"/>
    <w:rsid w:val="00C320EF"/>
    <w:rsid w:val="00C32C94"/>
    <w:rsid w:val="00C33445"/>
    <w:rsid w:val="00C3562D"/>
    <w:rsid w:val="00C42BDD"/>
    <w:rsid w:val="00C525FE"/>
    <w:rsid w:val="00C5571F"/>
    <w:rsid w:val="00C566E9"/>
    <w:rsid w:val="00C60ADD"/>
    <w:rsid w:val="00C62DCF"/>
    <w:rsid w:val="00C633B3"/>
    <w:rsid w:val="00C70FB4"/>
    <w:rsid w:val="00C71D53"/>
    <w:rsid w:val="00C76DFB"/>
    <w:rsid w:val="00C77FDE"/>
    <w:rsid w:val="00C81A75"/>
    <w:rsid w:val="00C86994"/>
    <w:rsid w:val="00C9200F"/>
    <w:rsid w:val="00C93E39"/>
    <w:rsid w:val="00C94655"/>
    <w:rsid w:val="00C966B3"/>
    <w:rsid w:val="00CA01F3"/>
    <w:rsid w:val="00CA350A"/>
    <w:rsid w:val="00CA53BD"/>
    <w:rsid w:val="00CA54A6"/>
    <w:rsid w:val="00CA6410"/>
    <w:rsid w:val="00CB672C"/>
    <w:rsid w:val="00CB739F"/>
    <w:rsid w:val="00CC0322"/>
    <w:rsid w:val="00CC181B"/>
    <w:rsid w:val="00CC1E36"/>
    <w:rsid w:val="00CC59A2"/>
    <w:rsid w:val="00CC656B"/>
    <w:rsid w:val="00CC74A2"/>
    <w:rsid w:val="00CD0FB7"/>
    <w:rsid w:val="00CD2007"/>
    <w:rsid w:val="00CD5104"/>
    <w:rsid w:val="00CD66DD"/>
    <w:rsid w:val="00CD6861"/>
    <w:rsid w:val="00CD6862"/>
    <w:rsid w:val="00CE1D8C"/>
    <w:rsid w:val="00CE1F9E"/>
    <w:rsid w:val="00CE2398"/>
    <w:rsid w:val="00CE3EAF"/>
    <w:rsid w:val="00CE5DF5"/>
    <w:rsid w:val="00CE61B7"/>
    <w:rsid w:val="00CF44B1"/>
    <w:rsid w:val="00CF5C97"/>
    <w:rsid w:val="00D01001"/>
    <w:rsid w:val="00D013F3"/>
    <w:rsid w:val="00D0259B"/>
    <w:rsid w:val="00D037D6"/>
    <w:rsid w:val="00D03CF6"/>
    <w:rsid w:val="00D061EE"/>
    <w:rsid w:val="00D07790"/>
    <w:rsid w:val="00D07CD1"/>
    <w:rsid w:val="00D15B33"/>
    <w:rsid w:val="00D17319"/>
    <w:rsid w:val="00D2710B"/>
    <w:rsid w:val="00D302DC"/>
    <w:rsid w:val="00D37FD6"/>
    <w:rsid w:val="00D43331"/>
    <w:rsid w:val="00D52EDC"/>
    <w:rsid w:val="00D538E7"/>
    <w:rsid w:val="00D539A8"/>
    <w:rsid w:val="00D54256"/>
    <w:rsid w:val="00D54791"/>
    <w:rsid w:val="00D568B9"/>
    <w:rsid w:val="00D655B4"/>
    <w:rsid w:val="00D666F8"/>
    <w:rsid w:val="00D66CB9"/>
    <w:rsid w:val="00D671DE"/>
    <w:rsid w:val="00D70AB4"/>
    <w:rsid w:val="00D70CF6"/>
    <w:rsid w:val="00D70EF6"/>
    <w:rsid w:val="00D73E1F"/>
    <w:rsid w:val="00D73E67"/>
    <w:rsid w:val="00D7441F"/>
    <w:rsid w:val="00D81F33"/>
    <w:rsid w:val="00D82898"/>
    <w:rsid w:val="00D84D85"/>
    <w:rsid w:val="00D85935"/>
    <w:rsid w:val="00D91A6E"/>
    <w:rsid w:val="00D955C8"/>
    <w:rsid w:val="00D95C4C"/>
    <w:rsid w:val="00D96179"/>
    <w:rsid w:val="00D97372"/>
    <w:rsid w:val="00DA16B4"/>
    <w:rsid w:val="00DA338B"/>
    <w:rsid w:val="00DA5ED2"/>
    <w:rsid w:val="00DA6EDE"/>
    <w:rsid w:val="00DB0A0E"/>
    <w:rsid w:val="00DB5258"/>
    <w:rsid w:val="00DB656D"/>
    <w:rsid w:val="00DB7086"/>
    <w:rsid w:val="00DB7DBF"/>
    <w:rsid w:val="00DC13E5"/>
    <w:rsid w:val="00DC2136"/>
    <w:rsid w:val="00DC25DE"/>
    <w:rsid w:val="00DC75CE"/>
    <w:rsid w:val="00DC7E4B"/>
    <w:rsid w:val="00DD040E"/>
    <w:rsid w:val="00DD2A23"/>
    <w:rsid w:val="00DD4CD8"/>
    <w:rsid w:val="00DE25AB"/>
    <w:rsid w:val="00DE35C6"/>
    <w:rsid w:val="00DE5561"/>
    <w:rsid w:val="00DE7F33"/>
    <w:rsid w:val="00DF15BE"/>
    <w:rsid w:val="00DF1AB6"/>
    <w:rsid w:val="00DF3134"/>
    <w:rsid w:val="00DF39A7"/>
    <w:rsid w:val="00DF7905"/>
    <w:rsid w:val="00E021F3"/>
    <w:rsid w:val="00E037DD"/>
    <w:rsid w:val="00E06AC3"/>
    <w:rsid w:val="00E13283"/>
    <w:rsid w:val="00E21F63"/>
    <w:rsid w:val="00E3422A"/>
    <w:rsid w:val="00E423C7"/>
    <w:rsid w:val="00E432EE"/>
    <w:rsid w:val="00E50AE4"/>
    <w:rsid w:val="00E54EAD"/>
    <w:rsid w:val="00E60200"/>
    <w:rsid w:val="00E61791"/>
    <w:rsid w:val="00E64EA6"/>
    <w:rsid w:val="00E6614B"/>
    <w:rsid w:val="00E672F6"/>
    <w:rsid w:val="00E72735"/>
    <w:rsid w:val="00E755E5"/>
    <w:rsid w:val="00E761F5"/>
    <w:rsid w:val="00E76319"/>
    <w:rsid w:val="00E808DC"/>
    <w:rsid w:val="00E80ADD"/>
    <w:rsid w:val="00E82C7C"/>
    <w:rsid w:val="00E87810"/>
    <w:rsid w:val="00E91466"/>
    <w:rsid w:val="00E916A4"/>
    <w:rsid w:val="00E92C7C"/>
    <w:rsid w:val="00E9537B"/>
    <w:rsid w:val="00E95747"/>
    <w:rsid w:val="00EB1E64"/>
    <w:rsid w:val="00EB2428"/>
    <w:rsid w:val="00EB44F0"/>
    <w:rsid w:val="00EB4D54"/>
    <w:rsid w:val="00EB6066"/>
    <w:rsid w:val="00EB757C"/>
    <w:rsid w:val="00EC3714"/>
    <w:rsid w:val="00ED2554"/>
    <w:rsid w:val="00ED6AA5"/>
    <w:rsid w:val="00EE45D7"/>
    <w:rsid w:val="00EE4949"/>
    <w:rsid w:val="00EE7470"/>
    <w:rsid w:val="00EF3104"/>
    <w:rsid w:val="00EF4D47"/>
    <w:rsid w:val="00EF67CB"/>
    <w:rsid w:val="00EF7489"/>
    <w:rsid w:val="00EF770B"/>
    <w:rsid w:val="00F00C1D"/>
    <w:rsid w:val="00F0110C"/>
    <w:rsid w:val="00F06620"/>
    <w:rsid w:val="00F0757B"/>
    <w:rsid w:val="00F12369"/>
    <w:rsid w:val="00F1343E"/>
    <w:rsid w:val="00F15D9C"/>
    <w:rsid w:val="00F1675E"/>
    <w:rsid w:val="00F17815"/>
    <w:rsid w:val="00F21496"/>
    <w:rsid w:val="00F24549"/>
    <w:rsid w:val="00F27028"/>
    <w:rsid w:val="00F313F8"/>
    <w:rsid w:val="00F31DFE"/>
    <w:rsid w:val="00F37A62"/>
    <w:rsid w:val="00F37EDD"/>
    <w:rsid w:val="00F4004C"/>
    <w:rsid w:val="00F41035"/>
    <w:rsid w:val="00F461A0"/>
    <w:rsid w:val="00F47BCC"/>
    <w:rsid w:val="00F47EEF"/>
    <w:rsid w:val="00F518A7"/>
    <w:rsid w:val="00F54C90"/>
    <w:rsid w:val="00F56236"/>
    <w:rsid w:val="00F57CB9"/>
    <w:rsid w:val="00F60359"/>
    <w:rsid w:val="00F628A3"/>
    <w:rsid w:val="00F6360E"/>
    <w:rsid w:val="00F6447B"/>
    <w:rsid w:val="00F64EDA"/>
    <w:rsid w:val="00F661D8"/>
    <w:rsid w:val="00F664FE"/>
    <w:rsid w:val="00F71998"/>
    <w:rsid w:val="00F7219C"/>
    <w:rsid w:val="00F7345E"/>
    <w:rsid w:val="00F750C9"/>
    <w:rsid w:val="00F83C31"/>
    <w:rsid w:val="00F8655E"/>
    <w:rsid w:val="00F878A8"/>
    <w:rsid w:val="00F87E72"/>
    <w:rsid w:val="00F907D2"/>
    <w:rsid w:val="00F9086D"/>
    <w:rsid w:val="00F9344D"/>
    <w:rsid w:val="00F94E33"/>
    <w:rsid w:val="00FA226C"/>
    <w:rsid w:val="00FA2549"/>
    <w:rsid w:val="00FA39B7"/>
    <w:rsid w:val="00FA40F0"/>
    <w:rsid w:val="00FB096B"/>
    <w:rsid w:val="00FB0B1F"/>
    <w:rsid w:val="00FB3126"/>
    <w:rsid w:val="00FB4760"/>
    <w:rsid w:val="00FB6B3E"/>
    <w:rsid w:val="00FB7C82"/>
    <w:rsid w:val="00FC1120"/>
    <w:rsid w:val="00FC2100"/>
    <w:rsid w:val="00FC2C90"/>
    <w:rsid w:val="00FC3C5C"/>
    <w:rsid w:val="00FC75F7"/>
    <w:rsid w:val="00FC767C"/>
    <w:rsid w:val="00FD06A3"/>
    <w:rsid w:val="00FD36AB"/>
    <w:rsid w:val="00FD4D96"/>
    <w:rsid w:val="00FD726A"/>
    <w:rsid w:val="00FD76FD"/>
    <w:rsid w:val="00FE2300"/>
    <w:rsid w:val="00FE38D7"/>
    <w:rsid w:val="00FE5A11"/>
    <w:rsid w:val="00FE7F20"/>
    <w:rsid w:val="00FF0FD0"/>
    <w:rsid w:val="669999B2"/>
    <w:rsid w:val="6C3C698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8434"/>
    <o:shapelayout v:ext="edit">
      <o:idmap v:ext="edit" data="1"/>
    </o:shapelayout>
  </w:shapeDefaults>
  <w:decimalSymbol w:val="."/>
  <w:listSeparator w:val=","/>
  <w14:docId w14:val="78DE3D8F"/>
  <w15:chartTrackingRefBased/>
  <w15:docId w15:val="{F6900DFD-1F73-4F9A-8E22-27A604290A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1E15"/>
    <w:rPr>
      <w:kern w:val="0"/>
      <w14:ligatures w14:val="none"/>
    </w:rPr>
  </w:style>
  <w:style w:type="paragraph" w:styleId="Heading1">
    <w:name w:val="heading 1"/>
    <w:basedOn w:val="Normal"/>
    <w:next w:val="Normal"/>
    <w:link w:val="Heading1Char"/>
    <w:uiPriority w:val="9"/>
    <w:qFormat/>
    <w:rsid w:val="006D1E1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6D1E1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6D1E1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D1E1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D1E1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D1E1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D1E1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D1E1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D1E1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1E1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6D1E1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6D1E1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D1E1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D1E1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D1E1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D1E1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D1E1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D1E15"/>
    <w:rPr>
      <w:rFonts w:eastAsiaTheme="majorEastAsia" w:cstheme="majorBidi"/>
      <w:color w:val="272727" w:themeColor="text1" w:themeTint="D8"/>
    </w:rPr>
  </w:style>
  <w:style w:type="paragraph" w:styleId="Title">
    <w:name w:val="Title"/>
    <w:basedOn w:val="Normal"/>
    <w:next w:val="Normal"/>
    <w:link w:val="TitleChar"/>
    <w:uiPriority w:val="10"/>
    <w:qFormat/>
    <w:rsid w:val="006D1E1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D1E1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D1E1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D1E1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D1E15"/>
    <w:pPr>
      <w:spacing w:before="160"/>
      <w:jc w:val="center"/>
    </w:pPr>
    <w:rPr>
      <w:i/>
      <w:iCs/>
      <w:color w:val="404040" w:themeColor="text1" w:themeTint="BF"/>
    </w:rPr>
  </w:style>
  <w:style w:type="character" w:customStyle="1" w:styleId="QuoteChar">
    <w:name w:val="Quote Char"/>
    <w:basedOn w:val="DefaultParagraphFont"/>
    <w:link w:val="Quote"/>
    <w:uiPriority w:val="29"/>
    <w:rsid w:val="006D1E15"/>
    <w:rPr>
      <w:i/>
      <w:iCs/>
      <w:color w:val="404040" w:themeColor="text1" w:themeTint="BF"/>
    </w:rPr>
  </w:style>
  <w:style w:type="paragraph" w:styleId="ListParagraph">
    <w:name w:val="List Paragraph"/>
    <w:aliases w:val="F5 List Paragraph,List Paragraph1,Dot pt,No Spacing1,List Paragraph Char Char Char,Indicator Text,Numbered Para 1,Bullet Points,MAIN CONTENT,Bullet 1,List Paragraph11,List Paragraph12,List Paragraph2,Normal numbered,OBC Bullet,Bullet Sty"/>
    <w:basedOn w:val="Normal"/>
    <w:link w:val="ListParagraphChar"/>
    <w:uiPriority w:val="34"/>
    <w:qFormat/>
    <w:rsid w:val="006D1E15"/>
    <w:pPr>
      <w:ind w:left="720"/>
      <w:contextualSpacing/>
    </w:pPr>
  </w:style>
  <w:style w:type="character" w:styleId="IntenseEmphasis">
    <w:name w:val="Intense Emphasis"/>
    <w:basedOn w:val="DefaultParagraphFont"/>
    <w:uiPriority w:val="21"/>
    <w:qFormat/>
    <w:rsid w:val="006D1E15"/>
    <w:rPr>
      <w:i/>
      <w:iCs/>
      <w:color w:val="0F4761" w:themeColor="accent1" w:themeShade="BF"/>
    </w:rPr>
  </w:style>
  <w:style w:type="paragraph" w:styleId="IntenseQuote">
    <w:name w:val="Intense Quote"/>
    <w:basedOn w:val="Normal"/>
    <w:next w:val="Normal"/>
    <w:link w:val="IntenseQuoteChar"/>
    <w:uiPriority w:val="30"/>
    <w:qFormat/>
    <w:rsid w:val="006D1E1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D1E15"/>
    <w:rPr>
      <w:i/>
      <w:iCs/>
      <w:color w:val="0F4761" w:themeColor="accent1" w:themeShade="BF"/>
    </w:rPr>
  </w:style>
  <w:style w:type="character" w:styleId="IntenseReference">
    <w:name w:val="Intense Reference"/>
    <w:basedOn w:val="DefaultParagraphFont"/>
    <w:uiPriority w:val="32"/>
    <w:qFormat/>
    <w:rsid w:val="006D1E15"/>
    <w:rPr>
      <w:b/>
      <w:bCs/>
      <w:smallCaps/>
      <w:color w:val="0F4761" w:themeColor="accent1" w:themeShade="BF"/>
      <w:spacing w:val="5"/>
    </w:rPr>
  </w:style>
  <w:style w:type="character" w:customStyle="1" w:styleId="ListParagraphChar">
    <w:name w:val="List Paragraph Char"/>
    <w:aliases w:val="F5 List Paragraph Char,List Paragraph1 Char,Dot pt Char,No Spacing1 Char,List Paragraph Char Char Char Char,Indicator Text Char,Numbered Para 1 Char,Bullet Points Char,MAIN CONTENT Char,Bullet 1 Char,List Paragraph11 Char"/>
    <w:link w:val="ListParagraph"/>
    <w:uiPriority w:val="34"/>
    <w:qFormat/>
    <w:locked/>
    <w:rsid w:val="006D1E15"/>
  </w:style>
  <w:style w:type="paragraph" w:styleId="BodyText">
    <w:name w:val="Body Text"/>
    <w:basedOn w:val="Normal"/>
    <w:link w:val="BodyTextChar"/>
    <w:uiPriority w:val="99"/>
    <w:semiHidden/>
    <w:unhideWhenUsed/>
    <w:rsid w:val="006D1E15"/>
    <w:pPr>
      <w:spacing w:after="120" w:line="276" w:lineRule="auto"/>
    </w:pPr>
    <w:rPr>
      <w:rFonts w:ascii="Perpetua" w:eastAsia="Perpetua" w:hAnsi="Perpetua" w:cs="Times New Roman"/>
      <w:color w:val="000000"/>
      <w:szCs w:val="20"/>
      <w:lang w:val="en-US"/>
    </w:rPr>
  </w:style>
  <w:style w:type="character" w:customStyle="1" w:styleId="BodyTextChar">
    <w:name w:val="Body Text Char"/>
    <w:basedOn w:val="DefaultParagraphFont"/>
    <w:link w:val="BodyText"/>
    <w:uiPriority w:val="99"/>
    <w:semiHidden/>
    <w:rsid w:val="006D1E15"/>
    <w:rPr>
      <w:rFonts w:ascii="Perpetua" w:eastAsia="Perpetua" w:hAnsi="Perpetua" w:cs="Times New Roman"/>
      <w:color w:val="000000"/>
      <w:kern w:val="0"/>
      <w:szCs w:val="20"/>
      <w:lang w:val="en-US"/>
      <w14:ligatures w14:val="none"/>
    </w:rPr>
  </w:style>
  <w:style w:type="paragraph" w:styleId="Header">
    <w:name w:val="header"/>
    <w:basedOn w:val="Normal"/>
    <w:link w:val="HeaderChar"/>
    <w:uiPriority w:val="99"/>
    <w:unhideWhenUsed/>
    <w:rsid w:val="006D1E15"/>
    <w:pPr>
      <w:tabs>
        <w:tab w:val="center" w:pos="4513"/>
        <w:tab w:val="right" w:pos="9026"/>
      </w:tabs>
      <w:spacing w:after="0" w:line="240" w:lineRule="auto"/>
    </w:pPr>
  </w:style>
  <w:style w:type="character" w:customStyle="1" w:styleId="HeaderChar">
    <w:name w:val="Header Char"/>
    <w:basedOn w:val="DefaultParagraphFont"/>
    <w:link w:val="Header"/>
    <w:uiPriority w:val="99"/>
    <w:rsid w:val="006D1E15"/>
    <w:rPr>
      <w:kern w:val="0"/>
      <w14:ligatures w14:val="none"/>
    </w:rPr>
  </w:style>
  <w:style w:type="paragraph" w:styleId="Footer">
    <w:name w:val="footer"/>
    <w:basedOn w:val="Normal"/>
    <w:link w:val="FooterChar"/>
    <w:uiPriority w:val="99"/>
    <w:unhideWhenUsed/>
    <w:rsid w:val="006D1E15"/>
    <w:pPr>
      <w:tabs>
        <w:tab w:val="center" w:pos="4513"/>
        <w:tab w:val="right" w:pos="9026"/>
      </w:tabs>
      <w:spacing w:after="0" w:line="240" w:lineRule="auto"/>
    </w:pPr>
  </w:style>
  <w:style w:type="character" w:customStyle="1" w:styleId="FooterChar">
    <w:name w:val="Footer Char"/>
    <w:basedOn w:val="DefaultParagraphFont"/>
    <w:link w:val="Footer"/>
    <w:uiPriority w:val="99"/>
    <w:rsid w:val="006D1E15"/>
    <w:rPr>
      <w:kern w:val="0"/>
      <w14:ligatures w14:val="none"/>
    </w:rPr>
  </w:style>
  <w:style w:type="table" w:styleId="TableGrid">
    <w:name w:val="Table Grid"/>
    <w:basedOn w:val="TableNormal"/>
    <w:uiPriority w:val="39"/>
    <w:rsid w:val="00B92BFA"/>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i-provider">
    <w:name w:val="ui-provider"/>
    <w:basedOn w:val="DefaultParagraphFont"/>
    <w:rsid w:val="00B92BFA"/>
  </w:style>
  <w:style w:type="paragraph" w:styleId="CommentText">
    <w:name w:val="annotation text"/>
    <w:basedOn w:val="Normal"/>
    <w:link w:val="CommentTextChar"/>
    <w:uiPriority w:val="99"/>
    <w:unhideWhenUsed/>
    <w:rsid w:val="00460DF0"/>
    <w:pPr>
      <w:spacing w:line="240" w:lineRule="auto"/>
    </w:pPr>
    <w:rPr>
      <w:sz w:val="20"/>
      <w:szCs w:val="20"/>
    </w:rPr>
  </w:style>
  <w:style w:type="character" w:customStyle="1" w:styleId="CommentTextChar">
    <w:name w:val="Comment Text Char"/>
    <w:basedOn w:val="DefaultParagraphFont"/>
    <w:link w:val="CommentText"/>
    <w:uiPriority w:val="99"/>
    <w:rsid w:val="00460DF0"/>
    <w:rPr>
      <w:kern w:val="0"/>
      <w:sz w:val="20"/>
      <w:szCs w:val="20"/>
      <w14:ligatures w14:val="none"/>
    </w:rPr>
  </w:style>
  <w:style w:type="character" w:styleId="CommentReference">
    <w:name w:val="annotation reference"/>
    <w:basedOn w:val="DefaultParagraphFont"/>
    <w:uiPriority w:val="99"/>
    <w:semiHidden/>
    <w:unhideWhenUsed/>
    <w:rsid w:val="00D0259B"/>
    <w:rPr>
      <w:sz w:val="16"/>
      <w:szCs w:val="16"/>
    </w:rPr>
  </w:style>
  <w:style w:type="paragraph" w:styleId="CommentSubject">
    <w:name w:val="annotation subject"/>
    <w:basedOn w:val="CommentText"/>
    <w:next w:val="CommentText"/>
    <w:link w:val="CommentSubjectChar"/>
    <w:uiPriority w:val="99"/>
    <w:semiHidden/>
    <w:unhideWhenUsed/>
    <w:rsid w:val="00D0259B"/>
    <w:rPr>
      <w:b/>
      <w:bCs/>
    </w:rPr>
  </w:style>
  <w:style w:type="character" w:customStyle="1" w:styleId="CommentSubjectChar">
    <w:name w:val="Comment Subject Char"/>
    <w:basedOn w:val="CommentTextChar"/>
    <w:link w:val="CommentSubject"/>
    <w:uiPriority w:val="99"/>
    <w:semiHidden/>
    <w:rsid w:val="00D0259B"/>
    <w:rPr>
      <w:b/>
      <w:bCs/>
      <w:kern w:val="0"/>
      <w:sz w:val="20"/>
      <w:szCs w:val="20"/>
      <w14:ligatures w14:val="none"/>
    </w:rPr>
  </w:style>
  <w:style w:type="character" w:styleId="Hyperlink">
    <w:name w:val="Hyperlink"/>
    <w:basedOn w:val="DefaultParagraphFont"/>
    <w:uiPriority w:val="99"/>
    <w:unhideWhenUsed/>
    <w:rsid w:val="00445B96"/>
    <w:rPr>
      <w:color w:val="467886" w:themeColor="hyperlink"/>
      <w:u w:val="single"/>
    </w:rPr>
  </w:style>
  <w:style w:type="character" w:styleId="UnresolvedMention">
    <w:name w:val="Unresolved Mention"/>
    <w:basedOn w:val="DefaultParagraphFont"/>
    <w:uiPriority w:val="99"/>
    <w:semiHidden/>
    <w:unhideWhenUsed/>
    <w:rsid w:val="00445B96"/>
    <w:rPr>
      <w:color w:val="605E5C"/>
      <w:shd w:val="clear" w:color="auto" w:fill="E1DFDD"/>
    </w:rPr>
  </w:style>
  <w:style w:type="paragraph" w:styleId="NormalWeb">
    <w:name w:val="Normal (Web)"/>
    <w:basedOn w:val="Normal"/>
    <w:uiPriority w:val="99"/>
    <w:unhideWhenUsed/>
    <w:rsid w:val="00DC213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Emphasis">
    <w:name w:val="Emphasis"/>
    <w:basedOn w:val="DefaultParagraphFont"/>
    <w:uiPriority w:val="20"/>
    <w:qFormat/>
    <w:rsid w:val="00DC2136"/>
    <w:rPr>
      <w:i/>
      <w:iCs/>
    </w:rPr>
  </w:style>
  <w:style w:type="character" w:styleId="FollowedHyperlink">
    <w:name w:val="FollowedHyperlink"/>
    <w:basedOn w:val="DefaultParagraphFont"/>
    <w:uiPriority w:val="99"/>
    <w:semiHidden/>
    <w:unhideWhenUsed/>
    <w:rsid w:val="00840ED7"/>
    <w:rPr>
      <w:color w:val="96607D" w:themeColor="followedHyperlink"/>
      <w:u w:val="single"/>
    </w:rPr>
  </w:style>
  <w:style w:type="character" w:styleId="Strong">
    <w:name w:val="Strong"/>
    <w:basedOn w:val="DefaultParagraphFont"/>
    <w:uiPriority w:val="22"/>
    <w:qFormat/>
    <w:rsid w:val="00763128"/>
    <w:rPr>
      <w:b/>
      <w:bCs/>
    </w:rPr>
  </w:style>
  <w:style w:type="character" w:customStyle="1" w:styleId="normaltextrun">
    <w:name w:val="normaltextrun"/>
    <w:basedOn w:val="DefaultParagraphFont"/>
    <w:rsid w:val="00225AFA"/>
  </w:style>
  <w:style w:type="character" w:customStyle="1" w:styleId="eop">
    <w:name w:val="eop"/>
    <w:basedOn w:val="DefaultParagraphFont"/>
    <w:rsid w:val="00225A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24445">
      <w:bodyDiv w:val="1"/>
      <w:marLeft w:val="0"/>
      <w:marRight w:val="0"/>
      <w:marTop w:val="0"/>
      <w:marBottom w:val="0"/>
      <w:divBdr>
        <w:top w:val="none" w:sz="0" w:space="0" w:color="auto"/>
        <w:left w:val="none" w:sz="0" w:space="0" w:color="auto"/>
        <w:bottom w:val="none" w:sz="0" w:space="0" w:color="auto"/>
        <w:right w:val="none" w:sz="0" w:space="0" w:color="auto"/>
      </w:divBdr>
      <w:divsChild>
        <w:div w:id="2037805294">
          <w:marLeft w:val="0"/>
          <w:marRight w:val="0"/>
          <w:marTop w:val="0"/>
          <w:marBottom w:val="0"/>
          <w:divBdr>
            <w:top w:val="none" w:sz="0" w:space="0" w:color="auto"/>
            <w:left w:val="none" w:sz="0" w:space="0" w:color="auto"/>
            <w:bottom w:val="none" w:sz="0" w:space="0" w:color="auto"/>
            <w:right w:val="none" w:sz="0" w:space="0" w:color="auto"/>
          </w:divBdr>
        </w:div>
      </w:divsChild>
    </w:div>
    <w:div w:id="15542094">
      <w:bodyDiv w:val="1"/>
      <w:marLeft w:val="0"/>
      <w:marRight w:val="0"/>
      <w:marTop w:val="0"/>
      <w:marBottom w:val="0"/>
      <w:divBdr>
        <w:top w:val="none" w:sz="0" w:space="0" w:color="auto"/>
        <w:left w:val="none" w:sz="0" w:space="0" w:color="auto"/>
        <w:bottom w:val="none" w:sz="0" w:space="0" w:color="auto"/>
        <w:right w:val="none" w:sz="0" w:space="0" w:color="auto"/>
      </w:divBdr>
    </w:div>
    <w:div w:id="44764597">
      <w:bodyDiv w:val="1"/>
      <w:marLeft w:val="0"/>
      <w:marRight w:val="0"/>
      <w:marTop w:val="0"/>
      <w:marBottom w:val="0"/>
      <w:divBdr>
        <w:top w:val="none" w:sz="0" w:space="0" w:color="auto"/>
        <w:left w:val="none" w:sz="0" w:space="0" w:color="auto"/>
        <w:bottom w:val="none" w:sz="0" w:space="0" w:color="auto"/>
        <w:right w:val="none" w:sz="0" w:space="0" w:color="auto"/>
      </w:divBdr>
      <w:divsChild>
        <w:div w:id="176191733">
          <w:marLeft w:val="0"/>
          <w:marRight w:val="0"/>
          <w:marTop w:val="0"/>
          <w:marBottom w:val="0"/>
          <w:divBdr>
            <w:top w:val="none" w:sz="0" w:space="0" w:color="auto"/>
            <w:left w:val="none" w:sz="0" w:space="0" w:color="auto"/>
            <w:bottom w:val="none" w:sz="0" w:space="0" w:color="auto"/>
            <w:right w:val="none" w:sz="0" w:space="0" w:color="auto"/>
          </w:divBdr>
        </w:div>
      </w:divsChild>
    </w:div>
    <w:div w:id="78603692">
      <w:bodyDiv w:val="1"/>
      <w:marLeft w:val="0"/>
      <w:marRight w:val="0"/>
      <w:marTop w:val="0"/>
      <w:marBottom w:val="0"/>
      <w:divBdr>
        <w:top w:val="none" w:sz="0" w:space="0" w:color="auto"/>
        <w:left w:val="none" w:sz="0" w:space="0" w:color="auto"/>
        <w:bottom w:val="none" w:sz="0" w:space="0" w:color="auto"/>
        <w:right w:val="none" w:sz="0" w:space="0" w:color="auto"/>
      </w:divBdr>
      <w:divsChild>
        <w:div w:id="1138954358">
          <w:marLeft w:val="0"/>
          <w:marRight w:val="0"/>
          <w:marTop w:val="0"/>
          <w:marBottom w:val="0"/>
          <w:divBdr>
            <w:top w:val="none" w:sz="0" w:space="0" w:color="auto"/>
            <w:left w:val="none" w:sz="0" w:space="0" w:color="auto"/>
            <w:bottom w:val="none" w:sz="0" w:space="0" w:color="auto"/>
            <w:right w:val="none" w:sz="0" w:space="0" w:color="auto"/>
          </w:divBdr>
        </w:div>
      </w:divsChild>
    </w:div>
    <w:div w:id="82915962">
      <w:bodyDiv w:val="1"/>
      <w:marLeft w:val="0"/>
      <w:marRight w:val="0"/>
      <w:marTop w:val="0"/>
      <w:marBottom w:val="0"/>
      <w:divBdr>
        <w:top w:val="none" w:sz="0" w:space="0" w:color="auto"/>
        <w:left w:val="none" w:sz="0" w:space="0" w:color="auto"/>
        <w:bottom w:val="none" w:sz="0" w:space="0" w:color="auto"/>
        <w:right w:val="none" w:sz="0" w:space="0" w:color="auto"/>
      </w:divBdr>
      <w:divsChild>
        <w:div w:id="949552318">
          <w:marLeft w:val="0"/>
          <w:marRight w:val="0"/>
          <w:marTop w:val="0"/>
          <w:marBottom w:val="0"/>
          <w:divBdr>
            <w:top w:val="none" w:sz="0" w:space="0" w:color="auto"/>
            <w:left w:val="none" w:sz="0" w:space="0" w:color="auto"/>
            <w:bottom w:val="none" w:sz="0" w:space="0" w:color="auto"/>
            <w:right w:val="none" w:sz="0" w:space="0" w:color="auto"/>
          </w:divBdr>
        </w:div>
      </w:divsChild>
    </w:div>
    <w:div w:id="142626507">
      <w:bodyDiv w:val="1"/>
      <w:marLeft w:val="0"/>
      <w:marRight w:val="0"/>
      <w:marTop w:val="0"/>
      <w:marBottom w:val="0"/>
      <w:divBdr>
        <w:top w:val="none" w:sz="0" w:space="0" w:color="auto"/>
        <w:left w:val="none" w:sz="0" w:space="0" w:color="auto"/>
        <w:bottom w:val="none" w:sz="0" w:space="0" w:color="auto"/>
        <w:right w:val="none" w:sz="0" w:space="0" w:color="auto"/>
      </w:divBdr>
    </w:div>
    <w:div w:id="205917217">
      <w:bodyDiv w:val="1"/>
      <w:marLeft w:val="0"/>
      <w:marRight w:val="0"/>
      <w:marTop w:val="0"/>
      <w:marBottom w:val="0"/>
      <w:divBdr>
        <w:top w:val="none" w:sz="0" w:space="0" w:color="auto"/>
        <w:left w:val="none" w:sz="0" w:space="0" w:color="auto"/>
        <w:bottom w:val="none" w:sz="0" w:space="0" w:color="auto"/>
        <w:right w:val="none" w:sz="0" w:space="0" w:color="auto"/>
      </w:divBdr>
      <w:divsChild>
        <w:div w:id="769396037">
          <w:marLeft w:val="0"/>
          <w:marRight w:val="0"/>
          <w:marTop w:val="0"/>
          <w:marBottom w:val="0"/>
          <w:divBdr>
            <w:top w:val="none" w:sz="0" w:space="0" w:color="auto"/>
            <w:left w:val="none" w:sz="0" w:space="0" w:color="auto"/>
            <w:bottom w:val="none" w:sz="0" w:space="0" w:color="auto"/>
            <w:right w:val="none" w:sz="0" w:space="0" w:color="auto"/>
          </w:divBdr>
        </w:div>
      </w:divsChild>
    </w:div>
    <w:div w:id="219439386">
      <w:bodyDiv w:val="1"/>
      <w:marLeft w:val="0"/>
      <w:marRight w:val="0"/>
      <w:marTop w:val="0"/>
      <w:marBottom w:val="0"/>
      <w:divBdr>
        <w:top w:val="none" w:sz="0" w:space="0" w:color="auto"/>
        <w:left w:val="none" w:sz="0" w:space="0" w:color="auto"/>
        <w:bottom w:val="none" w:sz="0" w:space="0" w:color="auto"/>
        <w:right w:val="none" w:sz="0" w:space="0" w:color="auto"/>
      </w:divBdr>
    </w:div>
    <w:div w:id="262884115">
      <w:bodyDiv w:val="1"/>
      <w:marLeft w:val="0"/>
      <w:marRight w:val="0"/>
      <w:marTop w:val="0"/>
      <w:marBottom w:val="0"/>
      <w:divBdr>
        <w:top w:val="none" w:sz="0" w:space="0" w:color="auto"/>
        <w:left w:val="none" w:sz="0" w:space="0" w:color="auto"/>
        <w:bottom w:val="none" w:sz="0" w:space="0" w:color="auto"/>
        <w:right w:val="none" w:sz="0" w:space="0" w:color="auto"/>
      </w:divBdr>
      <w:divsChild>
        <w:div w:id="804853445">
          <w:marLeft w:val="0"/>
          <w:marRight w:val="0"/>
          <w:marTop w:val="0"/>
          <w:marBottom w:val="0"/>
          <w:divBdr>
            <w:top w:val="none" w:sz="0" w:space="0" w:color="auto"/>
            <w:left w:val="none" w:sz="0" w:space="0" w:color="auto"/>
            <w:bottom w:val="none" w:sz="0" w:space="0" w:color="auto"/>
            <w:right w:val="none" w:sz="0" w:space="0" w:color="auto"/>
          </w:divBdr>
        </w:div>
      </w:divsChild>
    </w:div>
    <w:div w:id="268859609">
      <w:bodyDiv w:val="1"/>
      <w:marLeft w:val="0"/>
      <w:marRight w:val="0"/>
      <w:marTop w:val="0"/>
      <w:marBottom w:val="0"/>
      <w:divBdr>
        <w:top w:val="none" w:sz="0" w:space="0" w:color="auto"/>
        <w:left w:val="none" w:sz="0" w:space="0" w:color="auto"/>
        <w:bottom w:val="none" w:sz="0" w:space="0" w:color="auto"/>
        <w:right w:val="none" w:sz="0" w:space="0" w:color="auto"/>
      </w:divBdr>
      <w:divsChild>
        <w:div w:id="738403805">
          <w:marLeft w:val="0"/>
          <w:marRight w:val="0"/>
          <w:marTop w:val="0"/>
          <w:marBottom w:val="0"/>
          <w:divBdr>
            <w:top w:val="none" w:sz="0" w:space="0" w:color="auto"/>
            <w:left w:val="none" w:sz="0" w:space="0" w:color="auto"/>
            <w:bottom w:val="none" w:sz="0" w:space="0" w:color="auto"/>
            <w:right w:val="none" w:sz="0" w:space="0" w:color="auto"/>
          </w:divBdr>
        </w:div>
      </w:divsChild>
    </w:div>
    <w:div w:id="317920754">
      <w:bodyDiv w:val="1"/>
      <w:marLeft w:val="0"/>
      <w:marRight w:val="0"/>
      <w:marTop w:val="0"/>
      <w:marBottom w:val="0"/>
      <w:divBdr>
        <w:top w:val="none" w:sz="0" w:space="0" w:color="auto"/>
        <w:left w:val="none" w:sz="0" w:space="0" w:color="auto"/>
        <w:bottom w:val="none" w:sz="0" w:space="0" w:color="auto"/>
        <w:right w:val="none" w:sz="0" w:space="0" w:color="auto"/>
      </w:divBdr>
      <w:divsChild>
        <w:div w:id="267003190">
          <w:marLeft w:val="0"/>
          <w:marRight w:val="0"/>
          <w:marTop w:val="0"/>
          <w:marBottom w:val="0"/>
          <w:divBdr>
            <w:top w:val="none" w:sz="0" w:space="0" w:color="auto"/>
            <w:left w:val="none" w:sz="0" w:space="0" w:color="auto"/>
            <w:bottom w:val="none" w:sz="0" w:space="0" w:color="auto"/>
            <w:right w:val="none" w:sz="0" w:space="0" w:color="auto"/>
          </w:divBdr>
        </w:div>
      </w:divsChild>
    </w:div>
    <w:div w:id="405956802">
      <w:bodyDiv w:val="1"/>
      <w:marLeft w:val="0"/>
      <w:marRight w:val="0"/>
      <w:marTop w:val="0"/>
      <w:marBottom w:val="0"/>
      <w:divBdr>
        <w:top w:val="none" w:sz="0" w:space="0" w:color="auto"/>
        <w:left w:val="none" w:sz="0" w:space="0" w:color="auto"/>
        <w:bottom w:val="none" w:sz="0" w:space="0" w:color="auto"/>
        <w:right w:val="none" w:sz="0" w:space="0" w:color="auto"/>
      </w:divBdr>
      <w:divsChild>
        <w:div w:id="415788701">
          <w:marLeft w:val="0"/>
          <w:marRight w:val="0"/>
          <w:marTop w:val="0"/>
          <w:marBottom w:val="0"/>
          <w:divBdr>
            <w:top w:val="none" w:sz="0" w:space="0" w:color="auto"/>
            <w:left w:val="none" w:sz="0" w:space="0" w:color="auto"/>
            <w:bottom w:val="none" w:sz="0" w:space="0" w:color="auto"/>
            <w:right w:val="none" w:sz="0" w:space="0" w:color="auto"/>
          </w:divBdr>
        </w:div>
      </w:divsChild>
    </w:div>
    <w:div w:id="420878460">
      <w:bodyDiv w:val="1"/>
      <w:marLeft w:val="0"/>
      <w:marRight w:val="0"/>
      <w:marTop w:val="0"/>
      <w:marBottom w:val="0"/>
      <w:divBdr>
        <w:top w:val="none" w:sz="0" w:space="0" w:color="auto"/>
        <w:left w:val="none" w:sz="0" w:space="0" w:color="auto"/>
        <w:bottom w:val="none" w:sz="0" w:space="0" w:color="auto"/>
        <w:right w:val="none" w:sz="0" w:space="0" w:color="auto"/>
      </w:divBdr>
      <w:divsChild>
        <w:div w:id="81876468">
          <w:marLeft w:val="0"/>
          <w:marRight w:val="0"/>
          <w:marTop w:val="0"/>
          <w:marBottom w:val="0"/>
          <w:divBdr>
            <w:top w:val="none" w:sz="0" w:space="0" w:color="auto"/>
            <w:left w:val="none" w:sz="0" w:space="0" w:color="auto"/>
            <w:bottom w:val="none" w:sz="0" w:space="0" w:color="auto"/>
            <w:right w:val="none" w:sz="0" w:space="0" w:color="auto"/>
          </w:divBdr>
        </w:div>
      </w:divsChild>
    </w:div>
    <w:div w:id="448470022">
      <w:bodyDiv w:val="1"/>
      <w:marLeft w:val="0"/>
      <w:marRight w:val="0"/>
      <w:marTop w:val="0"/>
      <w:marBottom w:val="0"/>
      <w:divBdr>
        <w:top w:val="none" w:sz="0" w:space="0" w:color="auto"/>
        <w:left w:val="none" w:sz="0" w:space="0" w:color="auto"/>
        <w:bottom w:val="none" w:sz="0" w:space="0" w:color="auto"/>
        <w:right w:val="none" w:sz="0" w:space="0" w:color="auto"/>
      </w:divBdr>
    </w:div>
    <w:div w:id="452017969">
      <w:bodyDiv w:val="1"/>
      <w:marLeft w:val="0"/>
      <w:marRight w:val="0"/>
      <w:marTop w:val="0"/>
      <w:marBottom w:val="0"/>
      <w:divBdr>
        <w:top w:val="none" w:sz="0" w:space="0" w:color="auto"/>
        <w:left w:val="none" w:sz="0" w:space="0" w:color="auto"/>
        <w:bottom w:val="none" w:sz="0" w:space="0" w:color="auto"/>
        <w:right w:val="none" w:sz="0" w:space="0" w:color="auto"/>
      </w:divBdr>
      <w:divsChild>
        <w:div w:id="1466895014">
          <w:marLeft w:val="0"/>
          <w:marRight w:val="0"/>
          <w:marTop w:val="0"/>
          <w:marBottom w:val="0"/>
          <w:divBdr>
            <w:top w:val="none" w:sz="0" w:space="0" w:color="auto"/>
            <w:left w:val="none" w:sz="0" w:space="0" w:color="auto"/>
            <w:bottom w:val="none" w:sz="0" w:space="0" w:color="auto"/>
            <w:right w:val="none" w:sz="0" w:space="0" w:color="auto"/>
          </w:divBdr>
        </w:div>
      </w:divsChild>
    </w:div>
    <w:div w:id="465204516">
      <w:bodyDiv w:val="1"/>
      <w:marLeft w:val="0"/>
      <w:marRight w:val="0"/>
      <w:marTop w:val="0"/>
      <w:marBottom w:val="0"/>
      <w:divBdr>
        <w:top w:val="none" w:sz="0" w:space="0" w:color="auto"/>
        <w:left w:val="none" w:sz="0" w:space="0" w:color="auto"/>
        <w:bottom w:val="none" w:sz="0" w:space="0" w:color="auto"/>
        <w:right w:val="none" w:sz="0" w:space="0" w:color="auto"/>
      </w:divBdr>
      <w:divsChild>
        <w:div w:id="1778401599">
          <w:marLeft w:val="0"/>
          <w:marRight w:val="0"/>
          <w:marTop w:val="0"/>
          <w:marBottom w:val="0"/>
          <w:divBdr>
            <w:top w:val="none" w:sz="0" w:space="0" w:color="auto"/>
            <w:left w:val="none" w:sz="0" w:space="0" w:color="auto"/>
            <w:bottom w:val="none" w:sz="0" w:space="0" w:color="auto"/>
            <w:right w:val="none" w:sz="0" w:space="0" w:color="auto"/>
          </w:divBdr>
        </w:div>
      </w:divsChild>
    </w:div>
    <w:div w:id="506360588">
      <w:bodyDiv w:val="1"/>
      <w:marLeft w:val="0"/>
      <w:marRight w:val="0"/>
      <w:marTop w:val="0"/>
      <w:marBottom w:val="0"/>
      <w:divBdr>
        <w:top w:val="none" w:sz="0" w:space="0" w:color="auto"/>
        <w:left w:val="none" w:sz="0" w:space="0" w:color="auto"/>
        <w:bottom w:val="none" w:sz="0" w:space="0" w:color="auto"/>
        <w:right w:val="none" w:sz="0" w:space="0" w:color="auto"/>
      </w:divBdr>
    </w:div>
    <w:div w:id="588466739">
      <w:bodyDiv w:val="1"/>
      <w:marLeft w:val="0"/>
      <w:marRight w:val="0"/>
      <w:marTop w:val="0"/>
      <w:marBottom w:val="0"/>
      <w:divBdr>
        <w:top w:val="none" w:sz="0" w:space="0" w:color="auto"/>
        <w:left w:val="none" w:sz="0" w:space="0" w:color="auto"/>
        <w:bottom w:val="none" w:sz="0" w:space="0" w:color="auto"/>
        <w:right w:val="none" w:sz="0" w:space="0" w:color="auto"/>
      </w:divBdr>
      <w:divsChild>
        <w:div w:id="2064940008">
          <w:marLeft w:val="0"/>
          <w:marRight w:val="0"/>
          <w:marTop w:val="0"/>
          <w:marBottom w:val="0"/>
          <w:divBdr>
            <w:top w:val="none" w:sz="0" w:space="0" w:color="auto"/>
            <w:left w:val="none" w:sz="0" w:space="0" w:color="auto"/>
            <w:bottom w:val="none" w:sz="0" w:space="0" w:color="auto"/>
            <w:right w:val="none" w:sz="0" w:space="0" w:color="auto"/>
          </w:divBdr>
        </w:div>
      </w:divsChild>
    </w:div>
    <w:div w:id="590479463">
      <w:bodyDiv w:val="1"/>
      <w:marLeft w:val="0"/>
      <w:marRight w:val="0"/>
      <w:marTop w:val="0"/>
      <w:marBottom w:val="0"/>
      <w:divBdr>
        <w:top w:val="none" w:sz="0" w:space="0" w:color="auto"/>
        <w:left w:val="none" w:sz="0" w:space="0" w:color="auto"/>
        <w:bottom w:val="none" w:sz="0" w:space="0" w:color="auto"/>
        <w:right w:val="none" w:sz="0" w:space="0" w:color="auto"/>
      </w:divBdr>
      <w:divsChild>
        <w:div w:id="1867792279">
          <w:marLeft w:val="0"/>
          <w:marRight w:val="0"/>
          <w:marTop w:val="0"/>
          <w:marBottom w:val="0"/>
          <w:divBdr>
            <w:top w:val="none" w:sz="0" w:space="0" w:color="auto"/>
            <w:left w:val="none" w:sz="0" w:space="0" w:color="auto"/>
            <w:bottom w:val="none" w:sz="0" w:space="0" w:color="auto"/>
            <w:right w:val="none" w:sz="0" w:space="0" w:color="auto"/>
          </w:divBdr>
        </w:div>
      </w:divsChild>
    </w:div>
    <w:div w:id="718481614">
      <w:bodyDiv w:val="1"/>
      <w:marLeft w:val="0"/>
      <w:marRight w:val="0"/>
      <w:marTop w:val="0"/>
      <w:marBottom w:val="0"/>
      <w:divBdr>
        <w:top w:val="none" w:sz="0" w:space="0" w:color="auto"/>
        <w:left w:val="none" w:sz="0" w:space="0" w:color="auto"/>
        <w:bottom w:val="none" w:sz="0" w:space="0" w:color="auto"/>
        <w:right w:val="none" w:sz="0" w:space="0" w:color="auto"/>
      </w:divBdr>
      <w:divsChild>
        <w:div w:id="1697850085">
          <w:marLeft w:val="0"/>
          <w:marRight w:val="0"/>
          <w:marTop w:val="0"/>
          <w:marBottom w:val="0"/>
          <w:divBdr>
            <w:top w:val="none" w:sz="0" w:space="0" w:color="auto"/>
            <w:left w:val="none" w:sz="0" w:space="0" w:color="auto"/>
            <w:bottom w:val="none" w:sz="0" w:space="0" w:color="auto"/>
            <w:right w:val="none" w:sz="0" w:space="0" w:color="auto"/>
          </w:divBdr>
        </w:div>
      </w:divsChild>
    </w:div>
    <w:div w:id="720595089">
      <w:bodyDiv w:val="1"/>
      <w:marLeft w:val="0"/>
      <w:marRight w:val="0"/>
      <w:marTop w:val="0"/>
      <w:marBottom w:val="0"/>
      <w:divBdr>
        <w:top w:val="none" w:sz="0" w:space="0" w:color="auto"/>
        <w:left w:val="none" w:sz="0" w:space="0" w:color="auto"/>
        <w:bottom w:val="none" w:sz="0" w:space="0" w:color="auto"/>
        <w:right w:val="none" w:sz="0" w:space="0" w:color="auto"/>
      </w:divBdr>
      <w:divsChild>
        <w:div w:id="499663194">
          <w:marLeft w:val="0"/>
          <w:marRight w:val="0"/>
          <w:marTop w:val="0"/>
          <w:marBottom w:val="0"/>
          <w:divBdr>
            <w:top w:val="none" w:sz="0" w:space="0" w:color="auto"/>
            <w:left w:val="none" w:sz="0" w:space="0" w:color="auto"/>
            <w:bottom w:val="none" w:sz="0" w:space="0" w:color="auto"/>
            <w:right w:val="none" w:sz="0" w:space="0" w:color="auto"/>
          </w:divBdr>
        </w:div>
      </w:divsChild>
    </w:div>
    <w:div w:id="726605837">
      <w:bodyDiv w:val="1"/>
      <w:marLeft w:val="0"/>
      <w:marRight w:val="0"/>
      <w:marTop w:val="0"/>
      <w:marBottom w:val="0"/>
      <w:divBdr>
        <w:top w:val="none" w:sz="0" w:space="0" w:color="auto"/>
        <w:left w:val="none" w:sz="0" w:space="0" w:color="auto"/>
        <w:bottom w:val="none" w:sz="0" w:space="0" w:color="auto"/>
        <w:right w:val="none" w:sz="0" w:space="0" w:color="auto"/>
      </w:divBdr>
      <w:divsChild>
        <w:div w:id="685789194">
          <w:marLeft w:val="0"/>
          <w:marRight w:val="0"/>
          <w:marTop w:val="0"/>
          <w:marBottom w:val="0"/>
          <w:divBdr>
            <w:top w:val="none" w:sz="0" w:space="0" w:color="auto"/>
            <w:left w:val="none" w:sz="0" w:space="0" w:color="auto"/>
            <w:bottom w:val="none" w:sz="0" w:space="0" w:color="auto"/>
            <w:right w:val="none" w:sz="0" w:space="0" w:color="auto"/>
          </w:divBdr>
        </w:div>
      </w:divsChild>
    </w:div>
    <w:div w:id="738944544">
      <w:bodyDiv w:val="1"/>
      <w:marLeft w:val="0"/>
      <w:marRight w:val="0"/>
      <w:marTop w:val="0"/>
      <w:marBottom w:val="0"/>
      <w:divBdr>
        <w:top w:val="none" w:sz="0" w:space="0" w:color="auto"/>
        <w:left w:val="none" w:sz="0" w:space="0" w:color="auto"/>
        <w:bottom w:val="none" w:sz="0" w:space="0" w:color="auto"/>
        <w:right w:val="none" w:sz="0" w:space="0" w:color="auto"/>
      </w:divBdr>
      <w:divsChild>
        <w:div w:id="551770846">
          <w:marLeft w:val="0"/>
          <w:marRight w:val="0"/>
          <w:marTop w:val="0"/>
          <w:marBottom w:val="0"/>
          <w:divBdr>
            <w:top w:val="none" w:sz="0" w:space="0" w:color="auto"/>
            <w:left w:val="none" w:sz="0" w:space="0" w:color="auto"/>
            <w:bottom w:val="none" w:sz="0" w:space="0" w:color="auto"/>
            <w:right w:val="none" w:sz="0" w:space="0" w:color="auto"/>
          </w:divBdr>
        </w:div>
      </w:divsChild>
    </w:div>
    <w:div w:id="760101601">
      <w:bodyDiv w:val="1"/>
      <w:marLeft w:val="0"/>
      <w:marRight w:val="0"/>
      <w:marTop w:val="0"/>
      <w:marBottom w:val="0"/>
      <w:divBdr>
        <w:top w:val="none" w:sz="0" w:space="0" w:color="auto"/>
        <w:left w:val="none" w:sz="0" w:space="0" w:color="auto"/>
        <w:bottom w:val="none" w:sz="0" w:space="0" w:color="auto"/>
        <w:right w:val="none" w:sz="0" w:space="0" w:color="auto"/>
      </w:divBdr>
    </w:div>
    <w:div w:id="820972213">
      <w:bodyDiv w:val="1"/>
      <w:marLeft w:val="0"/>
      <w:marRight w:val="0"/>
      <w:marTop w:val="0"/>
      <w:marBottom w:val="0"/>
      <w:divBdr>
        <w:top w:val="none" w:sz="0" w:space="0" w:color="auto"/>
        <w:left w:val="none" w:sz="0" w:space="0" w:color="auto"/>
        <w:bottom w:val="none" w:sz="0" w:space="0" w:color="auto"/>
        <w:right w:val="none" w:sz="0" w:space="0" w:color="auto"/>
      </w:divBdr>
      <w:divsChild>
        <w:div w:id="1224026580">
          <w:marLeft w:val="0"/>
          <w:marRight w:val="0"/>
          <w:marTop w:val="0"/>
          <w:marBottom w:val="0"/>
          <w:divBdr>
            <w:top w:val="none" w:sz="0" w:space="0" w:color="auto"/>
            <w:left w:val="none" w:sz="0" w:space="0" w:color="auto"/>
            <w:bottom w:val="none" w:sz="0" w:space="0" w:color="auto"/>
            <w:right w:val="none" w:sz="0" w:space="0" w:color="auto"/>
          </w:divBdr>
        </w:div>
      </w:divsChild>
    </w:div>
    <w:div w:id="826019399">
      <w:bodyDiv w:val="1"/>
      <w:marLeft w:val="0"/>
      <w:marRight w:val="0"/>
      <w:marTop w:val="0"/>
      <w:marBottom w:val="0"/>
      <w:divBdr>
        <w:top w:val="none" w:sz="0" w:space="0" w:color="auto"/>
        <w:left w:val="none" w:sz="0" w:space="0" w:color="auto"/>
        <w:bottom w:val="none" w:sz="0" w:space="0" w:color="auto"/>
        <w:right w:val="none" w:sz="0" w:space="0" w:color="auto"/>
      </w:divBdr>
      <w:divsChild>
        <w:div w:id="1081024759">
          <w:marLeft w:val="0"/>
          <w:marRight w:val="0"/>
          <w:marTop w:val="0"/>
          <w:marBottom w:val="0"/>
          <w:divBdr>
            <w:top w:val="none" w:sz="0" w:space="0" w:color="auto"/>
            <w:left w:val="none" w:sz="0" w:space="0" w:color="auto"/>
            <w:bottom w:val="none" w:sz="0" w:space="0" w:color="auto"/>
            <w:right w:val="none" w:sz="0" w:space="0" w:color="auto"/>
          </w:divBdr>
        </w:div>
      </w:divsChild>
    </w:div>
    <w:div w:id="838425641">
      <w:bodyDiv w:val="1"/>
      <w:marLeft w:val="0"/>
      <w:marRight w:val="0"/>
      <w:marTop w:val="0"/>
      <w:marBottom w:val="0"/>
      <w:divBdr>
        <w:top w:val="none" w:sz="0" w:space="0" w:color="auto"/>
        <w:left w:val="none" w:sz="0" w:space="0" w:color="auto"/>
        <w:bottom w:val="none" w:sz="0" w:space="0" w:color="auto"/>
        <w:right w:val="none" w:sz="0" w:space="0" w:color="auto"/>
      </w:divBdr>
      <w:divsChild>
        <w:div w:id="321735096">
          <w:marLeft w:val="0"/>
          <w:marRight w:val="0"/>
          <w:marTop w:val="0"/>
          <w:marBottom w:val="0"/>
          <w:divBdr>
            <w:top w:val="none" w:sz="0" w:space="0" w:color="auto"/>
            <w:left w:val="none" w:sz="0" w:space="0" w:color="auto"/>
            <w:bottom w:val="none" w:sz="0" w:space="0" w:color="auto"/>
            <w:right w:val="none" w:sz="0" w:space="0" w:color="auto"/>
          </w:divBdr>
        </w:div>
      </w:divsChild>
    </w:div>
    <w:div w:id="844325200">
      <w:bodyDiv w:val="1"/>
      <w:marLeft w:val="0"/>
      <w:marRight w:val="0"/>
      <w:marTop w:val="0"/>
      <w:marBottom w:val="0"/>
      <w:divBdr>
        <w:top w:val="none" w:sz="0" w:space="0" w:color="auto"/>
        <w:left w:val="none" w:sz="0" w:space="0" w:color="auto"/>
        <w:bottom w:val="none" w:sz="0" w:space="0" w:color="auto"/>
        <w:right w:val="none" w:sz="0" w:space="0" w:color="auto"/>
      </w:divBdr>
      <w:divsChild>
        <w:div w:id="238642454">
          <w:marLeft w:val="0"/>
          <w:marRight w:val="0"/>
          <w:marTop w:val="0"/>
          <w:marBottom w:val="0"/>
          <w:divBdr>
            <w:top w:val="none" w:sz="0" w:space="0" w:color="auto"/>
            <w:left w:val="none" w:sz="0" w:space="0" w:color="auto"/>
            <w:bottom w:val="none" w:sz="0" w:space="0" w:color="auto"/>
            <w:right w:val="none" w:sz="0" w:space="0" w:color="auto"/>
          </w:divBdr>
        </w:div>
      </w:divsChild>
    </w:div>
    <w:div w:id="876159765">
      <w:bodyDiv w:val="1"/>
      <w:marLeft w:val="0"/>
      <w:marRight w:val="0"/>
      <w:marTop w:val="0"/>
      <w:marBottom w:val="0"/>
      <w:divBdr>
        <w:top w:val="none" w:sz="0" w:space="0" w:color="auto"/>
        <w:left w:val="none" w:sz="0" w:space="0" w:color="auto"/>
        <w:bottom w:val="none" w:sz="0" w:space="0" w:color="auto"/>
        <w:right w:val="none" w:sz="0" w:space="0" w:color="auto"/>
      </w:divBdr>
    </w:div>
    <w:div w:id="887959930">
      <w:bodyDiv w:val="1"/>
      <w:marLeft w:val="0"/>
      <w:marRight w:val="0"/>
      <w:marTop w:val="0"/>
      <w:marBottom w:val="0"/>
      <w:divBdr>
        <w:top w:val="none" w:sz="0" w:space="0" w:color="auto"/>
        <w:left w:val="none" w:sz="0" w:space="0" w:color="auto"/>
        <w:bottom w:val="none" w:sz="0" w:space="0" w:color="auto"/>
        <w:right w:val="none" w:sz="0" w:space="0" w:color="auto"/>
      </w:divBdr>
      <w:divsChild>
        <w:div w:id="1650866164">
          <w:marLeft w:val="0"/>
          <w:marRight w:val="0"/>
          <w:marTop w:val="0"/>
          <w:marBottom w:val="0"/>
          <w:divBdr>
            <w:top w:val="none" w:sz="0" w:space="0" w:color="auto"/>
            <w:left w:val="none" w:sz="0" w:space="0" w:color="auto"/>
            <w:bottom w:val="none" w:sz="0" w:space="0" w:color="auto"/>
            <w:right w:val="none" w:sz="0" w:space="0" w:color="auto"/>
          </w:divBdr>
        </w:div>
      </w:divsChild>
    </w:div>
    <w:div w:id="907765024">
      <w:bodyDiv w:val="1"/>
      <w:marLeft w:val="0"/>
      <w:marRight w:val="0"/>
      <w:marTop w:val="0"/>
      <w:marBottom w:val="0"/>
      <w:divBdr>
        <w:top w:val="none" w:sz="0" w:space="0" w:color="auto"/>
        <w:left w:val="none" w:sz="0" w:space="0" w:color="auto"/>
        <w:bottom w:val="none" w:sz="0" w:space="0" w:color="auto"/>
        <w:right w:val="none" w:sz="0" w:space="0" w:color="auto"/>
      </w:divBdr>
      <w:divsChild>
        <w:div w:id="148985980">
          <w:marLeft w:val="0"/>
          <w:marRight w:val="0"/>
          <w:marTop w:val="0"/>
          <w:marBottom w:val="0"/>
          <w:divBdr>
            <w:top w:val="none" w:sz="0" w:space="0" w:color="auto"/>
            <w:left w:val="none" w:sz="0" w:space="0" w:color="auto"/>
            <w:bottom w:val="none" w:sz="0" w:space="0" w:color="auto"/>
            <w:right w:val="none" w:sz="0" w:space="0" w:color="auto"/>
          </w:divBdr>
        </w:div>
      </w:divsChild>
    </w:div>
    <w:div w:id="917864434">
      <w:bodyDiv w:val="1"/>
      <w:marLeft w:val="0"/>
      <w:marRight w:val="0"/>
      <w:marTop w:val="0"/>
      <w:marBottom w:val="0"/>
      <w:divBdr>
        <w:top w:val="none" w:sz="0" w:space="0" w:color="auto"/>
        <w:left w:val="none" w:sz="0" w:space="0" w:color="auto"/>
        <w:bottom w:val="none" w:sz="0" w:space="0" w:color="auto"/>
        <w:right w:val="none" w:sz="0" w:space="0" w:color="auto"/>
      </w:divBdr>
      <w:divsChild>
        <w:div w:id="954021189">
          <w:marLeft w:val="0"/>
          <w:marRight w:val="0"/>
          <w:marTop w:val="0"/>
          <w:marBottom w:val="0"/>
          <w:divBdr>
            <w:top w:val="none" w:sz="0" w:space="0" w:color="auto"/>
            <w:left w:val="none" w:sz="0" w:space="0" w:color="auto"/>
            <w:bottom w:val="none" w:sz="0" w:space="0" w:color="auto"/>
            <w:right w:val="none" w:sz="0" w:space="0" w:color="auto"/>
          </w:divBdr>
        </w:div>
      </w:divsChild>
    </w:div>
    <w:div w:id="983661372">
      <w:bodyDiv w:val="1"/>
      <w:marLeft w:val="0"/>
      <w:marRight w:val="0"/>
      <w:marTop w:val="0"/>
      <w:marBottom w:val="0"/>
      <w:divBdr>
        <w:top w:val="none" w:sz="0" w:space="0" w:color="auto"/>
        <w:left w:val="none" w:sz="0" w:space="0" w:color="auto"/>
        <w:bottom w:val="none" w:sz="0" w:space="0" w:color="auto"/>
        <w:right w:val="none" w:sz="0" w:space="0" w:color="auto"/>
      </w:divBdr>
      <w:divsChild>
        <w:div w:id="430667712">
          <w:marLeft w:val="0"/>
          <w:marRight w:val="0"/>
          <w:marTop w:val="0"/>
          <w:marBottom w:val="0"/>
          <w:divBdr>
            <w:top w:val="none" w:sz="0" w:space="0" w:color="auto"/>
            <w:left w:val="none" w:sz="0" w:space="0" w:color="auto"/>
            <w:bottom w:val="none" w:sz="0" w:space="0" w:color="auto"/>
            <w:right w:val="none" w:sz="0" w:space="0" w:color="auto"/>
          </w:divBdr>
        </w:div>
      </w:divsChild>
    </w:div>
    <w:div w:id="995378038">
      <w:bodyDiv w:val="1"/>
      <w:marLeft w:val="0"/>
      <w:marRight w:val="0"/>
      <w:marTop w:val="0"/>
      <w:marBottom w:val="0"/>
      <w:divBdr>
        <w:top w:val="none" w:sz="0" w:space="0" w:color="auto"/>
        <w:left w:val="none" w:sz="0" w:space="0" w:color="auto"/>
        <w:bottom w:val="none" w:sz="0" w:space="0" w:color="auto"/>
        <w:right w:val="none" w:sz="0" w:space="0" w:color="auto"/>
      </w:divBdr>
      <w:divsChild>
        <w:div w:id="1723402329">
          <w:marLeft w:val="0"/>
          <w:marRight w:val="0"/>
          <w:marTop w:val="0"/>
          <w:marBottom w:val="0"/>
          <w:divBdr>
            <w:top w:val="none" w:sz="0" w:space="0" w:color="auto"/>
            <w:left w:val="none" w:sz="0" w:space="0" w:color="auto"/>
            <w:bottom w:val="none" w:sz="0" w:space="0" w:color="auto"/>
            <w:right w:val="none" w:sz="0" w:space="0" w:color="auto"/>
          </w:divBdr>
        </w:div>
      </w:divsChild>
    </w:div>
    <w:div w:id="1013217182">
      <w:bodyDiv w:val="1"/>
      <w:marLeft w:val="0"/>
      <w:marRight w:val="0"/>
      <w:marTop w:val="0"/>
      <w:marBottom w:val="0"/>
      <w:divBdr>
        <w:top w:val="none" w:sz="0" w:space="0" w:color="auto"/>
        <w:left w:val="none" w:sz="0" w:space="0" w:color="auto"/>
        <w:bottom w:val="none" w:sz="0" w:space="0" w:color="auto"/>
        <w:right w:val="none" w:sz="0" w:space="0" w:color="auto"/>
      </w:divBdr>
    </w:div>
    <w:div w:id="1045254026">
      <w:bodyDiv w:val="1"/>
      <w:marLeft w:val="0"/>
      <w:marRight w:val="0"/>
      <w:marTop w:val="0"/>
      <w:marBottom w:val="0"/>
      <w:divBdr>
        <w:top w:val="none" w:sz="0" w:space="0" w:color="auto"/>
        <w:left w:val="none" w:sz="0" w:space="0" w:color="auto"/>
        <w:bottom w:val="none" w:sz="0" w:space="0" w:color="auto"/>
        <w:right w:val="none" w:sz="0" w:space="0" w:color="auto"/>
      </w:divBdr>
      <w:divsChild>
        <w:div w:id="323513163">
          <w:marLeft w:val="0"/>
          <w:marRight w:val="0"/>
          <w:marTop w:val="0"/>
          <w:marBottom w:val="0"/>
          <w:divBdr>
            <w:top w:val="none" w:sz="0" w:space="0" w:color="auto"/>
            <w:left w:val="none" w:sz="0" w:space="0" w:color="auto"/>
            <w:bottom w:val="none" w:sz="0" w:space="0" w:color="auto"/>
            <w:right w:val="none" w:sz="0" w:space="0" w:color="auto"/>
          </w:divBdr>
        </w:div>
      </w:divsChild>
    </w:div>
    <w:div w:id="1064068653">
      <w:bodyDiv w:val="1"/>
      <w:marLeft w:val="0"/>
      <w:marRight w:val="0"/>
      <w:marTop w:val="0"/>
      <w:marBottom w:val="0"/>
      <w:divBdr>
        <w:top w:val="none" w:sz="0" w:space="0" w:color="auto"/>
        <w:left w:val="none" w:sz="0" w:space="0" w:color="auto"/>
        <w:bottom w:val="none" w:sz="0" w:space="0" w:color="auto"/>
        <w:right w:val="none" w:sz="0" w:space="0" w:color="auto"/>
      </w:divBdr>
      <w:divsChild>
        <w:div w:id="313265391">
          <w:marLeft w:val="0"/>
          <w:marRight w:val="0"/>
          <w:marTop w:val="0"/>
          <w:marBottom w:val="0"/>
          <w:divBdr>
            <w:top w:val="none" w:sz="0" w:space="0" w:color="auto"/>
            <w:left w:val="none" w:sz="0" w:space="0" w:color="auto"/>
            <w:bottom w:val="none" w:sz="0" w:space="0" w:color="auto"/>
            <w:right w:val="none" w:sz="0" w:space="0" w:color="auto"/>
          </w:divBdr>
        </w:div>
      </w:divsChild>
    </w:div>
    <w:div w:id="1095243364">
      <w:bodyDiv w:val="1"/>
      <w:marLeft w:val="0"/>
      <w:marRight w:val="0"/>
      <w:marTop w:val="0"/>
      <w:marBottom w:val="0"/>
      <w:divBdr>
        <w:top w:val="none" w:sz="0" w:space="0" w:color="auto"/>
        <w:left w:val="none" w:sz="0" w:space="0" w:color="auto"/>
        <w:bottom w:val="none" w:sz="0" w:space="0" w:color="auto"/>
        <w:right w:val="none" w:sz="0" w:space="0" w:color="auto"/>
      </w:divBdr>
      <w:divsChild>
        <w:div w:id="834809667">
          <w:marLeft w:val="0"/>
          <w:marRight w:val="0"/>
          <w:marTop w:val="0"/>
          <w:marBottom w:val="0"/>
          <w:divBdr>
            <w:top w:val="none" w:sz="0" w:space="0" w:color="auto"/>
            <w:left w:val="none" w:sz="0" w:space="0" w:color="auto"/>
            <w:bottom w:val="none" w:sz="0" w:space="0" w:color="auto"/>
            <w:right w:val="none" w:sz="0" w:space="0" w:color="auto"/>
          </w:divBdr>
        </w:div>
      </w:divsChild>
    </w:div>
    <w:div w:id="1152065533">
      <w:bodyDiv w:val="1"/>
      <w:marLeft w:val="0"/>
      <w:marRight w:val="0"/>
      <w:marTop w:val="0"/>
      <w:marBottom w:val="0"/>
      <w:divBdr>
        <w:top w:val="none" w:sz="0" w:space="0" w:color="auto"/>
        <w:left w:val="none" w:sz="0" w:space="0" w:color="auto"/>
        <w:bottom w:val="none" w:sz="0" w:space="0" w:color="auto"/>
        <w:right w:val="none" w:sz="0" w:space="0" w:color="auto"/>
      </w:divBdr>
      <w:divsChild>
        <w:div w:id="973297098">
          <w:marLeft w:val="0"/>
          <w:marRight w:val="0"/>
          <w:marTop w:val="0"/>
          <w:marBottom w:val="0"/>
          <w:divBdr>
            <w:top w:val="none" w:sz="0" w:space="0" w:color="auto"/>
            <w:left w:val="none" w:sz="0" w:space="0" w:color="auto"/>
            <w:bottom w:val="none" w:sz="0" w:space="0" w:color="auto"/>
            <w:right w:val="none" w:sz="0" w:space="0" w:color="auto"/>
          </w:divBdr>
        </w:div>
      </w:divsChild>
    </w:div>
    <w:div w:id="1180656753">
      <w:bodyDiv w:val="1"/>
      <w:marLeft w:val="0"/>
      <w:marRight w:val="0"/>
      <w:marTop w:val="0"/>
      <w:marBottom w:val="0"/>
      <w:divBdr>
        <w:top w:val="none" w:sz="0" w:space="0" w:color="auto"/>
        <w:left w:val="none" w:sz="0" w:space="0" w:color="auto"/>
        <w:bottom w:val="none" w:sz="0" w:space="0" w:color="auto"/>
        <w:right w:val="none" w:sz="0" w:space="0" w:color="auto"/>
      </w:divBdr>
      <w:divsChild>
        <w:div w:id="251009217">
          <w:marLeft w:val="0"/>
          <w:marRight w:val="0"/>
          <w:marTop w:val="0"/>
          <w:marBottom w:val="0"/>
          <w:divBdr>
            <w:top w:val="none" w:sz="0" w:space="0" w:color="auto"/>
            <w:left w:val="none" w:sz="0" w:space="0" w:color="auto"/>
            <w:bottom w:val="none" w:sz="0" w:space="0" w:color="auto"/>
            <w:right w:val="none" w:sz="0" w:space="0" w:color="auto"/>
          </w:divBdr>
        </w:div>
      </w:divsChild>
    </w:div>
    <w:div w:id="1186287376">
      <w:bodyDiv w:val="1"/>
      <w:marLeft w:val="0"/>
      <w:marRight w:val="0"/>
      <w:marTop w:val="0"/>
      <w:marBottom w:val="0"/>
      <w:divBdr>
        <w:top w:val="none" w:sz="0" w:space="0" w:color="auto"/>
        <w:left w:val="none" w:sz="0" w:space="0" w:color="auto"/>
        <w:bottom w:val="none" w:sz="0" w:space="0" w:color="auto"/>
        <w:right w:val="none" w:sz="0" w:space="0" w:color="auto"/>
      </w:divBdr>
      <w:divsChild>
        <w:div w:id="1234194179">
          <w:marLeft w:val="0"/>
          <w:marRight w:val="0"/>
          <w:marTop w:val="0"/>
          <w:marBottom w:val="0"/>
          <w:divBdr>
            <w:top w:val="none" w:sz="0" w:space="0" w:color="auto"/>
            <w:left w:val="none" w:sz="0" w:space="0" w:color="auto"/>
            <w:bottom w:val="none" w:sz="0" w:space="0" w:color="auto"/>
            <w:right w:val="none" w:sz="0" w:space="0" w:color="auto"/>
          </w:divBdr>
        </w:div>
      </w:divsChild>
    </w:div>
    <w:div w:id="1227187606">
      <w:bodyDiv w:val="1"/>
      <w:marLeft w:val="0"/>
      <w:marRight w:val="0"/>
      <w:marTop w:val="0"/>
      <w:marBottom w:val="0"/>
      <w:divBdr>
        <w:top w:val="none" w:sz="0" w:space="0" w:color="auto"/>
        <w:left w:val="none" w:sz="0" w:space="0" w:color="auto"/>
        <w:bottom w:val="none" w:sz="0" w:space="0" w:color="auto"/>
        <w:right w:val="none" w:sz="0" w:space="0" w:color="auto"/>
      </w:divBdr>
      <w:divsChild>
        <w:div w:id="520364627">
          <w:marLeft w:val="0"/>
          <w:marRight w:val="0"/>
          <w:marTop w:val="0"/>
          <w:marBottom w:val="0"/>
          <w:divBdr>
            <w:top w:val="none" w:sz="0" w:space="0" w:color="auto"/>
            <w:left w:val="none" w:sz="0" w:space="0" w:color="auto"/>
            <w:bottom w:val="none" w:sz="0" w:space="0" w:color="auto"/>
            <w:right w:val="none" w:sz="0" w:space="0" w:color="auto"/>
          </w:divBdr>
        </w:div>
      </w:divsChild>
    </w:div>
    <w:div w:id="1232538702">
      <w:bodyDiv w:val="1"/>
      <w:marLeft w:val="0"/>
      <w:marRight w:val="0"/>
      <w:marTop w:val="0"/>
      <w:marBottom w:val="0"/>
      <w:divBdr>
        <w:top w:val="none" w:sz="0" w:space="0" w:color="auto"/>
        <w:left w:val="none" w:sz="0" w:space="0" w:color="auto"/>
        <w:bottom w:val="none" w:sz="0" w:space="0" w:color="auto"/>
        <w:right w:val="none" w:sz="0" w:space="0" w:color="auto"/>
      </w:divBdr>
      <w:divsChild>
        <w:div w:id="1207764083">
          <w:marLeft w:val="0"/>
          <w:marRight w:val="0"/>
          <w:marTop w:val="0"/>
          <w:marBottom w:val="0"/>
          <w:divBdr>
            <w:top w:val="none" w:sz="0" w:space="0" w:color="auto"/>
            <w:left w:val="none" w:sz="0" w:space="0" w:color="auto"/>
            <w:bottom w:val="none" w:sz="0" w:space="0" w:color="auto"/>
            <w:right w:val="none" w:sz="0" w:space="0" w:color="auto"/>
          </w:divBdr>
        </w:div>
      </w:divsChild>
    </w:div>
    <w:div w:id="1261523293">
      <w:bodyDiv w:val="1"/>
      <w:marLeft w:val="0"/>
      <w:marRight w:val="0"/>
      <w:marTop w:val="0"/>
      <w:marBottom w:val="0"/>
      <w:divBdr>
        <w:top w:val="none" w:sz="0" w:space="0" w:color="auto"/>
        <w:left w:val="none" w:sz="0" w:space="0" w:color="auto"/>
        <w:bottom w:val="none" w:sz="0" w:space="0" w:color="auto"/>
        <w:right w:val="none" w:sz="0" w:space="0" w:color="auto"/>
      </w:divBdr>
    </w:div>
    <w:div w:id="1268464682">
      <w:bodyDiv w:val="1"/>
      <w:marLeft w:val="0"/>
      <w:marRight w:val="0"/>
      <w:marTop w:val="0"/>
      <w:marBottom w:val="0"/>
      <w:divBdr>
        <w:top w:val="none" w:sz="0" w:space="0" w:color="auto"/>
        <w:left w:val="none" w:sz="0" w:space="0" w:color="auto"/>
        <w:bottom w:val="none" w:sz="0" w:space="0" w:color="auto"/>
        <w:right w:val="none" w:sz="0" w:space="0" w:color="auto"/>
      </w:divBdr>
      <w:divsChild>
        <w:div w:id="1451628985">
          <w:marLeft w:val="0"/>
          <w:marRight w:val="0"/>
          <w:marTop w:val="0"/>
          <w:marBottom w:val="0"/>
          <w:divBdr>
            <w:top w:val="none" w:sz="0" w:space="0" w:color="auto"/>
            <w:left w:val="none" w:sz="0" w:space="0" w:color="auto"/>
            <w:bottom w:val="none" w:sz="0" w:space="0" w:color="auto"/>
            <w:right w:val="none" w:sz="0" w:space="0" w:color="auto"/>
          </w:divBdr>
        </w:div>
      </w:divsChild>
    </w:div>
    <w:div w:id="1276250725">
      <w:bodyDiv w:val="1"/>
      <w:marLeft w:val="0"/>
      <w:marRight w:val="0"/>
      <w:marTop w:val="0"/>
      <w:marBottom w:val="0"/>
      <w:divBdr>
        <w:top w:val="none" w:sz="0" w:space="0" w:color="auto"/>
        <w:left w:val="none" w:sz="0" w:space="0" w:color="auto"/>
        <w:bottom w:val="none" w:sz="0" w:space="0" w:color="auto"/>
        <w:right w:val="none" w:sz="0" w:space="0" w:color="auto"/>
      </w:divBdr>
      <w:divsChild>
        <w:div w:id="1191919122">
          <w:marLeft w:val="0"/>
          <w:marRight w:val="0"/>
          <w:marTop w:val="0"/>
          <w:marBottom w:val="0"/>
          <w:divBdr>
            <w:top w:val="none" w:sz="0" w:space="0" w:color="auto"/>
            <w:left w:val="none" w:sz="0" w:space="0" w:color="auto"/>
            <w:bottom w:val="none" w:sz="0" w:space="0" w:color="auto"/>
            <w:right w:val="none" w:sz="0" w:space="0" w:color="auto"/>
          </w:divBdr>
        </w:div>
      </w:divsChild>
    </w:div>
    <w:div w:id="1280146991">
      <w:bodyDiv w:val="1"/>
      <w:marLeft w:val="0"/>
      <w:marRight w:val="0"/>
      <w:marTop w:val="0"/>
      <w:marBottom w:val="0"/>
      <w:divBdr>
        <w:top w:val="none" w:sz="0" w:space="0" w:color="auto"/>
        <w:left w:val="none" w:sz="0" w:space="0" w:color="auto"/>
        <w:bottom w:val="none" w:sz="0" w:space="0" w:color="auto"/>
        <w:right w:val="none" w:sz="0" w:space="0" w:color="auto"/>
      </w:divBdr>
    </w:div>
    <w:div w:id="1298336090">
      <w:bodyDiv w:val="1"/>
      <w:marLeft w:val="0"/>
      <w:marRight w:val="0"/>
      <w:marTop w:val="0"/>
      <w:marBottom w:val="0"/>
      <w:divBdr>
        <w:top w:val="none" w:sz="0" w:space="0" w:color="auto"/>
        <w:left w:val="none" w:sz="0" w:space="0" w:color="auto"/>
        <w:bottom w:val="none" w:sz="0" w:space="0" w:color="auto"/>
        <w:right w:val="none" w:sz="0" w:space="0" w:color="auto"/>
      </w:divBdr>
      <w:divsChild>
        <w:div w:id="268701422">
          <w:marLeft w:val="0"/>
          <w:marRight w:val="0"/>
          <w:marTop w:val="0"/>
          <w:marBottom w:val="0"/>
          <w:divBdr>
            <w:top w:val="none" w:sz="0" w:space="0" w:color="auto"/>
            <w:left w:val="none" w:sz="0" w:space="0" w:color="auto"/>
            <w:bottom w:val="none" w:sz="0" w:space="0" w:color="auto"/>
            <w:right w:val="none" w:sz="0" w:space="0" w:color="auto"/>
          </w:divBdr>
        </w:div>
      </w:divsChild>
    </w:div>
    <w:div w:id="1331254601">
      <w:bodyDiv w:val="1"/>
      <w:marLeft w:val="0"/>
      <w:marRight w:val="0"/>
      <w:marTop w:val="0"/>
      <w:marBottom w:val="0"/>
      <w:divBdr>
        <w:top w:val="none" w:sz="0" w:space="0" w:color="auto"/>
        <w:left w:val="none" w:sz="0" w:space="0" w:color="auto"/>
        <w:bottom w:val="none" w:sz="0" w:space="0" w:color="auto"/>
        <w:right w:val="none" w:sz="0" w:space="0" w:color="auto"/>
      </w:divBdr>
      <w:divsChild>
        <w:div w:id="1603026690">
          <w:marLeft w:val="0"/>
          <w:marRight w:val="0"/>
          <w:marTop w:val="0"/>
          <w:marBottom w:val="0"/>
          <w:divBdr>
            <w:top w:val="none" w:sz="0" w:space="0" w:color="auto"/>
            <w:left w:val="none" w:sz="0" w:space="0" w:color="auto"/>
            <w:bottom w:val="none" w:sz="0" w:space="0" w:color="auto"/>
            <w:right w:val="none" w:sz="0" w:space="0" w:color="auto"/>
          </w:divBdr>
        </w:div>
      </w:divsChild>
    </w:div>
    <w:div w:id="1366758843">
      <w:bodyDiv w:val="1"/>
      <w:marLeft w:val="0"/>
      <w:marRight w:val="0"/>
      <w:marTop w:val="0"/>
      <w:marBottom w:val="0"/>
      <w:divBdr>
        <w:top w:val="none" w:sz="0" w:space="0" w:color="auto"/>
        <w:left w:val="none" w:sz="0" w:space="0" w:color="auto"/>
        <w:bottom w:val="none" w:sz="0" w:space="0" w:color="auto"/>
        <w:right w:val="none" w:sz="0" w:space="0" w:color="auto"/>
      </w:divBdr>
      <w:divsChild>
        <w:div w:id="756634332">
          <w:marLeft w:val="0"/>
          <w:marRight w:val="0"/>
          <w:marTop w:val="0"/>
          <w:marBottom w:val="0"/>
          <w:divBdr>
            <w:top w:val="none" w:sz="0" w:space="0" w:color="auto"/>
            <w:left w:val="none" w:sz="0" w:space="0" w:color="auto"/>
            <w:bottom w:val="none" w:sz="0" w:space="0" w:color="auto"/>
            <w:right w:val="none" w:sz="0" w:space="0" w:color="auto"/>
          </w:divBdr>
        </w:div>
      </w:divsChild>
    </w:div>
    <w:div w:id="1409156437">
      <w:bodyDiv w:val="1"/>
      <w:marLeft w:val="0"/>
      <w:marRight w:val="0"/>
      <w:marTop w:val="0"/>
      <w:marBottom w:val="0"/>
      <w:divBdr>
        <w:top w:val="none" w:sz="0" w:space="0" w:color="auto"/>
        <w:left w:val="none" w:sz="0" w:space="0" w:color="auto"/>
        <w:bottom w:val="none" w:sz="0" w:space="0" w:color="auto"/>
        <w:right w:val="none" w:sz="0" w:space="0" w:color="auto"/>
      </w:divBdr>
      <w:divsChild>
        <w:div w:id="10422718">
          <w:marLeft w:val="0"/>
          <w:marRight w:val="0"/>
          <w:marTop w:val="0"/>
          <w:marBottom w:val="0"/>
          <w:divBdr>
            <w:top w:val="none" w:sz="0" w:space="0" w:color="auto"/>
            <w:left w:val="none" w:sz="0" w:space="0" w:color="auto"/>
            <w:bottom w:val="none" w:sz="0" w:space="0" w:color="auto"/>
            <w:right w:val="none" w:sz="0" w:space="0" w:color="auto"/>
          </w:divBdr>
        </w:div>
      </w:divsChild>
    </w:div>
    <w:div w:id="1422414049">
      <w:bodyDiv w:val="1"/>
      <w:marLeft w:val="0"/>
      <w:marRight w:val="0"/>
      <w:marTop w:val="0"/>
      <w:marBottom w:val="0"/>
      <w:divBdr>
        <w:top w:val="none" w:sz="0" w:space="0" w:color="auto"/>
        <w:left w:val="none" w:sz="0" w:space="0" w:color="auto"/>
        <w:bottom w:val="none" w:sz="0" w:space="0" w:color="auto"/>
        <w:right w:val="none" w:sz="0" w:space="0" w:color="auto"/>
      </w:divBdr>
    </w:div>
    <w:div w:id="1455903989">
      <w:bodyDiv w:val="1"/>
      <w:marLeft w:val="0"/>
      <w:marRight w:val="0"/>
      <w:marTop w:val="0"/>
      <w:marBottom w:val="0"/>
      <w:divBdr>
        <w:top w:val="none" w:sz="0" w:space="0" w:color="auto"/>
        <w:left w:val="none" w:sz="0" w:space="0" w:color="auto"/>
        <w:bottom w:val="none" w:sz="0" w:space="0" w:color="auto"/>
        <w:right w:val="none" w:sz="0" w:space="0" w:color="auto"/>
      </w:divBdr>
      <w:divsChild>
        <w:div w:id="468011165">
          <w:marLeft w:val="0"/>
          <w:marRight w:val="0"/>
          <w:marTop w:val="0"/>
          <w:marBottom w:val="0"/>
          <w:divBdr>
            <w:top w:val="none" w:sz="0" w:space="0" w:color="auto"/>
            <w:left w:val="none" w:sz="0" w:space="0" w:color="auto"/>
            <w:bottom w:val="none" w:sz="0" w:space="0" w:color="auto"/>
            <w:right w:val="none" w:sz="0" w:space="0" w:color="auto"/>
          </w:divBdr>
        </w:div>
      </w:divsChild>
    </w:div>
    <w:div w:id="1462184449">
      <w:bodyDiv w:val="1"/>
      <w:marLeft w:val="0"/>
      <w:marRight w:val="0"/>
      <w:marTop w:val="0"/>
      <w:marBottom w:val="0"/>
      <w:divBdr>
        <w:top w:val="none" w:sz="0" w:space="0" w:color="auto"/>
        <w:left w:val="none" w:sz="0" w:space="0" w:color="auto"/>
        <w:bottom w:val="none" w:sz="0" w:space="0" w:color="auto"/>
        <w:right w:val="none" w:sz="0" w:space="0" w:color="auto"/>
      </w:divBdr>
      <w:divsChild>
        <w:div w:id="1941445576">
          <w:marLeft w:val="0"/>
          <w:marRight w:val="0"/>
          <w:marTop w:val="0"/>
          <w:marBottom w:val="0"/>
          <w:divBdr>
            <w:top w:val="none" w:sz="0" w:space="0" w:color="auto"/>
            <w:left w:val="none" w:sz="0" w:space="0" w:color="auto"/>
            <w:bottom w:val="none" w:sz="0" w:space="0" w:color="auto"/>
            <w:right w:val="none" w:sz="0" w:space="0" w:color="auto"/>
          </w:divBdr>
        </w:div>
      </w:divsChild>
    </w:div>
    <w:div w:id="1563372827">
      <w:bodyDiv w:val="1"/>
      <w:marLeft w:val="0"/>
      <w:marRight w:val="0"/>
      <w:marTop w:val="0"/>
      <w:marBottom w:val="0"/>
      <w:divBdr>
        <w:top w:val="none" w:sz="0" w:space="0" w:color="auto"/>
        <w:left w:val="none" w:sz="0" w:space="0" w:color="auto"/>
        <w:bottom w:val="none" w:sz="0" w:space="0" w:color="auto"/>
        <w:right w:val="none" w:sz="0" w:space="0" w:color="auto"/>
      </w:divBdr>
    </w:div>
    <w:div w:id="1586186677">
      <w:bodyDiv w:val="1"/>
      <w:marLeft w:val="0"/>
      <w:marRight w:val="0"/>
      <w:marTop w:val="0"/>
      <w:marBottom w:val="0"/>
      <w:divBdr>
        <w:top w:val="none" w:sz="0" w:space="0" w:color="auto"/>
        <w:left w:val="none" w:sz="0" w:space="0" w:color="auto"/>
        <w:bottom w:val="none" w:sz="0" w:space="0" w:color="auto"/>
        <w:right w:val="none" w:sz="0" w:space="0" w:color="auto"/>
      </w:divBdr>
      <w:divsChild>
        <w:div w:id="353658282">
          <w:marLeft w:val="0"/>
          <w:marRight w:val="0"/>
          <w:marTop w:val="0"/>
          <w:marBottom w:val="0"/>
          <w:divBdr>
            <w:top w:val="none" w:sz="0" w:space="0" w:color="auto"/>
            <w:left w:val="none" w:sz="0" w:space="0" w:color="auto"/>
            <w:bottom w:val="none" w:sz="0" w:space="0" w:color="auto"/>
            <w:right w:val="none" w:sz="0" w:space="0" w:color="auto"/>
          </w:divBdr>
        </w:div>
      </w:divsChild>
    </w:div>
    <w:div w:id="1628775290">
      <w:bodyDiv w:val="1"/>
      <w:marLeft w:val="0"/>
      <w:marRight w:val="0"/>
      <w:marTop w:val="0"/>
      <w:marBottom w:val="0"/>
      <w:divBdr>
        <w:top w:val="none" w:sz="0" w:space="0" w:color="auto"/>
        <w:left w:val="none" w:sz="0" w:space="0" w:color="auto"/>
        <w:bottom w:val="none" w:sz="0" w:space="0" w:color="auto"/>
        <w:right w:val="none" w:sz="0" w:space="0" w:color="auto"/>
      </w:divBdr>
      <w:divsChild>
        <w:div w:id="1011176546">
          <w:marLeft w:val="0"/>
          <w:marRight w:val="0"/>
          <w:marTop w:val="0"/>
          <w:marBottom w:val="0"/>
          <w:divBdr>
            <w:top w:val="none" w:sz="0" w:space="0" w:color="auto"/>
            <w:left w:val="none" w:sz="0" w:space="0" w:color="auto"/>
            <w:bottom w:val="none" w:sz="0" w:space="0" w:color="auto"/>
            <w:right w:val="none" w:sz="0" w:space="0" w:color="auto"/>
          </w:divBdr>
        </w:div>
      </w:divsChild>
    </w:div>
    <w:div w:id="1632706527">
      <w:bodyDiv w:val="1"/>
      <w:marLeft w:val="0"/>
      <w:marRight w:val="0"/>
      <w:marTop w:val="0"/>
      <w:marBottom w:val="0"/>
      <w:divBdr>
        <w:top w:val="none" w:sz="0" w:space="0" w:color="auto"/>
        <w:left w:val="none" w:sz="0" w:space="0" w:color="auto"/>
        <w:bottom w:val="none" w:sz="0" w:space="0" w:color="auto"/>
        <w:right w:val="none" w:sz="0" w:space="0" w:color="auto"/>
      </w:divBdr>
      <w:divsChild>
        <w:div w:id="170529876">
          <w:marLeft w:val="0"/>
          <w:marRight w:val="0"/>
          <w:marTop w:val="0"/>
          <w:marBottom w:val="0"/>
          <w:divBdr>
            <w:top w:val="none" w:sz="0" w:space="0" w:color="auto"/>
            <w:left w:val="none" w:sz="0" w:space="0" w:color="auto"/>
            <w:bottom w:val="none" w:sz="0" w:space="0" w:color="auto"/>
            <w:right w:val="none" w:sz="0" w:space="0" w:color="auto"/>
          </w:divBdr>
        </w:div>
      </w:divsChild>
    </w:div>
    <w:div w:id="1700088042">
      <w:bodyDiv w:val="1"/>
      <w:marLeft w:val="0"/>
      <w:marRight w:val="0"/>
      <w:marTop w:val="0"/>
      <w:marBottom w:val="0"/>
      <w:divBdr>
        <w:top w:val="none" w:sz="0" w:space="0" w:color="auto"/>
        <w:left w:val="none" w:sz="0" w:space="0" w:color="auto"/>
        <w:bottom w:val="none" w:sz="0" w:space="0" w:color="auto"/>
        <w:right w:val="none" w:sz="0" w:space="0" w:color="auto"/>
      </w:divBdr>
      <w:divsChild>
        <w:div w:id="1759058795">
          <w:marLeft w:val="0"/>
          <w:marRight w:val="0"/>
          <w:marTop w:val="0"/>
          <w:marBottom w:val="0"/>
          <w:divBdr>
            <w:top w:val="none" w:sz="0" w:space="0" w:color="auto"/>
            <w:left w:val="none" w:sz="0" w:space="0" w:color="auto"/>
            <w:bottom w:val="none" w:sz="0" w:space="0" w:color="auto"/>
            <w:right w:val="none" w:sz="0" w:space="0" w:color="auto"/>
          </w:divBdr>
        </w:div>
      </w:divsChild>
    </w:div>
    <w:div w:id="1712725709">
      <w:bodyDiv w:val="1"/>
      <w:marLeft w:val="0"/>
      <w:marRight w:val="0"/>
      <w:marTop w:val="0"/>
      <w:marBottom w:val="0"/>
      <w:divBdr>
        <w:top w:val="none" w:sz="0" w:space="0" w:color="auto"/>
        <w:left w:val="none" w:sz="0" w:space="0" w:color="auto"/>
        <w:bottom w:val="none" w:sz="0" w:space="0" w:color="auto"/>
        <w:right w:val="none" w:sz="0" w:space="0" w:color="auto"/>
      </w:divBdr>
    </w:div>
    <w:div w:id="1773938160">
      <w:bodyDiv w:val="1"/>
      <w:marLeft w:val="0"/>
      <w:marRight w:val="0"/>
      <w:marTop w:val="0"/>
      <w:marBottom w:val="0"/>
      <w:divBdr>
        <w:top w:val="none" w:sz="0" w:space="0" w:color="auto"/>
        <w:left w:val="none" w:sz="0" w:space="0" w:color="auto"/>
        <w:bottom w:val="none" w:sz="0" w:space="0" w:color="auto"/>
        <w:right w:val="none" w:sz="0" w:space="0" w:color="auto"/>
      </w:divBdr>
      <w:divsChild>
        <w:div w:id="41372263">
          <w:marLeft w:val="0"/>
          <w:marRight w:val="0"/>
          <w:marTop w:val="0"/>
          <w:marBottom w:val="0"/>
          <w:divBdr>
            <w:top w:val="none" w:sz="0" w:space="0" w:color="auto"/>
            <w:left w:val="none" w:sz="0" w:space="0" w:color="auto"/>
            <w:bottom w:val="none" w:sz="0" w:space="0" w:color="auto"/>
            <w:right w:val="none" w:sz="0" w:space="0" w:color="auto"/>
          </w:divBdr>
        </w:div>
      </w:divsChild>
    </w:div>
    <w:div w:id="1775049921">
      <w:bodyDiv w:val="1"/>
      <w:marLeft w:val="0"/>
      <w:marRight w:val="0"/>
      <w:marTop w:val="0"/>
      <w:marBottom w:val="0"/>
      <w:divBdr>
        <w:top w:val="none" w:sz="0" w:space="0" w:color="auto"/>
        <w:left w:val="none" w:sz="0" w:space="0" w:color="auto"/>
        <w:bottom w:val="none" w:sz="0" w:space="0" w:color="auto"/>
        <w:right w:val="none" w:sz="0" w:space="0" w:color="auto"/>
      </w:divBdr>
    </w:div>
    <w:div w:id="1800032514">
      <w:bodyDiv w:val="1"/>
      <w:marLeft w:val="0"/>
      <w:marRight w:val="0"/>
      <w:marTop w:val="0"/>
      <w:marBottom w:val="0"/>
      <w:divBdr>
        <w:top w:val="none" w:sz="0" w:space="0" w:color="auto"/>
        <w:left w:val="none" w:sz="0" w:space="0" w:color="auto"/>
        <w:bottom w:val="none" w:sz="0" w:space="0" w:color="auto"/>
        <w:right w:val="none" w:sz="0" w:space="0" w:color="auto"/>
      </w:divBdr>
      <w:divsChild>
        <w:div w:id="299002250">
          <w:marLeft w:val="0"/>
          <w:marRight w:val="0"/>
          <w:marTop w:val="0"/>
          <w:marBottom w:val="0"/>
          <w:divBdr>
            <w:top w:val="none" w:sz="0" w:space="0" w:color="auto"/>
            <w:left w:val="none" w:sz="0" w:space="0" w:color="auto"/>
            <w:bottom w:val="none" w:sz="0" w:space="0" w:color="auto"/>
            <w:right w:val="none" w:sz="0" w:space="0" w:color="auto"/>
          </w:divBdr>
        </w:div>
      </w:divsChild>
    </w:div>
    <w:div w:id="1878156996">
      <w:bodyDiv w:val="1"/>
      <w:marLeft w:val="0"/>
      <w:marRight w:val="0"/>
      <w:marTop w:val="0"/>
      <w:marBottom w:val="0"/>
      <w:divBdr>
        <w:top w:val="none" w:sz="0" w:space="0" w:color="auto"/>
        <w:left w:val="none" w:sz="0" w:space="0" w:color="auto"/>
        <w:bottom w:val="none" w:sz="0" w:space="0" w:color="auto"/>
        <w:right w:val="none" w:sz="0" w:space="0" w:color="auto"/>
      </w:divBdr>
      <w:divsChild>
        <w:div w:id="1962029606">
          <w:marLeft w:val="0"/>
          <w:marRight w:val="0"/>
          <w:marTop w:val="0"/>
          <w:marBottom w:val="0"/>
          <w:divBdr>
            <w:top w:val="none" w:sz="0" w:space="0" w:color="auto"/>
            <w:left w:val="none" w:sz="0" w:space="0" w:color="auto"/>
            <w:bottom w:val="none" w:sz="0" w:space="0" w:color="auto"/>
            <w:right w:val="none" w:sz="0" w:space="0" w:color="auto"/>
          </w:divBdr>
        </w:div>
      </w:divsChild>
    </w:div>
    <w:div w:id="1894349281">
      <w:bodyDiv w:val="1"/>
      <w:marLeft w:val="0"/>
      <w:marRight w:val="0"/>
      <w:marTop w:val="0"/>
      <w:marBottom w:val="0"/>
      <w:divBdr>
        <w:top w:val="none" w:sz="0" w:space="0" w:color="auto"/>
        <w:left w:val="none" w:sz="0" w:space="0" w:color="auto"/>
        <w:bottom w:val="none" w:sz="0" w:space="0" w:color="auto"/>
        <w:right w:val="none" w:sz="0" w:space="0" w:color="auto"/>
      </w:divBdr>
      <w:divsChild>
        <w:div w:id="2104260399">
          <w:marLeft w:val="0"/>
          <w:marRight w:val="0"/>
          <w:marTop w:val="0"/>
          <w:marBottom w:val="0"/>
          <w:divBdr>
            <w:top w:val="none" w:sz="0" w:space="0" w:color="auto"/>
            <w:left w:val="none" w:sz="0" w:space="0" w:color="auto"/>
            <w:bottom w:val="none" w:sz="0" w:space="0" w:color="auto"/>
            <w:right w:val="none" w:sz="0" w:space="0" w:color="auto"/>
          </w:divBdr>
        </w:div>
      </w:divsChild>
    </w:div>
    <w:div w:id="1926107014">
      <w:bodyDiv w:val="1"/>
      <w:marLeft w:val="0"/>
      <w:marRight w:val="0"/>
      <w:marTop w:val="0"/>
      <w:marBottom w:val="0"/>
      <w:divBdr>
        <w:top w:val="none" w:sz="0" w:space="0" w:color="auto"/>
        <w:left w:val="none" w:sz="0" w:space="0" w:color="auto"/>
        <w:bottom w:val="none" w:sz="0" w:space="0" w:color="auto"/>
        <w:right w:val="none" w:sz="0" w:space="0" w:color="auto"/>
      </w:divBdr>
      <w:divsChild>
        <w:div w:id="624194738">
          <w:marLeft w:val="0"/>
          <w:marRight w:val="0"/>
          <w:marTop w:val="0"/>
          <w:marBottom w:val="0"/>
          <w:divBdr>
            <w:top w:val="none" w:sz="0" w:space="0" w:color="auto"/>
            <w:left w:val="none" w:sz="0" w:space="0" w:color="auto"/>
            <w:bottom w:val="none" w:sz="0" w:space="0" w:color="auto"/>
            <w:right w:val="none" w:sz="0" w:space="0" w:color="auto"/>
          </w:divBdr>
        </w:div>
      </w:divsChild>
    </w:div>
    <w:div w:id="1961302209">
      <w:bodyDiv w:val="1"/>
      <w:marLeft w:val="0"/>
      <w:marRight w:val="0"/>
      <w:marTop w:val="0"/>
      <w:marBottom w:val="0"/>
      <w:divBdr>
        <w:top w:val="none" w:sz="0" w:space="0" w:color="auto"/>
        <w:left w:val="none" w:sz="0" w:space="0" w:color="auto"/>
        <w:bottom w:val="none" w:sz="0" w:space="0" w:color="auto"/>
        <w:right w:val="none" w:sz="0" w:space="0" w:color="auto"/>
      </w:divBdr>
      <w:divsChild>
        <w:div w:id="104077633">
          <w:marLeft w:val="0"/>
          <w:marRight w:val="0"/>
          <w:marTop w:val="0"/>
          <w:marBottom w:val="0"/>
          <w:divBdr>
            <w:top w:val="none" w:sz="0" w:space="0" w:color="auto"/>
            <w:left w:val="none" w:sz="0" w:space="0" w:color="auto"/>
            <w:bottom w:val="none" w:sz="0" w:space="0" w:color="auto"/>
            <w:right w:val="none" w:sz="0" w:space="0" w:color="auto"/>
          </w:divBdr>
        </w:div>
      </w:divsChild>
    </w:div>
    <w:div w:id="2010325560">
      <w:bodyDiv w:val="1"/>
      <w:marLeft w:val="0"/>
      <w:marRight w:val="0"/>
      <w:marTop w:val="0"/>
      <w:marBottom w:val="0"/>
      <w:divBdr>
        <w:top w:val="none" w:sz="0" w:space="0" w:color="auto"/>
        <w:left w:val="none" w:sz="0" w:space="0" w:color="auto"/>
        <w:bottom w:val="none" w:sz="0" w:space="0" w:color="auto"/>
        <w:right w:val="none" w:sz="0" w:space="0" w:color="auto"/>
      </w:divBdr>
      <w:divsChild>
        <w:div w:id="2076582470">
          <w:marLeft w:val="0"/>
          <w:marRight w:val="0"/>
          <w:marTop w:val="0"/>
          <w:marBottom w:val="0"/>
          <w:divBdr>
            <w:top w:val="none" w:sz="0" w:space="0" w:color="auto"/>
            <w:left w:val="none" w:sz="0" w:space="0" w:color="auto"/>
            <w:bottom w:val="none" w:sz="0" w:space="0" w:color="auto"/>
            <w:right w:val="none" w:sz="0" w:space="0" w:color="auto"/>
          </w:divBdr>
        </w:div>
      </w:divsChild>
    </w:div>
    <w:div w:id="2011519208">
      <w:bodyDiv w:val="1"/>
      <w:marLeft w:val="0"/>
      <w:marRight w:val="0"/>
      <w:marTop w:val="0"/>
      <w:marBottom w:val="0"/>
      <w:divBdr>
        <w:top w:val="none" w:sz="0" w:space="0" w:color="auto"/>
        <w:left w:val="none" w:sz="0" w:space="0" w:color="auto"/>
        <w:bottom w:val="none" w:sz="0" w:space="0" w:color="auto"/>
        <w:right w:val="none" w:sz="0" w:space="0" w:color="auto"/>
      </w:divBdr>
    </w:div>
    <w:div w:id="2028633927">
      <w:bodyDiv w:val="1"/>
      <w:marLeft w:val="0"/>
      <w:marRight w:val="0"/>
      <w:marTop w:val="0"/>
      <w:marBottom w:val="0"/>
      <w:divBdr>
        <w:top w:val="none" w:sz="0" w:space="0" w:color="auto"/>
        <w:left w:val="none" w:sz="0" w:space="0" w:color="auto"/>
        <w:bottom w:val="none" w:sz="0" w:space="0" w:color="auto"/>
        <w:right w:val="none" w:sz="0" w:space="0" w:color="auto"/>
      </w:divBdr>
    </w:div>
    <w:div w:id="2034961978">
      <w:bodyDiv w:val="1"/>
      <w:marLeft w:val="0"/>
      <w:marRight w:val="0"/>
      <w:marTop w:val="0"/>
      <w:marBottom w:val="0"/>
      <w:divBdr>
        <w:top w:val="none" w:sz="0" w:space="0" w:color="auto"/>
        <w:left w:val="none" w:sz="0" w:space="0" w:color="auto"/>
        <w:bottom w:val="none" w:sz="0" w:space="0" w:color="auto"/>
        <w:right w:val="none" w:sz="0" w:space="0" w:color="auto"/>
      </w:divBdr>
      <w:divsChild>
        <w:div w:id="1787386456">
          <w:marLeft w:val="0"/>
          <w:marRight w:val="0"/>
          <w:marTop w:val="0"/>
          <w:marBottom w:val="0"/>
          <w:divBdr>
            <w:top w:val="none" w:sz="0" w:space="0" w:color="auto"/>
            <w:left w:val="none" w:sz="0" w:space="0" w:color="auto"/>
            <w:bottom w:val="none" w:sz="0" w:space="0" w:color="auto"/>
            <w:right w:val="none" w:sz="0" w:space="0" w:color="auto"/>
          </w:divBdr>
        </w:div>
      </w:divsChild>
    </w:div>
    <w:div w:id="2047245510">
      <w:bodyDiv w:val="1"/>
      <w:marLeft w:val="0"/>
      <w:marRight w:val="0"/>
      <w:marTop w:val="0"/>
      <w:marBottom w:val="0"/>
      <w:divBdr>
        <w:top w:val="none" w:sz="0" w:space="0" w:color="auto"/>
        <w:left w:val="none" w:sz="0" w:space="0" w:color="auto"/>
        <w:bottom w:val="none" w:sz="0" w:space="0" w:color="auto"/>
        <w:right w:val="none" w:sz="0" w:space="0" w:color="auto"/>
      </w:divBdr>
      <w:divsChild>
        <w:div w:id="82604807">
          <w:marLeft w:val="0"/>
          <w:marRight w:val="0"/>
          <w:marTop w:val="0"/>
          <w:marBottom w:val="0"/>
          <w:divBdr>
            <w:top w:val="none" w:sz="0" w:space="0" w:color="auto"/>
            <w:left w:val="none" w:sz="0" w:space="0" w:color="auto"/>
            <w:bottom w:val="none" w:sz="0" w:space="0" w:color="auto"/>
            <w:right w:val="none" w:sz="0" w:space="0" w:color="auto"/>
          </w:divBdr>
        </w:div>
      </w:divsChild>
    </w:div>
    <w:div w:id="2058700152">
      <w:bodyDiv w:val="1"/>
      <w:marLeft w:val="0"/>
      <w:marRight w:val="0"/>
      <w:marTop w:val="0"/>
      <w:marBottom w:val="0"/>
      <w:divBdr>
        <w:top w:val="none" w:sz="0" w:space="0" w:color="auto"/>
        <w:left w:val="none" w:sz="0" w:space="0" w:color="auto"/>
        <w:bottom w:val="none" w:sz="0" w:space="0" w:color="auto"/>
        <w:right w:val="none" w:sz="0" w:space="0" w:color="auto"/>
      </w:divBdr>
      <w:divsChild>
        <w:div w:id="296885713">
          <w:marLeft w:val="0"/>
          <w:marRight w:val="0"/>
          <w:marTop w:val="0"/>
          <w:marBottom w:val="0"/>
          <w:divBdr>
            <w:top w:val="none" w:sz="0" w:space="0" w:color="auto"/>
            <w:left w:val="none" w:sz="0" w:space="0" w:color="auto"/>
            <w:bottom w:val="none" w:sz="0" w:space="0" w:color="auto"/>
            <w:right w:val="none" w:sz="0" w:space="0" w:color="auto"/>
          </w:divBdr>
        </w:div>
      </w:divsChild>
    </w:div>
    <w:div w:id="2075657921">
      <w:bodyDiv w:val="1"/>
      <w:marLeft w:val="0"/>
      <w:marRight w:val="0"/>
      <w:marTop w:val="0"/>
      <w:marBottom w:val="0"/>
      <w:divBdr>
        <w:top w:val="none" w:sz="0" w:space="0" w:color="auto"/>
        <w:left w:val="none" w:sz="0" w:space="0" w:color="auto"/>
        <w:bottom w:val="none" w:sz="0" w:space="0" w:color="auto"/>
        <w:right w:val="none" w:sz="0" w:space="0" w:color="auto"/>
      </w:divBdr>
      <w:divsChild>
        <w:div w:id="160119815">
          <w:marLeft w:val="0"/>
          <w:marRight w:val="0"/>
          <w:marTop w:val="0"/>
          <w:marBottom w:val="0"/>
          <w:divBdr>
            <w:top w:val="none" w:sz="0" w:space="0" w:color="auto"/>
            <w:left w:val="none" w:sz="0" w:space="0" w:color="auto"/>
            <w:bottom w:val="none" w:sz="0" w:space="0" w:color="auto"/>
            <w:right w:val="none" w:sz="0" w:space="0" w:color="auto"/>
          </w:divBdr>
        </w:div>
      </w:divsChild>
    </w:div>
    <w:div w:id="2089033093">
      <w:bodyDiv w:val="1"/>
      <w:marLeft w:val="0"/>
      <w:marRight w:val="0"/>
      <w:marTop w:val="0"/>
      <w:marBottom w:val="0"/>
      <w:divBdr>
        <w:top w:val="none" w:sz="0" w:space="0" w:color="auto"/>
        <w:left w:val="none" w:sz="0" w:space="0" w:color="auto"/>
        <w:bottom w:val="none" w:sz="0" w:space="0" w:color="auto"/>
        <w:right w:val="none" w:sz="0" w:space="0" w:color="auto"/>
      </w:divBdr>
    </w:div>
    <w:div w:id="2090881253">
      <w:bodyDiv w:val="1"/>
      <w:marLeft w:val="0"/>
      <w:marRight w:val="0"/>
      <w:marTop w:val="0"/>
      <w:marBottom w:val="0"/>
      <w:divBdr>
        <w:top w:val="none" w:sz="0" w:space="0" w:color="auto"/>
        <w:left w:val="none" w:sz="0" w:space="0" w:color="auto"/>
        <w:bottom w:val="none" w:sz="0" w:space="0" w:color="auto"/>
        <w:right w:val="none" w:sz="0" w:space="0" w:color="auto"/>
      </w:divBdr>
      <w:divsChild>
        <w:div w:id="576717604">
          <w:marLeft w:val="0"/>
          <w:marRight w:val="0"/>
          <w:marTop w:val="0"/>
          <w:marBottom w:val="0"/>
          <w:divBdr>
            <w:top w:val="none" w:sz="0" w:space="0" w:color="auto"/>
            <w:left w:val="none" w:sz="0" w:space="0" w:color="auto"/>
            <w:bottom w:val="none" w:sz="0" w:space="0" w:color="auto"/>
            <w:right w:val="none" w:sz="0" w:space="0" w:color="auto"/>
          </w:divBdr>
        </w:div>
      </w:divsChild>
    </w:div>
    <w:div w:id="2145350628">
      <w:bodyDiv w:val="1"/>
      <w:marLeft w:val="0"/>
      <w:marRight w:val="0"/>
      <w:marTop w:val="0"/>
      <w:marBottom w:val="0"/>
      <w:divBdr>
        <w:top w:val="none" w:sz="0" w:space="0" w:color="auto"/>
        <w:left w:val="none" w:sz="0" w:space="0" w:color="auto"/>
        <w:bottom w:val="none" w:sz="0" w:space="0" w:color="auto"/>
        <w:right w:val="none" w:sz="0" w:space="0" w:color="auto"/>
      </w:divBdr>
    </w:div>
    <w:div w:id="2145466715">
      <w:bodyDiv w:val="1"/>
      <w:marLeft w:val="0"/>
      <w:marRight w:val="0"/>
      <w:marTop w:val="0"/>
      <w:marBottom w:val="0"/>
      <w:divBdr>
        <w:top w:val="none" w:sz="0" w:space="0" w:color="auto"/>
        <w:left w:val="none" w:sz="0" w:space="0" w:color="auto"/>
        <w:bottom w:val="none" w:sz="0" w:space="0" w:color="auto"/>
        <w:right w:val="none" w:sz="0" w:space="0" w:color="auto"/>
      </w:divBdr>
      <w:divsChild>
        <w:div w:id="38144042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microsoft.com/office/2007/relationships/hdphoto" Target="media/hdphoto1.wdp"/><Relationship Id="rId18" Type="http://schemas.openxmlformats.org/officeDocument/2006/relationships/image" Target="media/image7.jpg"/><Relationship Id="rId26" Type="http://schemas.openxmlformats.org/officeDocument/2006/relationships/image" Target="media/image9.png"/><Relationship Id="rId21" Type="http://schemas.openxmlformats.org/officeDocument/2006/relationships/header" Target="header2.xml"/><Relationship Id="rId34" Type="http://schemas.openxmlformats.org/officeDocument/2006/relationships/hyperlink" Target="https://nhswales365.sharepoint.com/sites/SBU_ClinicalAuditAndEffectiveness/SitePages/Health-Board-Priority-Topics.aspx?xsdata=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%3D&amp;sdata=K1IrZXRnWmFzSGtBcndLZVdnZmhrRDhxNnFYNmluWnVTSnFOUW5mNHhRcz0%3D&amp;ovuser=bb5628b8-e328-4082-a856-433c9edc8fae%2CSharon.E.Ragbetli%40wales.nhs.uk&amp;OR=Teams-HL&amp;CT=1751525034119&amp;clickparams=eyJBcHBOYW1lIjoiVGVhbXMtRGVza3RvcCIsIkFwcFZlcnNpb24iOiI0OS8yNTA2MDIwNjYxNiIsIkhhc0ZlZGVyYXRlZFVzZXIiOmZhbHNlfQ%3D%3D"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6.jpg"/><Relationship Id="rId25" Type="http://schemas.openxmlformats.org/officeDocument/2006/relationships/footer" Target="footer3.xml"/><Relationship Id="rId33" Type="http://schemas.openxmlformats.org/officeDocument/2006/relationships/hyperlink" Target="mailto:SBU.COEG@wales.nhs.uk" TargetMode="External"/><Relationship Id="rId2" Type="http://schemas.openxmlformats.org/officeDocument/2006/relationships/customXml" Target="../customXml/item2.xml"/><Relationship Id="rId16" Type="http://schemas.openxmlformats.org/officeDocument/2006/relationships/image" Target="media/image5.jpg"/><Relationship Id="rId20" Type="http://schemas.openxmlformats.org/officeDocument/2006/relationships/header" Target="header1.xml"/><Relationship Id="rId29" Type="http://schemas.openxmlformats.org/officeDocument/2006/relationships/hyperlink" Target="https://nhswales365.sharepoint.com/sites/SBU_ClinicalAuditAndEffectiveness?xsdata=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%3D&amp;sdata=M1I5V0tLTURqTEZFS0hjZU1zTGs4d1dXYTgreDdtRWtza2oxYzJpMlV2RT0%3D&amp;ovuser=bb5628b8-e328-4082-a856-433c9edc8fae%2CSharon.E.Ragbetli%40wales.nhs.uk&amp;OR=Teams-HL&amp;CT=1751524659088&amp;clickparams=eyJBcHBOYW1lIjoiVGVhbXMtRGVza3RvcCIsIkFwcFZlcnNpb24iOiI0OS8yNTA2MDIwNjYxNiIsIkhhc0ZlZGVyYXRlZFVzZXIiOmZhbHNlfQ%3D%3D"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header" Target="header3.xml"/><Relationship Id="rId32" Type="http://schemas.openxmlformats.org/officeDocument/2006/relationships/hyperlink" Target="https://nhswales365.sharepoint.com/sites/SBU_ClinicalAuditAndEffectiveness/_layouts/15/Events.aspx?ListGuid=8edd2d51-f8f6-4382-9b2b-d35fc77cb007&amp;Category=Audit%20date&amp;StartDate=2025-07-03&amp;EndDate=2025-12-31&amp;AudienceTarget=false&amp;xsdata=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%3D&amp;sdata=clgwcWdrc1Z0Tkxsc2Y5N01KYUxmdE54UE05dVpNTXRqSjR6TzZHaCtiUT0%3D&amp;ovuser=bb5628b8-e328-4082-a856-433c9edc8fae%2CSharon.E.Ragbetli%40wales.nhs.uk&amp;OR=Teams-HL&amp;CT=1751524997076&amp;clickparams=eyJBcHBOYW1lIjoiVGVhbXMtRGVza3RvcCIsIkFwcFZlcnNpb24iOiI0OS8yNTA2MDIwNjYxNiIsIkhhc0ZlZGVyYXRlZFVzZXIiOmZhbHNlfQ%3D%3D" TargetMode="External"/><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4.jpg"/><Relationship Id="rId23" Type="http://schemas.openxmlformats.org/officeDocument/2006/relationships/footer" Target="footer2.xml"/><Relationship Id="rId28" Type="http://schemas.openxmlformats.org/officeDocument/2006/relationships/hyperlink" Target="mailto:SBU.ClinicalAuditProposals@wales.nhs.uk" TargetMode="External"/><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8.jpg"/><Relationship Id="rId31" Type="http://schemas.openxmlformats.org/officeDocument/2006/relationships/hyperlink" Target="https://nhswales365.sharepoint.com/sites/SBU_ClinicalAuditAndEffectiveness/SitePages/Audit-Process-at-SBUHB.aspx"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jpg"/><Relationship Id="rId22" Type="http://schemas.openxmlformats.org/officeDocument/2006/relationships/footer" Target="footer1.xml"/><Relationship Id="rId27" Type="http://schemas.microsoft.com/office/2007/relationships/hdphoto" Target="media/hdphoto2.wdp"/><Relationship Id="rId30" Type="http://schemas.openxmlformats.org/officeDocument/2006/relationships/hyperlink" Target="https://nhswales365.sharepoint.com/sites/SBU_ClinicalAuditAndEffectiveness/SitePages/Audit-Leads.aspx?xsdata=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%3D&amp;sdata=NUsycCtYbmkyY1VrNytQRHU4ZHRJTnpCaUFvQWg2cis5SExybmV1cXFSZz0%3D&amp;ovuser=bb5628b8-e328-4082-a856-433c9edc8fae%2CSharon.E.Ragbetli%40wales.nhs.uk&amp;OR=Teams-HL&amp;CT=1751524727745&amp;clickparams=eyJBcHBOYW1lIjoiVGVhbXMtRGVza3RvcCIsIkFwcFZlcnNpb24iOiI0OS8yNTA2MDIwNjYxNiIsIkhhc0ZlZGVyYXRlZFVzZXIiOmZhbHNlfQ%3D%3D" TargetMode="External"/><Relationship Id="rId35" Type="http://schemas.openxmlformats.org/officeDocument/2006/relationships/hyperlink" Target="mailto:SBU.MortalityReview@wales.nhs.uk" TargetMode="External"/><Relationship Id="rId8" Type="http://schemas.openxmlformats.org/officeDocument/2006/relationships/webSettings" Target="webSetting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Riblet">
      <a:fillStyleLst>
        <a:solidFill>
          <a:schemeClr val="phClr"/>
        </a:solidFill>
        <a:solidFill>
          <a:schemeClr val="phClr">
            <a:tint val="65000"/>
          </a:schemeClr>
        </a:solidFill>
        <a:solidFill>
          <a:schemeClr val="phClr">
            <a:shade val="80000"/>
            <a:satMod val="150000"/>
          </a:schemeClr>
        </a:solidFill>
      </a:fillStyleLst>
      <a:lnStyleLst>
        <a:ln w="9525" cap="flat" cmpd="sng" algn="ctr">
          <a:solidFill>
            <a:schemeClr val="phClr"/>
          </a:solidFill>
          <a:prstDash val="solid"/>
        </a:ln>
        <a:ln w="17145" cap="flat" cmpd="sng" algn="ctr">
          <a:solidFill>
            <a:schemeClr val="phClr"/>
          </a:solidFill>
          <a:prstDash val="solid"/>
        </a:ln>
        <a:ln w="58420" cap="flat" cmpd="thickThin" algn="ctr">
          <a:solidFill>
            <a:schemeClr val="phClr">
              <a:shade val="95000"/>
              <a:alpha val="50000"/>
              <a:satMod val="150000"/>
            </a:schemeClr>
          </a:solidFill>
          <a:prstDash val="solid"/>
        </a:ln>
      </a:lnStyleLst>
      <a:effectStyleLst>
        <a:effectStyle>
          <a:effectLst/>
        </a:effectStyle>
        <a:effectStyle>
          <a:effectLst>
            <a:outerShdw blurRad="50800" dist="38100" dir="2700000" rotWithShape="0">
              <a:srgbClr val="000000">
                <a:alpha val="60000"/>
              </a:srgbClr>
            </a:outerShdw>
          </a:effectLst>
          <a:scene3d>
            <a:camera prst="orthographicFront">
              <a:rot lat="0" lon="0" rev="0"/>
            </a:camera>
            <a:lightRig rig="flat" dir="tl"/>
          </a:scene3d>
          <a:sp3d prstMaterial="flat">
            <a:bevelT w="31750" h="63500" prst="riblet"/>
          </a:sp3d>
        </a:effectStyle>
        <a:effectStyle>
          <a:effectLst>
            <a:outerShdw blurRad="50800" dist="38100" dir="2700000" algn="ctr" rotWithShape="0">
              <a:srgbClr val="000000">
                <a:alpha val="60000"/>
              </a:srgbClr>
            </a:outerShdw>
          </a:effectLst>
          <a:scene3d>
            <a:camera prst="orthographicFront">
              <a:rot lat="0" lon="0" rev="0"/>
            </a:camera>
            <a:lightRig rig="flat" dir="tl"/>
          </a:scene3d>
          <a:sp3d prstMaterial="flat">
            <a:bevelT w="57150" h="114300" prst="riblet"/>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01C022EFBB18C64ABE3B9933434D2554" ma:contentTypeVersion="15" ma:contentTypeDescription="Create a new document." ma:contentTypeScope="" ma:versionID="2b64952811415c62d0d0df39f3d34ba2">
  <xsd:schema xmlns:xsd="http://www.w3.org/2001/XMLSchema" xmlns:xs="http://www.w3.org/2001/XMLSchema" xmlns:p="http://schemas.microsoft.com/office/2006/metadata/properties" xmlns:ns1="http://schemas.microsoft.com/sharepoint/v3" xmlns:ns2="60b0568e-e574-4342-a9c0-c22c6fec6509" xmlns:ns3="fdfaf355-f7ae-47f3-8f93-739a60756710" targetNamespace="http://schemas.microsoft.com/office/2006/metadata/properties" ma:root="true" ma:fieldsID="b85015dbfa83b7beca0f1d5edc8036d9" ns1:_="" ns2:_="" ns3:_="">
    <xsd:import namespace="http://schemas.microsoft.com/sharepoint/v3"/>
    <xsd:import namespace="60b0568e-e574-4342-a9c0-c22c6fec6509"/>
    <xsd:import namespace="fdfaf355-f7ae-47f3-8f93-739a6075671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0b0568e-e574-4342-a9c0-c22c6fec65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cefaef41-70dc-4075-804e-d4e4dbdaeee0"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dfaf355-f7ae-47f3-8f93-739a60756710"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2c2f2e62-4dc6-41ef-ad8c-e640d42d75ed}" ma:internalName="TaxCatchAll" ma:showField="CatchAllData" ma:web="fdfaf355-f7ae-47f3-8f93-739a607567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60b0568e-e574-4342-a9c0-c22c6fec6509">
      <Terms xmlns="http://schemas.microsoft.com/office/infopath/2007/PartnerControls"/>
    </lcf76f155ced4ddcb4097134ff3c332f>
    <TaxCatchAll xmlns="fdfaf355-f7ae-47f3-8f93-739a60756710" xsi:nil="true"/>
  </documentManagement>
</p:properties>
</file>

<file path=customXml/itemProps1.xml><?xml version="1.0" encoding="utf-8"?>
<ds:datastoreItem xmlns:ds="http://schemas.openxmlformats.org/officeDocument/2006/customXml" ds:itemID="{95E33FF3-0C90-4B5E-8F0E-84427F86A22C}">
  <ds:schemaRefs>
    <ds:schemaRef ds:uri="http://schemas.microsoft.com/sharepoint/v3/contenttype/forms"/>
  </ds:schemaRefs>
</ds:datastoreItem>
</file>

<file path=customXml/itemProps2.xml><?xml version="1.0" encoding="utf-8"?>
<ds:datastoreItem xmlns:ds="http://schemas.openxmlformats.org/officeDocument/2006/customXml" ds:itemID="{D6C6662D-5F6C-4B71-96EF-3B67C6EB987F}">
  <ds:schemaRefs>
    <ds:schemaRef ds:uri="http://schemas.openxmlformats.org/officeDocument/2006/bibliography"/>
  </ds:schemaRefs>
</ds:datastoreItem>
</file>

<file path=customXml/itemProps3.xml><?xml version="1.0" encoding="utf-8"?>
<ds:datastoreItem xmlns:ds="http://schemas.openxmlformats.org/officeDocument/2006/customXml" ds:itemID="{BC3F14F9-74D6-45D4-9DC8-488EFA4D494C}"/>
</file>

<file path=customXml/itemProps4.xml><?xml version="1.0" encoding="utf-8"?>
<ds:datastoreItem xmlns:ds="http://schemas.openxmlformats.org/officeDocument/2006/customXml" ds:itemID="{666C9770-FA27-4244-B709-5CB3643CB8AF}">
  <ds:schemaRefs>
    <ds:schemaRef ds:uri="http://schemas.microsoft.com/office/2006/metadata/properties"/>
    <ds:schemaRef ds:uri="http://schemas.microsoft.com/office/infopath/2007/PartnerControls"/>
    <ds:schemaRef ds:uri="http://schemas.microsoft.com/sharepoint/v3"/>
    <ds:schemaRef ds:uri="837d989f-4acb-4f55-bb7b-a2cb0063a41c"/>
    <ds:schemaRef ds:uri="9235809d-a214-4f91-8056-b2fd66116acf"/>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37</Pages>
  <Words>12572</Words>
  <Characters>71664</Characters>
  <Application>Microsoft Office Word</Application>
  <DocSecurity>0</DocSecurity>
  <Lines>597</Lines>
  <Paragraphs>168</Paragraphs>
  <ScaleCrop>false</ScaleCrop>
  <HeadingPairs>
    <vt:vector size="2" baseType="variant">
      <vt:variant>
        <vt:lpstr>Title</vt:lpstr>
      </vt:variant>
      <vt:variant>
        <vt:i4>1</vt:i4>
      </vt:variant>
    </vt:vector>
  </HeadingPairs>
  <TitlesOfParts>
    <vt:vector size="1" baseType="lpstr">
      <vt:lpstr/>
    </vt:vector>
  </TitlesOfParts>
  <Company>SBU</Company>
  <LinksUpToDate>false</LinksUpToDate>
  <CharactersWithSpaces>84068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Sharon Ragbetli (Swansea Bay UHB - Clinical Audit &amp; Effectiveness)</dc:creator>
  <cp:keywords/>
  <dc:description/>
  <cp:lastModifiedBy>Sharon Ragbetli (Swansea Bay UHB - Clinical Audit &amp; Effectiveness)</cp:lastModifiedBy>
  <cp:revision>4</cp:revision>
  <cp:lastPrinted>2026-04-22T13:17:00Z</cp:lastPrinted>
  <dcterms:created xsi:type="dcterms:W3CDTF">2026-07-08T10:08:00Z</dcterms:created>
  <dcterms:modified xsi:type="dcterms:W3CDTF">2026-07-08T10:11:00Z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0x01010001C022EFBB18C64ABE3B9933434D2554</vt:lpwstr>
  </property>
  <property fmtid="{D5CDD505-2E9C-101B-9397-08002B2CF9AE}" pid="3" name="MediaServiceImageTags">
    <vt:lpwstr/>
  </property>
</Properties>
</file>