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D6647" w14:textId="77777777" w:rsidR="000A00C2" w:rsidRDefault="000A00C2" w:rsidP="000A00C2">
      <w:pPr>
        <w:spacing w:after="0"/>
        <w:jc w:val="center"/>
        <w:rPr>
          <w:rFonts w:ascii="Arial" w:hAnsi="Arial" w:cs="Arial"/>
          <w:b/>
          <w:sz w:val="24"/>
          <w:szCs w:val="24"/>
        </w:rPr>
      </w:pPr>
    </w:p>
    <w:p w14:paraId="5B1996DF" w14:textId="77777777" w:rsidR="000A00C2" w:rsidRDefault="000A00C2" w:rsidP="000A00C2">
      <w:pPr>
        <w:spacing w:after="0"/>
        <w:jc w:val="center"/>
        <w:rPr>
          <w:rFonts w:ascii="Arial" w:hAnsi="Arial" w:cs="Arial"/>
          <w:b/>
          <w:sz w:val="24"/>
          <w:szCs w:val="24"/>
        </w:rPr>
      </w:pPr>
    </w:p>
    <w:p w14:paraId="7FBDC41F" w14:textId="77777777" w:rsidR="000A00C2" w:rsidRDefault="000A00C2" w:rsidP="000A00C2">
      <w:pPr>
        <w:spacing w:after="0"/>
        <w:jc w:val="center"/>
        <w:rPr>
          <w:rFonts w:ascii="Arial" w:hAnsi="Arial" w:cs="Arial"/>
          <w:b/>
          <w:sz w:val="24"/>
          <w:szCs w:val="24"/>
        </w:rPr>
      </w:pPr>
    </w:p>
    <w:p w14:paraId="2E19D4AC" w14:textId="77777777" w:rsidR="000A00C2" w:rsidRDefault="000A00C2" w:rsidP="000A00C2">
      <w:pPr>
        <w:spacing w:after="0"/>
        <w:jc w:val="center"/>
        <w:rPr>
          <w:rFonts w:ascii="Arial" w:hAnsi="Arial" w:cs="Arial"/>
          <w:b/>
          <w:sz w:val="24"/>
          <w:szCs w:val="24"/>
        </w:rPr>
      </w:pPr>
    </w:p>
    <w:p w14:paraId="30008441" w14:textId="77777777" w:rsidR="000A00C2" w:rsidRDefault="000A00C2" w:rsidP="000A00C2">
      <w:pPr>
        <w:spacing w:after="0"/>
        <w:jc w:val="center"/>
        <w:rPr>
          <w:rFonts w:ascii="Arial" w:hAnsi="Arial" w:cs="Arial"/>
          <w:b/>
          <w:sz w:val="24"/>
          <w:szCs w:val="24"/>
        </w:rPr>
      </w:pPr>
    </w:p>
    <w:p w14:paraId="1EDE8D2E" w14:textId="77777777" w:rsidR="000A00C2" w:rsidRDefault="000A00C2" w:rsidP="000A00C2">
      <w:pPr>
        <w:spacing w:after="0"/>
        <w:jc w:val="center"/>
        <w:rPr>
          <w:rFonts w:ascii="Arial" w:hAnsi="Arial" w:cs="Arial"/>
          <w:b/>
          <w:sz w:val="24"/>
          <w:szCs w:val="24"/>
        </w:rPr>
      </w:pPr>
      <w:r>
        <w:rPr>
          <w:rFonts w:ascii="Arial" w:hAnsi="Arial" w:cs="Arial"/>
          <w:b/>
          <w:noProof/>
          <w:sz w:val="24"/>
          <w:szCs w:val="24"/>
          <w:lang w:eastAsia="en-GB"/>
        </w:rPr>
        <w:drawing>
          <wp:inline distT="0" distB="0" distL="0" distR="0" wp14:anchorId="6A72CA48" wp14:editId="50C716C7">
            <wp:extent cx="5373859" cy="21443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0529" cy="2178980"/>
                    </a:xfrm>
                    <a:prstGeom prst="rect">
                      <a:avLst/>
                    </a:prstGeom>
                    <a:noFill/>
                  </pic:spPr>
                </pic:pic>
              </a:graphicData>
            </a:graphic>
          </wp:inline>
        </w:drawing>
      </w:r>
    </w:p>
    <w:p w14:paraId="5ADACFD6" w14:textId="77777777" w:rsidR="00663302" w:rsidRDefault="00663302" w:rsidP="000A00C2">
      <w:pPr>
        <w:spacing w:after="0"/>
        <w:jc w:val="center"/>
        <w:rPr>
          <w:rFonts w:ascii="Arial" w:hAnsi="Arial" w:cs="Arial"/>
          <w:b/>
          <w:sz w:val="48"/>
          <w:szCs w:val="48"/>
        </w:rPr>
      </w:pPr>
    </w:p>
    <w:p w14:paraId="17643271" w14:textId="309B0321" w:rsidR="000A00C2" w:rsidRPr="00663302" w:rsidRDefault="00766702" w:rsidP="000A00C2">
      <w:pPr>
        <w:spacing w:after="0"/>
        <w:jc w:val="center"/>
        <w:rPr>
          <w:rFonts w:ascii="Arial" w:hAnsi="Arial" w:cs="Arial"/>
          <w:b/>
          <w:sz w:val="48"/>
          <w:szCs w:val="48"/>
        </w:rPr>
      </w:pPr>
      <w:r>
        <w:rPr>
          <w:rFonts w:ascii="Arial" w:hAnsi="Arial" w:cs="Arial"/>
          <w:b/>
          <w:sz w:val="48"/>
          <w:szCs w:val="48"/>
        </w:rPr>
        <w:t>Appendix C</w:t>
      </w:r>
      <w:bookmarkStart w:id="0" w:name="_GoBack"/>
      <w:bookmarkEnd w:id="0"/>
      <w:r w:rsidR="000A00C2" w:rsidRPr="00663302">
        <w:rPr>
          <w:rFonts w:ascii="Arial" w:hAnsi="Arial" w:cs="Arial"/>
          <w:b/>
          <w:sz w:val="48"/>
          <w:szCs w:val="48"/>
        </w:rPr>
        <w:t xml:space="preserve"> </w:t>
      </w:r>
    </w:p>
    <w:p w14:paraId="79EFC987" w14:textId="77777777" w:rsidR="000A00C2" w:rsidRPr="00663302" w:rsidRDefault="000A00C2" w:rsidP="000A00C2">
      <w:pPr>
        <w:spacing w:after="0"/>
        <w:jc w:val="center"/>
        <w:rPr>
          <w:rFonts w:ascii="Arial" w:hAnsi="Arial" w:cs="Arial"/>
          <w:b/>
          <w:sz w:val="48"/>
          <w:szCs w:val="48"/>
        </w:rPr>
      </w:pPr>
    </w:p>
    <w:p w14:paraId="7F132DE2" w14:textId="77777777" w:rsidR="000A00C2" w:rsidRPr="00663302" w:rsidRDefault="00663302" w:rsidP="000A00C2">
      <w:pPr>
        <w:spacing w:after="0"/>
        <w:jc w:val="center"/>
        <w:rPr>
          <w:rFonts w:ascii="Arial" w:hAnsi="Arial" w:cs="Arial"/>
          <w:b/>
          <w:sz w:val="48"/>
          <w:szCs w:val="48"/>
        </w:rPr>
      </w:pPr>
      <w:r w:rsidRPr="00663302">
        <w:rPr>
          <w:rFonts w:ascii="Arial" w:hAnsi="Arial" w:cs="Arial"/>
          <w:b/>
          <w:sz w:val="48"/>
          <w:szCs w:val="48"/>
        </w:rPr>
        <w:t>Counter Fraud Risk Report</w:t>
      </w:r>
    </w:p>
    <w:p w14:paraId="1DD44265" w14:textId="77777777" w:rsidR="000A00C2" w:rsidRPr="00663302" w:rsidRDefault="000A00C2" w:rsidP="000A00C2">
      <w:pPr>
        <w:spacing w:after="0"/>
        <w:jc w:val="center"/>
        <w:rPr>
          <w:rFonts w:ascii="Arial" w:hAnsi="Arial" w:cs="Arial"/>
          <w:b/>
          <w:sz w:val="48"/>
          <w:szCs w:val="48"/>
        </w:rPr>
      </w:pPr>
    </w:p>
    <w:p w14:paraId="7303E9F1" w14:textId="77777777" w:rsidR="000A00C2" w:rsidRDefault="000A00C2" w:rsidP="000A00C2">
      <w:pPr>
        <w:spacing w:after="0"/>
        <w:jc w:val="center"/>
        <w:rPr>
          <w:rFonts w:ascii="Arial" w:hAnsi="Arial" w:cs="Arial"/>
          <w:b/>
          <w:sz w:val="24"/>
          <w:szCs w:val="24"/>
        </w:rPr>
      </w:pPr>
    </w:p>
    <w:p w14:paraId="7832A6CD" w14:textId="77777777" w:rsidR="000A00C2" w:rsidRDefault="000A00C2" w:rsidP="000A00C2">
      <w:pPr>
        <w:spacing w:after="0"/>
        <w:jc w:val="center"/>
        <w:rPr>
          <w:rFonts w:ascii="Arial" w:hAnsi="Arial" w:cs="Arial"/>
          <w:b/>
          <w:sz w:val="24"/>
          <w:szCs w:val="24"/>
        </w:rPr>
      </w:pPr>
    </w:p>
    <w:p w14:paraId="4A36082C" w14:textId="77777777" w:rsidR="000A00C2" w:rsidRDefault="000A00C2" w:rsidP="000A00C2">
      <w:pPr>
        <w:spacing w:after="0"/>
        <w:jc w:val="center"/>
        <w:rPr>
          <w:rFonts w:ascii="Arial" w:hAnsi="Arial" w:cs="Arial"/>
          <w:b/>
          <w:sz w:val="24"/>
          <w:szCs w:val="24"/>
        </w:rPr>
      </w:pPr>
    </w:p>
    <w:p w14:paraId="15E46A03" w14:textId="77777777" w:rsidR="000A00C2" w:rsidRDefault="000A00C2" w:rsidP="000A00C2">
      <w:pPr>
        <w:spacing w:after="0"/>
        <w:jc w:val="center"/>
        <w:rPr>
          <w:rFonts w:ascii="Arial" w:hAnsi="Arial" w:cs="Arial"/>
          <w:b/>
          <w:sz w:val="24"/>
          <w:szCs w:val="24"/>
        </w:rPr>
      </w:pPr>
    </w:p>
    <w:p w14:paraId="76C3A963" w14:textId="77777777" w:rsidR="000A00C2" w:rsidRDefault="000A00C2" w:rsidP="000A00C2">
      <w:pPr>
        <w:spacing w:after="0"/>
        <w:jc w:val="center"/>
        <w:rPr>
          <w:rFonts w:ascii="Arial" w:hAnsi="Arial" w:cs="Arial"/>
          <w:b/>
          <w:sz w:val="24"/>
          <w:szCs w:val="24"/>
        </w:rPr>
      </w:pPr>
    </w:p>
    <w:p w14:paraId="4B4632ED" w14:textId="77777777" w:rsidR="000A00C2" w:rsidRDefault="000A00C2" w:rsidP="000A00C2">
      <w:pPr>
        <w:spacing w:after="0"/>
        <w:jc w:val="center"/>
        <w:rPr>
          <w:rFonts w:ascii="Arial" w:hAnsi="Arial" w:cs="Arial"/>
          <w:b/>
          <w:sz w:val="24"/>
          <w:szCs w:val="24"/>
        </w:rPr>
      </w:pPr>
    </w:p>
    <w:p w14:paraId="5F1C8098" w14:textId="77777777" w:rsidR="000A00C2" w:rsidRDefault="000A00C2" w:rsidP="000A00C2">
      <w:pPr>
        <w:spacing w:after="0"/>
        <w:jc w:val="center"/>
        <w:rPr>
          <w:rFonts w:ascii="Arial" w:hAnsi="Arial" w:cs="Arial"/>
          <w:b/>
          <w:sz w:val="24"/>
          <w:szCs w:val="24"/>
        </w:rPr>
      </w:pPr>
    </w:p>
    <w:p w14:paraId="637E2088" w14:textId="77777777" w:rsidR="000A00C2" w:rsidRDefault="000A00C2" w:rsidP="000A00C2">
      <w:pPr>
        <w:spacing w:after="0"/>
        <w:jc w:val="center"/>
        <w:rPr>
          <w:rFonts w:ascii="Arial" w:hAnsi="Arial" w:cs="Arial"/>
          <w:b/>
          <w:sz w:val="24"/>
          <w:szCs w:val="24"/>
        </w:rPr>
      </w:pPr>
    </w:p>
    <w:p w14:paraId="78B2EF06" w14:textId="77777777" w:rsidR="000A00C2" w:rsidRDefault="000A00C2" w:rsidP="000A00C2">
      <w:pPr>
        <w:spacing w:after="0"/>
        <w:jc w:val="center"/>
        <w:rPr>
          <w:rFonts w:ascii="Arial" w:hAnsi="Arial" w:cs="Arial"/>
          <w:b/>
          <w:sz w:val="24"/>
          <w:szCs w:val="24"/>
        </w:rPr>
      </w:pPr>
    </w:p>
    <w:p w14:paraId="0388AF6C" w14:textId="77777777" w:rsidR="000A00C2" w:rsidRDefault="000A00C2" w:rsidP="000A00C2">
      <w:pPr>
        <w:spacing w:after="0"/>
        <w:jc w:val="center"/>
        <w:rPr>
          <w:rFonts w:ascii="Arial" w:hAnsi="Arial" w:cs="Arial"/>
          <w:b/>
          <w:sz w:val="24"/>
          <w:szCs w:val="24"/>
        </w:rPr>
      </w:pPr>
    </w:p>
    <w:p w14:paraId="2DBE67A0" w14:textId="77777777" w:rsidR="000A00C2" w:rsidRDefault="000A00C2" w:rsidP="000A00C2">
      <w:pPr>
        <w:spacing w:after="0"/>
        <w:jc w:val="center"/>
        <w:rPr>
          <w:rFonts w:ascii="Arial" w:hAnsi="Arial" w:cs="Arial"/>
          <w:b/>
          <w:sz w:val="24"/>
          <w:szCs w:val="24"/>
        </w:rPr>
      </w:pPr>
    </w:p>
    <w:p w14:paraId="7C9A3119" w14:textId="77777777" w:rsidR="000A00C2" w:rsidRDefault="000A00C2" w:rsidP="000A00C2">
      <w:pPr>
        <w:spacing w:after="0"/>
        <w:jc w:val="center"/>
        <w:rPr>
          <w:rFonts w:ascii="Arial" w:hAnsi="Arial" w:cs="Arial"/>
          <w:b/>
          <w:sz w:val="24"/>
          <w:szCs w:val="24"/>
        </w:rPr>
      </w:pPr>
    </w:p>
    <w:p w14:paraId="425A9354" w14:textId="77777777" w:rsidR="000A00C2" w:rsidRDefault="000A00C2" w:rsidP="000A00C2">
      <w:pPr>
        <w:spacing w:after="0"/>
        <w:jc w:val="center"/>
        <w:rPr>
          <w:rFonts w:ascii="Arial" w:hAnsi="Arial" w:cs="Arial"/>
          <w:b/>
          <w:sz w:val="24"/>
          <w:szCs w:val="24"/>
        </w:rPr>
      </w:pPr>
    </w:p>
    <w:p w14:paraId="27D2D21D" w14:textId="77777777" w:rsidR="000A00C2" w:rsidRDefault="000A00C2" w:rsidP="000A00C2">
      <w:pPr>
        <w:spacing w:after="0"/>
        <w:jc w:val="center"/>
        <w:rPr>
          <w:rFonts w:ascii="Arial" w:hAnsi="Arial" w:cs="Arial"/>
          <w:b/>
          <w:sz w:val="24"/>
          <w:szCs w:val="24"/>
        </w:rPr>
      </w:pPr>
    </w:p>
    <w:p w14:paraId="5DD358C8" w14:textId="77777777" w:rsidR="000A00C2" w:rsidRDefault="000A00C2" w:rsidP="000A00C2">
      <w:pPr>
        <w:spacing w:after="0"/>
        <w:jc w:val="center"/>
        <w:rPr>
          <w:rFonts w:ascii="Arial" w:hAnsi="Arial" w:cs="Arial"/>
          <w:b/>
          <w:sz w:val="24"/>
          <w:szCs w:val="24"/>
        </w:rPr>
      </w:pPr>
    </w:p>
    <w:p w14:paraId="1001DDFB" w14:textId="77777777" w:rsidR="000A00C2" w:rsidRDefault="000A00C2" w:rsidP="000A00C2">
      <w:pPr>
        <w:spacing w:after="0"/>
        <w:jc w:val="center"/>
        <w:rPr>
          <w:rFonts w:ascii="Arial" w:hAnsi="Arial" w:cs="Arial"/>
          <w:b/>
          <w:sz w:val="24"/>
          <w:szCs w:val="24"/>
        </w:rPr>
      </w:pPr>
    </w:p>
    <w:p w14:paraId="32AD9A2F" w14:textId="77777777" w:rsidR="000A00C2" w:rsidRDefault="000A00C2" w:rsidP="000A00C2">
      <w:pPr>
        <w:spacing w:after="0"/>
        <w:jc w:val="center"/>
        <w:rPr>
          <w:rFonts w:ascii="Arial" w:hAnsi="Arial" w:cs="Arial"/>
          <w:b/>
          <w:sz w:val="24"/>
          <w:szCs w:val="24"/>
        </w:rPr>
      </w:pPr>
    </w:p>
    <w:p w14:paraId="4900D929" w14:textId="77777777" w:rsidR="000A00C2" w:rsidRDefault="000A00C2" w:rsidP="000A00C2">
      <w:pPr>
        <w:spacing w:after="0"/>
        <w:jc w:val="center"/>
        <w:rPr>
          <w:rFonts w:ascii="Arial" w:hAnsi="Arial" w:cs="Arial"/>
          <w:b/>
          <w:sz w:val="24"/>
          <w:szCs w:val="24"/>
        </w:rPr>
      </w:pPr>
    </w:p>
    <w:p w14:paraId="4097DCCD" w14:textId="77777777" w:rsidR="000A00C2" w:rsidRDefault="000A00C2" w:rsidP="000A00C2">
      <w:pPr>
        <w:spacing w:after="0"/>
        <w:jc w:val="center"/>
        <w:rPr>
          <w:rFonts w:ascii="Arial" w:hAnsi="Arial" w:cs="Arial"/>
          <w:b/>
          <w:sz w:val="24"/>
          <w:szCs w:val="24"/>
        </w:rPr>
      </w:pPr>
    </w:p>
    <w:p w14:paraId="1CFE7553" w14:textId="77777777" w:rsidR="000A00C2" w:rsidRDefault="000A00C2" w:rsidP="000A00C2">
      <w:pPr>
        <w:spacing w:after="0"/>
        <w:jc w:val="center"/>
        <w:rPr>
          <w:rFonts w:ascii="Arial" w:hAnsi="Arial" w:cs="Arial"/>
          <w:b/>
          <w:sz w:val="24"/>
          <w:szCs w:val="24"/>
        </w:rPr>
      </w:pPr>
    </w:p>
    <w:p w14:paraId="68E7A440" w14:textId="77777777" w:rsidR="000A00C2" w:rsidRDefault="000A00C2" w:rsidP="000A00C2">
      <w:pPr>
        <w:spacing w:after="0"/>
        <w:jc w:val="center"/>
        <w:rPr>
          <w:rFonts w:ascii="Arial" w:hAnsi="Arial" w:cs="Arial"/>
          <w:b/>
          <w:sz w:val="24"/>
          <w:szCs w:val="24"/>
        </w:rPr>
      </w:pPr>
      <w:r>
        <w:rPr>
          <w:rFonts w:ascii="Arial" w:hAnsi="Arial" w:cs="Arial"/>
          <w:b/>
          <w:sz w:val="24"/>
          <w:szCs w:val="24"/>
        </w:rPr>
        <w:lastRenderedPageBreak/>
        <w:t xml:space="preserve">Swansea Bay University Health Board </w:t>
      </w:r>
    </w:p>
    <w:p w14:paraId="199526CF" w14:textId="77777777" w:rsidR="000A00C2" w:rsidRDefault="000A00C2" w:rsidP="000A00C2">
      <w:pPr>
        <w:spacing w:after="0"/>
        <w:jc w:val="center"/>
        <w:rPr>
          <w:rFonts w:ascii="Arial" w:hAnsi="Arial" w:cs="Arial"/>
          <w:b/>
          <w:sz w:val="24"/>
          <w:szCs w:val="24"/>
        </w:rPr>
      </w:pPr>
      <w:r w:rsidRPr="000A00C2">
        <w:rPr>
          <w:rFonts w:ascii="Arial" w:hAnsi="Arial" w:cs="Arial"/>
          <w:b/>
          <w:sz w:val="24"/>
          <w:szCs w:val="24"/>
        </w:rPr>
        <w:t>Counter Fraud Risk Report</w:t>
      </w:r>
    </w:p>
    <w:p w14:paraId="09FE9AD6" w14:textId="77777777" w:rsidR="000A00C2" w:rsidRPr="000A00C2" w:rsidRDefault="000A00C2" w:rsidP="000A00C2">
      <w:pPr>
        <w:spacing w:after="0"/>
        <w:jc w:val="center"/>
        <w:rPr>
          <w:rFonts w:ascii="Arial" w:hAnsi="Arial" w:cs="Arial"/>
          <w:b/>
          <w:sz w:val="24"/>
          <w:szCs w:val="24"/>
        </w:rPr>
      </w:pPr>
    </w:p>
    <w:p w14:paraId="0786A9BC" w14:textId="77777777" w:rsidR="000A00C2" w:rsidRPr="00766702" w:rsidRDefault="000A00C2" w:rsidP="000A00C2">
      <w:pPr>
        <w:jc w:val="both"/>
        <w:rPr>
          <w:rFonts w:ascii="Arial" w:hAnsi="Arial" w:cs="Arial"/>
          <w:sz w:val="24"/>
          <w:szCs w:val="24"/>
        </w:rPr>
      </w:pPr>
      <w:r w:rsidRPr="000A00C2">
        <w:rPr>
          <w:rFonts w:ascii="Arial" w:hAnsi="Arial" w:cs="Arial"/>
          <w:sz w:val="24"/>
          <w:szCs w:val="24"/>
        </w:rPr>
        <w:t xml:space="preserve">Significantly increased level of risk for the Health Board, with the </w:t>
      </w:r>
      <w:r w:rsidRPr="000A00C2">
        <w:rPr>
          <w:rFonts w:ascii="Arial" w:hAnsi="Arial" w:cs="Arial"/>
          <w:sz w:val="24"/>
          <w:szCs w:val="24"/>
        </w:rPr>
        <w:t>implementation of the new Terms and Conditions for Reside</w:t>
      </w:r>
      <w:r>
        <w:rPr>
          <w:rFonts w:ascii="Arial" w:hAnsi="Arial" w:cs="Arial"/>
          <w:sz w:val="24"/>
          <w:szCs w:val="24"/>
        </w:rPr>
        <w:t xml:space="preserve">nt Doctors and Dentists (Wales) – </w:t>
      </w:r>
      <w:r w:rsidRPr="00766702">
        <w:rPr>
          <w:rFonts w:ascii="Arial" w:hAnsi="Arial" w:cs="Arial"/>
          <w:sz w:val="24"/>
          <w:szCs w:val="24"/>
        </w:rPr>
        <w:t xml:space="preserve">(See </w:t>
      </w:r>
      <w:r w:rsidR="00663302" w:rsidRPr="00766702">
        <w:rPr>
          <w:rFonts w:ascii="Arial" w:hAnsi="Arial" w:cs="Arial"/>
          <w:sz w:val="24"/>
          <w:szCs w:val="24"/>
        </w:rPr>
        <w:t>Appendix D</w:t>
      </w:r>
      <w:r w:rsidRPr="00766702">
        <w:rPr>
          <w:rFonts w:ascii="Arial" w:hAnsi="Arial" w:cs="Arial"/>
          <w:sz w:val="24"/>
          <w:szCs w:val="24"/>
        </w:rPr>
        <w:t>)</w:t>
      </w:r>
    </w:p>
    <w:p w14:paraId="542A484B" w14:textId="77777777" w:rsidR="000A00C2" w:rsidRPr="000A00C2" w:rsidRDefault="000A00C2" w:rsidP="000A00C2">
      <w:pPr>
        <w:jc w:val="both"/>
        <w:rPr>
          <w:rFonts w:ascii="Arial" w:hAnsi="Arial" w:cs="Arial"/>
          <w:sz w:val="24"/>
          <w:szCs w:val="24"/>
        </w:rPr>
      </w:pPr>
      <w:r>
        <w:rPr>
          <w:rFonts w:ascii="Arial" w:hAnsi="Arial" w:cs="Arial"/>
          <w:sz w:val="24"/>
          <w:szCs w:val="24"/>
        </w:rPr>
        <w:t xml:space="preserve">The attached </w:t>
      </w:r>
      <w:r w:rsidRPr="000A00C2">
        <w:rPr>
          <w:rFonts w:ascii="Arial" w:hAnsi="Arial" w:cs="Arial"/>
          <w:sz w:val="24"/>
          <w:szCs w:val="24"/>
        </w:rPr>
        <w:t>documentation</w:t>
      </w:r>
      <w:r>
        <w:rPr>
          <w:rFonts w:ascii="Arial" w:hAnsi="Arial" w:cs="Arial"/>
          <w:sz w:val="24"/>
          <w:szCs w:val="24"/>
        </w:rPr>
        <w:t xml:space="preserve"> was reviewed by the Counter Fraud team, following concerns raised by a Health Board Service Director</w:t>
      </w:r>
      <w:r w:rsidRPr="000A00C2">
        <w:rPr>
          <w:rFonts w:ascii="Arial" w:hAnsi="Arial" w:cs="Arial"/>
          <w:sz w:val="24"/>
          <w:szCs w:val="24"/>
        </w:rPr>
        <w:t xml:space="preserve">, </w:t>
      </w:r>
      <w:r>
        <w:rPr>
          <w:rFonts w:ascii="Arial" w:hAnsi="Arial" w:cs="Arial"/>
          <w:sz w:val="24"/>
          <w:szCs w:val="24"/>
        </w:rPr>
        <w:t xml:space="preserve">whereby it </w:t>
      </w:r>
      <w:r w:rsidRPr="000A00C2">
        <w:rPr>
          <w:rFonts w:ascii="Arial" w:hAnsi="Arial" w:cs="Arial"/>
          <w:sz w:val="24"/>
          <w:szCs w:val="24"/>
        </w:rPr>
        <w:t>appear</w:t>
      </w:r>
      <w:r>
        <w:rPr>
          <w:rFonts w:ascii="Arial" w:hAnsi="Arial" w:cs="Arial"/>
          <w:sz w:val="24"/>
          <w:szCs w:val="24"/>
        </w:rPr>
        <w:t>ed</w:t>
      </w:r>
      <w:r w:rsidRPr="000A00C2">
        <w:rPr>
          <w:rFonts w:ascii="Arial" w:hAnsi="Arial" w:cs="Arial"/>
          <w:sz w:val="24"/>
          <w:szCs w:val="24"/>
        </w:rPr>
        <w:t xml:space="preserve"> </w:t>
      </w:r>
      <w:r>
        <w:rPr>
          <w:rFonts w:ascii="Arial" w:hAnsi="Arial" w:cs="Arial"/>
          <w:sz w:val="24"/>
          <w:szCs w:val="24"/>
        </w:rPr>
        <w:t xml:space="preserve">that </w:t>
      </w:r>
      <w:r w:rsidRPr="000A00C2">
        <w:rPr>
          <w:rFonts w:ascii="Arial" w:hAnsi="Arial" w:cs="Arial"/>
          <w:sz w:val="24"/>
          <w:szCs w:val="24"/>
        </w:rPr>
        <w:t xml:space="preserve">no formal Counter Fraud consultation or fraud risk assessment </w:t>
      </w:r>
      <w:r>
        <w:rPr>
          <w:rFonts w:ascii="Arial" w:hAnsi="Arial" w:cs="Arial"/>
          <w:sz w:val="24"/>
          <w:szCs w:val="24"/>
        </w:rPr>
        <w:t xml:space="preserve">had been </w:t>
      </w:r>
      <w:r w:rsidRPr="000A00C2">
        <w:rPr>
          <w:rFonts w:ascii="Arial" w:hAnsi="Arial" w:cs="Arial"/>
          <w:sz w:val="24"/>
          <w:szCs w:val="24"/>
        </w:rPr>
        <w:t xml:space="preserve">undertaken as part of the development and implementation process. </w:t>
      </w:r>
      <w:r>
        <w:rPr>
          <w:rFonts w:ascii="Arial" w:hAnsi="Arial" w:cs="Arial"/>
          <w:sz w:val="24"/>
          <w:szCs w:val="24"/>
        </w:rPr>
        <w:t>T</w:t>
      </w:r>
      <w:r w:rsidRPr="000A00C2">
        <w:rPr>
          <w:rFonts w:ascii="Arial" w:hAnsi="Arial" w:cs="Arial"/>
          <w:sz w:val="24"/>
          <w:szCs w:val="24"/>
        </w:rPr>
        <w:t xml:space="preserve">he </w:t>
      </w:r>
      <w:r>
        <w:rPr>
          <w:rFonts w:ascii="Arial" w:hAnsi="Arial" w:cs="Arial"/>
          <w:sz w:val="24"/>
          <w:szCs w:val="24"/>
        </w:rPr>
        <w:t xml:space="preserve">potential </w:t>
      </w:r>
      <w:r w:rsidRPr="000A00C2">
        <w:rPr>
          <w:rFonts w:ascii="Arial" w:hAnsi="Arial" w:cs="Arial"/>
          <w:sz w:val="24"/>
          <w:szCs w:val="24"/>
        </w:rPr>
        <w:t xml:space="preserve">financial implications of the </w:t>
      </w:r>
      <w:r>
        <w:rPr>
          <w:rFonts w:ascii="Arial" w:hAnsi="Arial" w:cs="Arial"/>
          <w:sz w:val="24"/>
          <w:szCs w:val="24"/>
        </w:rPr>
        <w:t xml:space="preserve">new </w:t>
      </w:r>
      <w:r w:rsidRPr="000A00C2">
        <w:rPr>
          <w:rFonts w:ascii="Arial" w:hAnsi="Arial" w:cs="Arial"/>
          <w:sz w:val="24"/>
          <w:szCs w:val="24"/>
        </w:rPr>
        <w:t xml:space="preserve">arrangements, </w:t>
      </w:r>
      <w:r>
        <w:rPr>
          <w:rFonts w:ascii="Arial" w:hAnsi="Arial" w:cs="Arial"/>
          <w:sz w:val="24"/>
          <w:szCs w:val="24"/>
        </w:rPr>
        <w:t xml:space="preserve">in addition to the </w:t>
      </w:r>
      <w:r w:rsidRPr="000A00C2">
        <w:rPr>
          <w:rFonts w:ascii="Arial" w:hAnsi="Arial" w:cs="Arial"/>
          <w:sz w:val="24"/>
          <w:szCs w:val="24"/>
        </w:rPr>
        <w:t>possible</w:t>
      </w:r>
      <w:r w:rsidRPr="000A00C2">
        <w:rPr>
          <w:rFonts w:ascii="Arial" w:hAnsi="Arial" w:cs="Arial"/>
          <w:sz w:val="24"/>
          <w:szCs w:val="24"/>
        </w:rPr>
        <w:t xml:space="preserve"> fraud, bribery and corruption risks</w:t>
      </w:r>
      <w:r>
        <w:rPr>
          <w:rFonts w:ascii="Arial" w:hAnsi="Arial" w:cs="Arial"/>
          <w:sz w:val="24"/>
          <w:szCs w:val="24"/>
        </w:rPr>
        <w:t>,</w:t>
      </w:r>
      <w:r w:rsidRPr="000A00C2">
        <w:rPr>
          <w:rFonts w:ascii="Arial" w:hAnsi="Arial" w:cs="Arial"/>
          <w:sz w:val="24"/>
          <w:szCs w:val="24"/>
        </w:rPr>
        <w:t xml:space="preserve"> a</w:t>
      </w:r>
      <w:r>
        <w:rPr>
          <w:rFonts w:ascii="Arial" w:hAnsi="Arial" w:cs="Arial"/>
          <w:sz w:val="24"/>
          <w:szCs w:val="24"/>
        </w:rPr>
        <w:t xml:space="preserve">ssociated with the claiming </w:t>
      </w:r>
      <w:r w:rsidRPr="000A00C2">
        <w:rPr>
          <w:rFonts w:ascii="Arial" w:hAnsi="Arial" w:cs="Arial"/>
          <w:sz w:val="24"/>
          <w:szCs w:val="24"/>
        </w:rPr>
        <w:t>of unverified</w:t>
      </w:r>
      <w:r>
        <w:rPr>
          <w:rFonts w:ascii="Arial" w:hAnsi="Arial" w:cs="Arial"/>
          <w:sz w:val="24"/>
          <w:szCs w:val="24"/>
        </w:rPr>
        <w:t xml:space="preserve"> and unauthorised</w:t>
      </w:r>
      <w:r w:rsidRPr="000A00C2">
        <w:rPr>
          <w:rFonts w:ascii="Arial" w:hAnsi="Arial" w:cs="Arial"/>
          <w:sz w:val="24"/>
          <w:szCs w:val="24"/>
        </w:rPr>
        <w:t xml:space="preserve"> additional </w:t>
      </w:r>
      <w:r>
        <w:rPr>
          <w:rFonts w:ascii="Arial" w:hAnsi="Arial" w:cs="Arial"/>
          <w:sz w:val="24"/>
          <w:szCs w:val="24"/>
        </w:rPr>
        <w:t xml:space="preserve">overtime </w:t>
      </w:r>
      <w:r w:rsidRPr="000A00C2">
        <w:rPr>
          <w:rFonts w:ascii="Arial" w:hAnsi="Arial" w:cs="Arial"/>
          <w:sz w:val="24"/>
          <w:szCs w:val="24"/>
        </w:rPr>
        <w:t>payments</w:t>
      </w:r>
      <w:r>
        <w:rPr>
          <w:rFonts w:ascii="Arial" w:hAnsi="Arial" w:cs="Arial"/>
          <w:sz w:val="24"/>
          <w:szCs w:val="24"/>
        </w:rPr>
        <w:t xml:space="preserve"> were considered high. </w:t>
      </w:r>
    </w:p>
    <w:p w14:paraId="75244B85" w14:textId="77777777" w:rsidR="000A00C2" w:rsidRPr="000A00C2" w:rsidRDefault="000A00C2" w:rsidP="000A00C2">
      <w:pPr>
        <w:jc w:val="both"/>
        <w:rPr>
          <w:rFonts w:ascii="Arial" w:hAnsi="Arial" w:cs="Arial"/>
          <w:sz w:val="24"/>
          <w:szCs w:val="24"/>
        </w:rPr>
      </w:pPr>
      <w:r w:rsidRPr="000A00C2">
        <w:rPr>
          <w:rFonts w:ascii="Arial" w:hAnsi="Arial" w:cs="Arial"/>
          <w:sz w:val="24"/>
          <w:szCs w:val="24"/>
        </w:rPr>
        <w:t>In particular, concerns relate to the governance arrangements surrounding claims for additional pay. Point 42 states:</w:t>
      </w:r>
    </w:p>
    <w:p w14:paraId="0C722B33" w14:textId="77777777" w:rsidR="000A00C2" w:rsidRPr="000A00C2" w:rsidRDefault="000A00C2" w:rsidP="000A00C2">
      <w:pPr>
        <w:jc w:val="both"/>
        <w:rPr>
          <w:rFonts w:ascii="Arial" w:hAnsi="Arial" w:cs="Arial"/>
          <w:b/>
          <w:i/>
          <w:sz w:val="24"/>
          <w:szCs w:val="24"/>
        </w:rPr>
      </w:pPr>
      <w:r w:rsidRPr="000A00C2">
        <w:rPr>
          <w:rFonts w:ascii="Arial" w:hAnsi="Arial" w:cs="Arial"/>
          <w:b/>
          <w:i/>
          <w:sz w:val="24"/>
          <w:szCs w:val="24"/>
        </w:rPr>
        <w:t>“It is expected that all submissions for additional pay are accurate and genuine. Whilst the host organisation will have internal governance measures in place and an individual with responsibility for authorising the roster, no separate clinical supervisor sign-off will be required. Therefore, claims will not ordinarily be scrutinised or queried prior to payment. Where the payroll team has concerns regarding whether a claim is genuine, this should be forwarded to the Guardian of Safe and Flexible Working for review, and if required, further investigation.”</w:t>
      </w:r>
    </w:p>
    <w:p w14:paraId="12EFFD00" w14:textId="77777777" w:rsidR="000A00C2" w:rsidRPr="000A00C2" w:rsidRDefault="000A00C2" w:rsidP="000A00C2">
      <w:pPr>
        <w:jc w:val="both"/>
        <w:rPr>
          <w:rFonts w:ascii="Arial" w:hAnsi="Arial" w:cs="Arial"/>
          <w:sz w:val="24"/>
          <w:szCs w:val="24"/>
        </w:rPr>
      </w:pPr>
      <w:r w:rsidRPr="000A00C2">
        <w:rPr>
          <w:rFonts w:ascii="Arial" w:hAnsi="Arial" w:cs="Arial"/>
          <w:sz w:val="24"/>
          <w:szCs w:val="24"/>
        </w:rPr>
        <w:t>Whilst the expectation that claims will be accurate and genuine is clearly stated, the absence of a defined verification process or independent assurance mechanism raises concerns regarding the adequacy of controls designed to prevent, detect and deter fraudulent or erroneous claims. It is not clear what governance measures will be consistently applied across the three Health Boards, nor how assurance will be obtained that the hours claimed have actually been worked.</w:t>
      </w:r>
    </w:p>
    <w:p w14:paraId="1BC9A8B1" w14:textId="77777777" w:rsidR="000A00C2" w:rsidRPr="000A00C2" w:rsidRDefault="000A00C2" w:rsidP="000A00C2">
      <w:pPr>
        <w:jc w:val="both"/>
        <w:rPr>
          <w:rFonts w:ascii="Arial" w:hAnsi="Arial" w:cs="Arial"/>
          <w:sz w:val="24"/>
          <w:szCs w:val="24"/>
        </w:rPr>
      </w:pPr>
      <w:r w:rsidRPr="000A00C2">
        <w:rPr>
          <w:rFonts w:ascii="Arial" w:hAnsi="Arial" w:cs="Arial"/>
          <w:sz w:val="24"/>
          <w:szCs w:val="24"/>
        </w:rPr>
        <w:t>Further concern arises from point 45, which states:</w:t>
      </w:r>
    </w:p>
    <w:p w14:paraId="225950EA" w14:textId="77777777" w:rsidR="000A00C2" w:rsidRPr="000A00C2" w:rsidRDefault="000A00C2" w:rsidP="000A00C2">
      <w:pPr>
        <w:jc w:val="both"/>
        <w:rPr>
          <w:rFonts w:ascii="Arial" w:hAnsi="Arial" w:cs="Arial"/>
          <w:b/>
          <w:i/>
          <w:sz w:val="24"/>
          <w:szCs w:val="24"/>
        </w:rPr>
      </w:pPr>
      <w:r w:rsidRPr="000A00C2">
        <w:rPr>
          <w:rFonts w:ascii="Arial" w:hAnsi="Arial" w:cs="Arial"/>
          <w:b/>
          <w:i/>
          <w:sz w:val="24"/>
          <w:szCs w:val="24"/>
        </w:rPr>
        <w:t>“Deliberately fraudulent claims will be considered a conduct issue and dealt with in accordance with procedures contained in Upholding Professional Standards in Wales.”</w:t>
      </w:r>
    </w:p>
    <w:p w14:paraId="5781E6D7" w14:textId="77777777" w:rsidR="000A00C2" w:rsidRPr="000A00C2" w:rsidRDefault="000A00C2" w:rsidP="000A00C2">
      <w:pPr>
        <w:jc w:val="both"/>
        <w:rPr>
          <w:rFonts w:ascii="Arial" w:hAnsi="Arial" w:cs="Arial"/>
          <w:sz w:val="24"/>
          <w:szCs w:val="24"/>
        </w:rPr>
      </w:pPr>
      <w:r w:rsidRPr="000A00C2">
        <w:rPr>
          <w:rFonts w:ascii="Arial" w:hAnsi="Arial" w:cs="Arial"/>
          <w:sz w:val="24"/>
          <w:szCs w:val="24"/>
        </w:rPr>
        <w:t>Whilst disciplinary action may be an appropriate response to proven misconduct, the wording appears to focus on the consequences of fraud rather than the preventative and detective controls required to identify, prevent and mitigate the risk of fraud occurring in the first instance.</w:t>
      </w:r>
    </w:p>
    <w:p w14:paraId="2D81AB09" w14:textId="77777777" w:rsidR="000A00C2" w:rsidRDefault="000A00C2" w:rsidP="000A00C2">
      <w:pPr>
        <w:jc w:val="both"/>
        <w:rPr>
          <w:rFonts w:ascii="Arial" w:hAnsi="Arial" w:cs="Arial"/>
          <w:sz w:val="24"/>
          <w:szCs w:val="24"/>
        </w:rPr>
      </w:pPr>
      <w:r w:rsidRPr="000A00C2">
        <w:rPr>
          <w:rFonts w:ascii="Arial" w:hAnsi="Arial" w:cs="Arial"/>
          <w:sz w:val="24"/>
          <w:szCs w:val="24"/>
        </w:rPr>
        <w:t>Furthermore, the explicit reference to "fraudulent claims" acknowledges the potential for dishonest claims to be submitted. By definition, a fraudulent claim involves an element of dishonesty and may meet the criteria of an offence under the Fraud Act 2006, particularly where an individual knowingly makes a false repr</w:t>
      </w:r>
      <w:r>
        <w:rPr>
          <w:rFonts w:ascii="Arial" w:hAnsi="Arial" w:cs="Arial"/>
          <w:sz w:val="24"/>
          <w:szCs w:val="24"/>
        </w:rPr>
        <w:t xml:space="preserve">esentation for financial gain. </w:t>
      </w:r>
    </w:p>
    <w:p w14:paraId="628B4572" w14:textId="77777777" w:rsidR="000A00C2" w:rsidRPr="000A00C2" w:rsidRDefault="000A00C2" w:rsidP="000A00C2">
      <w:pPr>
        <w:jc w:val="both"/>
        <w:rPr>
          <w:rFonts w:ascii="Arial" w:hAnsi="Arial" w:cs="Arial"/>
          <w:sz w:val="24"/>
          <w:szCs w:val="24"/>
        </w:rPr>
      </w:pPr>
      <w:r w:rsidRPr="000A00C2">
        <w:rPr>
          <w:rFonts w:ascii="Arial" w:hAnsi="Arial" w:cs="Arial"/>
          <w:sz w:val="24"/>
          <w:szCs w:val="24"/>
        </w:rPr>
        <w:lastRenderedPageBreak/>
        <w:t xml:space="preserve">Given this recognised risk, it is </w:t>
      </w:r>
      <w:r w:rsidR="00FB62CA">
        <w:rPr>
          <w:rFonts w:ascii="Arial" w:hAnsi="Arial" w:cs="Arial"/>
          <w:sz w:val="24"/>
          <w:szCs w:val="24"/>
        </w:rPr>
        <w:t xml:space="preserve">noted </w:t>
      </w:r>
      <w:r w:rsidRPr="000A00C2">
        <w:rPr>
          <w:rFonts w:ascii="Arial" w:hAnsi="Arial" w:cs="Arial"/>
          <w:sz w:val="24"/>
          <w:szCs w:val="24"/>
        </w:rPr>
        <w:t>that the Terms and Conditions appear to place greater emphasis on managing cases after a fraudulent act has occurred</w:t>
      </w:r>
      <w:r>
        <w:rPr>
          <w:rFonts w:ascii="Arial" w:hAnsi="Arial" w:cs="Arial"/>
          <w:sz w:val="24"/>
          <w:szCs w:val="24"/>
        </w:rPr>
        <w:t>, other</w:t>
      </w:r>
      <w:r w:rsidRPr="000A00C2">
        <w:rPr>
          <w:rFonts w:ascii="Arial" w:hAnsi="Arial" w:cs="Arial"/>
          <w:sz w:val="24"/>
          <w:szCs w:val="24"/>
        </w:rPr>
        <w:t xml:space="preserve"> than on establishing robust preventative governance arrangements, assurance mechanisms and verification controls to reduce the likelihood of such claims being submitted and paid in the first place.</w:t>
      </w:r>
    </w:p>
    <w:p w14:paraId="13F403B4" w14:textId="494F04A6" w:rsidR="000A00C2" w:rsidRDefault="00FB62CA" w:rsidP="000A00C2">
      <w:pPr>
        <w:jc w:val="both"/>
        <w:rPr>
          <w:rFonts w:ascii="Arial" w:hAnsi="Arial" w:cs="Arial"/>
          <w:sz w:val="24"/>
          <w:szCs w:val="24"/>
        </w:rPr>
      </w:pPr>
      <w:r>
        <w:rPr>
          <w:rFonts w:ascii="Arial" w:hAnsi="Arial" w:cs="Arial"/>
          <w:sz w:val="24"/>
          <w:szCs w:val="24"/>
        </w:rPr>
        <w:t>With</w:t>
      </w:r>
      <w:r w:rsidR="000A00C2" w:rsidRPr="000A00C2">
        <w:rPr>
          <w:rFonts w:ascii="Arial" w:hAnsi="Arial" w:cs="Arial"/>
          <w:sz w:val="24"/>
          <w:szCs w:val="24"/>
        </w:rPr>
        <w:t xml:space="preserve"> the current financial pressures across NHS Wales, there is a need for clear, consistent and unambiguous governance arrangements that can be applied uniformly across all service groups and divisions within each Health Board. In the absence of such arrangements, there is a risk that managers and other staff responsible for authorising claims may be placed in a vulnerable position and could be exposed to allegations relating to inappropriate authorisation practices, conflicts of interest, or potentially bribery and corruption.</w:t>
      </w:r>
    </w:p>
    <w:p w14:paraId="7CAAF4EB" w14:textId="77777777" w:rsidR="006C1730" w:rsidRPr="006C1730" w:rsidRDefault="006C1730" w:rsidP="006C1730">
      <w:pPr>
        <w:jc w:val="both"/>
        <w:rPr>
          <w:rFonts w:ascii="Arial" w:hAnsi="Arial" w:cs="Arial"/>
          <w:sz w:val="24"/>
          <w:szCs w:val="24"/>
        </w:rPr>
      </w:pPr>
      <w:r w:rsidRPr="006C1730">
        <w:rPr>
          <w:rFonts w:ascii="Arial" w:hAnsi="Arial" w:cs="Arial"/>
          <w:sz w:val="24"/>
          <w:szCs w:val="24"/>
        </w:rPr>
        <w:t xml:space="preserve">The new </w:t>
      </w:r>
      <w:r w:rsidRPr="00766702">
        <w:rPr>
          <w:rFonts w:ascii="Arial" w:hAnsi="Arial" w:cs="Arial"/>
          <w:i/>
          <w:sz w:val="24"/>
          <w:szCs w:val="24"/>
        </w:rPr>
        <w:t>Fighting Fraud</w:t>
      </w:r>
      <w:r w:rsidRPr="006C1730">
        <w:rPr>
          <w:rFonts w:ascii="Arial" w:hAnsi="Arial" w:cs="Arial"/>
          <w:sz w:val="24"/>
          <w:szCs w:val="24"/>
        </w:rPr>
        <w:t xml:space="preserve"> Strategy clearly sets out an ambition to move towards a more preventative and risk-based approach to countering fraud. As a result, a request was submitted seeking clarification as to whether a formal counter fraud consultation and fraud risk assessment had been undertaken during the development of the new Terms and Conditions.</w:t>
      </w:r>
    </w:p>
    <w:p w14:paraId="46A499F1" w14:textId="77777777" w:rsidR="006C1730" w:rsidRPr="006C1730" w:rsidRDefault="006C1730" w:rsidP="006C1730">
      <w:pPr>
        <w:jc w:val="both"/>
        <w:rPr>
          <w:rFonts w:ascii="Arial" w:hAnsi="Arial" w:cs="Arial"/>
          <w:sz w:val="24"/>
          <w:szCs w:val="24"/>
        </w:rPr>
      </w:pPr>
      <w:r w:rsidRPr="006C1730">
        <w:rPr>
          <w:rFonts w:ascii="Arial" w:hAnsi="Arial" w:cs="Arial"/>
          <w:sz w:val="24"/>
          <w:szCs w:val="24"/>
        </w:rPr>
        <w:t>In response, it was confirmed that neither the NHS Counter Fraud Service (Wales) nor the NHS Counter Fraud Authority (NHSCFA) were consulted or involved in fraud-proofing either the Welsh or English versions of the Terms and Conditions.</w:t>
      </w:r>
    </w:p>
    <w:p w14:paraId="64254579" w14:textId="77777777" w:rsidR="006C1730" w:rsidRPr="006C1730" w:rsidRDefault="006C1730" w:rsidP="006C1730">
      <w:pPr>
        <w:jc w:val="both"/>
        <w:rPr>
          <w:rFonts w:ascii="Arial" w:hAnsi="Arial" w:cs="Arial"/>
          <w:sz w:val="24"/>
          <w:szCs w:val="24"/>
        </w:rPr>
      </w:pPr>
      <w:r w:rsidRPr="006C1730">
        <w:rPr>
          <w:rFonts w:ascii="Arial" w:hAnsi="Arial" w:cs="Arial"/>
          <w:sz w:val="24"/>
          <w:szCs w:val="24"/>
        </w:rPr>
        <w:t>A meeting was subsequently held between the Head of Counter Fraud (Wales) and senior managers from NWSSP's Single Lead Employer Programme for Resident Doctors to discuss this matter.</w:t>
      </w:r>
    </w:p>
    <w:p w14:paraId="303310A7" w14:textId="77777777" w:rsidR="006C1730" w:rsidRPr="006C1730" w:rsidRDefault="006C1730" w:rsidP="006C1730">
      <w:pPr>
        <w:jc w:val="both"/>
        <w:rPr>
          <w:rFonts w:ascii="Arial" w:hAnsi="Arial" w:cs="Arial"/>
          <w:sz w:val="24"/>
          <w:szCs w:val="24"/>
        </w:rPr>
      </w:pPr>
      <w:r w:rsidRPr="006C1730">
        <w:rPr>
          <w:rFonts w:ascii="Arial" w:hAnsi="Arial" w:cs="Arial"/>
          <w:sz w:val="24"/>
          <w:szCs w:val="24"/>
        </w:rPr>
        <w:t>The current assessment is that the overall fraud risk associated with the new Terms and Conditions is low. The area identified as presenting the highest relative risk relates to additional hours worked outside the Job Plan, including exception reporting, breach reporting, and any associated overtime payments.</w:t>
      </w:r>
    </w:p>
    <w:p w14:paraId="0EB48350" w14:textId="77777777" w:rsidR="006C1730" w:rsidRPr="006C1730" w:rsidRDefault="006C1730" w:rsidP="006C1730">
      <w:pPr>
        <w:jc w:val="both"/>
        <w:rPr>
          <w:rFonts w:ascii="Arial" w:hAnsi="Arial" w:cs="Arial"/>
          <w:sz w:val="24"/>
          <w:szCs w:val="24"/>
        </w:rPr>
      </w:pPr>
      <w:r w:rsidRPr="006C1730">
        <w:rPr>
          <w:rFonts w:ascii="Arial" w:hAnsi="Arial" w:cs="Arial"/>
          <w:sz w:val="24"/>
          <w:szCs w:val="24"/>
        </w:rPr>
        <w:t>It was confirmed that existing arrangements for managing concerns relating to criminality, fraud, and professional conduct will remain unchanged. Where criminal activity is suspected, matters will continue to be referred directly to the Police. Allegations of suspected fraud will be referred to the relevant Local Counter Fraud Specialist (LCFS) or the NHS Counter Fraud Service (Wales), depending on the scale, value, and nature of the concern. Professional conduct issues will continue to be managed through the appropriate GMC or GDC reporting processes.</w:t>
      </w:r>
    </w:p>
    <w:p w14:paraId="2A0D31EB" w14:textId="77777777" w:rsidR="006C1730" w:rsidRPr="006C1730" w:rsidRDefault="006C1730" w:rsidP="006C1730">
      <w:pPr>
        <w:jc w:val="both"/>
        <w:rPr>
          <w:rFonts w:ascii="Arial" w:hAnsi="Arial" w:cs="Arial"/>
          <w:sz w:val="24"/>
          <w:szCs w:val="24"/>
        </w:rPr>
      </w:pPr>
      <w:r w:rsidRPr="006C1730">
        <w:rPr>
          <w:rFonts w:ascii="Arial" w:hAnsi="Arial" w:cs="Arial"/>
          <w:sz w:val="24"/>
          <w:szCs w:val="24"/>
        </w:rPr>
        <w:t>In relation to the Terms and Conditions (Appendix D), existing controls include review of exception reports by the relevant Health Board Guardian, with additional oversight provided by the NWSSP Guardian. This will include review of the pre-agreement and authorisation of overtime claims, while Rota Coordinators will undertake further review prior to sign-off and payment.</w:t>
      </w:r>
    </w:p>
    <w:p w14:paraId="77722F0A" w14:textId="6E013624" w:rsidR="006C1730" w:rsidRPr="000A00C2" w:rsidRDefault="006C1730" w:rsidP="006C1730">
      <w:pPr>
        <w:jc w:val="both"/>
        <w:rPr>
          <w:rFonts w:ascii="Arial" w:hAnsi="Arial" w:cs="Arial"/>
          <w:sz w:val="24"/>
          <w:szCs w:val="24"/>
        </w:rPr>
      </w:pPr>
      <w:r w:rsidRPr="006C1730">
        <w:rPr>
          <w:rFonts w:ascii="Arial" w:hAnsi="Arial" w:cs="Arial"/>
          <w:sz w:val="24"/>
          <w:szCs w:val="24"/>
        </w:rPr>
        <w:t>A six-month review point has been proposed, at which time NWSSP will provide an update to enable the fraud risk assessment to be revisited and reviewed in light of any emerging issues, trends, or concerns.</w:t>
      </w:r>
    </w:p>
    <w:sectPr w:rsidR="006C1730" w:rsidRPr="000A00C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BACDC" w14:textId="77777777" w:rsidR="000A00C2" w:rsidRDefault="000A00C2" w:rsidP="000A00C2">
      <w:pPr>
        <w:spacing w:after="0" w:line="240" w:lineRule="auto"/>
      </w:pPr>
      <w:r>
        <w:separator/>
      </w:r>
    </w:p>
  </w:endnote>
  <w:endnote w:type="continuationSeparator" w:id="0">
    <w:p w14:paraId="4D881D90" w14:textId="77777777" w:rsidR="000A00C2" w:rsidRDefault="000A00C2" w:rsidP="000A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218041"/>
      <w:docPartObj>
        <w:docPartGallery w:val="Page Numbers (Bottom of Page)"/>
        <w:docPartUnique/>
      </w:docPartObj>
    </w:sdtPr>
    <w:sdtEndPr>
      <w:rPr>
        <w:noProof/>
      </w:rPr>
    </w:sdtEndPr>
    <w:sdtContent>
      <w:p w14:paraId="56FAB92C" w14:textId="751279AC" w:rsidR="00B72148" w:rsidRDefault="00B72148">
        <w:pPr>
          <w:pStyle w:val="Footer"/>
          <w:jc w:val="right"/>
        </w:pPr>
        <w:r>
          <w:fldChar w:fldCharType="begin"/>
        </w:r>
        <w:r>
          <w:instrText xml:space="preserve"> PAGE   \* MERGEFORMAT </w:instrText>
        </w:r>
        <w:r>
          <w:fldChar w:fldCharType="separate"/>
        </w:r>
        <w:r w:rsidR="002A6B6C">
          <w:rPr>
            <w:noProof/>
          </w:rPr>
          <w:t>1</w:t>
        </w:r>
        <w:r>
          <w:rPr>
            <w:noProof/>
          </w:rPr>
          <w:fldChar w:fldCharType="end"/>
        </w:r>
      </w:p>
    </w:sdtContent>
  </w:sdt>
  <w:p w14:paraId="6ECE137D" w14:textId="77777777" w:rsidR="00B72148" w:rsidRDefault="00B721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009A7A" w14:textId="77777777" w:rsidR="000A00C2" w:rsidRDefault="000A00C2" w:rsidP="000A00C2">
      <w:pPr>
        <w:spacing w:after="0" w:line="240" w:lineRule="auto"/>
      </w:pPr>
      <w:r>
        <w:separator/>
      </w:r>
    </w:p>
  </w:footnote>
  <w:footnote w:type="continuationSeparator" w:id="0">
    <w:p w14:paraId="52FD8A7C" w14:textId="77777777" w:rsidR="000A00C2" w:rsidRDefault="000A00C2" w:rsidP="000A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19DEA" w14:textId="77777777" w:rsidR="000A00C2" w:rsidRPr="000A00C2" w:rsidRDefault="000A00C2" w:rsidP="000A00C2">
    <w:pPr>
      <w:pStyle w:val="Header"/>
      <w:jc w:val="right"/>
      <w:rPr>
        <w:sz w:val="16"/>
        <w:szCs w:val="16"/>
      </w:rPr>
    </w:pPr>
    <w:r w:rsidRPr="000A00C2">
      <w:rPr>
        <w:sz w:val="16"/>
        <w:szCs w:val="16"/>
      </w:rPr>
      <w:t xml:space="preserve">SBUHB Counter Fraud Report – T&amp;C’s Resident Doctors &amp; Dentists (Wales) </w:t>
    </w:r>
  </w:p>
  <w:p w14:paraId="6B63E6A8" w14:textId="77777777" w:rsidR="000A00C2" w:rsidRDefault="000A0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0C2"/>
    <w:rsid w:val="000A00C2"/>
    <w:rsid w:val="00197C62"/>
    <w:rsid w:val="002A6B6C"/>
    <w:rsid w:val="00546290"/>
    <w:rsid w:val="005A42A1"/>
    <w:rsid w:val="00663302"/>
    <w:rsid w:val="006C1730"/>
    <w:rsid w:val="00766702"/>
    <w:rsid w:val="00870D8A"/>
    <w:rsid w:val="008E35F3"/>
    <w:rsid w:val="00B72148"/>
    <w:rsid w:val="00FB6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C8FEC5"/>
  <w15:chartTrackingRefBased/>
  <w15:docId w15:val="{AA8D093D-970E-4298-8947-050977497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0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0C2"/>
  </w:style>
  <w:style w:type="paragraph" w:styleId="Footer">
    <w:name w:val="footer"/>
    <w:basedOn w:val="Normal"/>
    <w:link w:val="FooterChar"/>
    <w:uiPriority w:val="99"/>
    <w:unhideWhenUsed/>
    <w:rsid w:val="000A00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753676">
      <w:bodyDiv w:val="1"/>
      <w:marLeft w:val="0"/>
      <w:marRight w:val="0"/>
      <w:marTop w:val="0"/>
      <w:marBottom w:val="0"/>
      <w:divBdr>
        <w:top w:val="none" w:sz="0" w:space="0" w:color="auto"/>
        <w:left w:val="none" w:sz="0" w:space="0" w:color="auto"/>
        <w:bottom w:val="none" w:sz="0" w:space="0" w:color="auto"/>
        <w:right w:val="none" w:sz="0" w:space="0" w:color="auto"/>
      </w:divBdr>
    </w:div>
    <w:div w:id="180735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FAC"/>
    <w:rsid w:val="000A2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2F3138291C47008B91CA8AD94CB456">
    <w:name w:val="B72F3138291C47008B91CA8AD94CB456"/>
    <w:rsid w:val="000A2F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54C74FB1700449A1D2EC2E5A77D80" ma:contentTypeVersion="20" ma:contentTypeDescription="Create a new document." ma:contentTypeScope="" ma:versionID="0cb3e870ad428c0eaf80004bac88715c">
  <xsd:schema xmlns:xsd="http://www.w3.org/2001/XMLSchema" xmlns:xs="http://www.w3.org/2001/XMLSchema" xmlns:p="http://schemas.microsoft.com/office/2006/metadata/properties" xmlns:ns1="http://schemas.microsoft.com/sharepoint/v3" xmlns:ns3="c8c88429-e1a5-4fcd-9b6a-57468ba8afe4" xmlns:ns4="ee8746d6-0e70-4dab-b276-28e422542d2f" targetNamespace="http://schemas.microsoft.com/office/2006/metadata/properties" ma:root="true" ma:fieldsID="f6662faf79ce656c9dbb7ea27813d581" ns1:_="" ns3:_="" ns4:_="">
    <xsd:import namespace="http://schemas.microsoft.com/sharepoint/v3"/>
    <xsd:import namespace="c8c88429-e1a5-4fcd-9b6a-57468ba8afe4"/>
    <xsd:import namespace="ee8746d6-0e70-4dab-b276-28e422542d2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AutoKeyPoints" minOccurs="0"/>
                <xsd:element ref="ns4:MediaServiceKeyPoints" minOccurs="0"/>
                <xsd:element ref="ns4:MediaServiceOCR" minOccurs="0"/>
                <xsd:element ref="ns4:MediaServiceGenerationTime" minOccurs="0"/>
                <xsd:element ref="ns4:MediaServiceEventHashCode" minOccurs="0"/>
                <xsd:element ref="ns4:MediaServiceLocation" minOccurs="0"/>
                <xsd:element ref="ns4:MediaServiceObjectDetectorVersions" minOccurs="0"/>
                <xsd:element ref="ns4:MediaServiceSystemTags" minOccurs="0"/>
                <xsd:element ref="ns4:MediaServiceSearchProperties" minOccurs="0"/>
                <xsd:element ref="ns4:_activity"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c88429-e1a5-4fcd-9b6a-57468ba8af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8746d6-0e70-4dab-b276-28e422542d2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ee8746d6-0e70-4dab-b276-28e422542d2f" xsi:nil="true"/>
  </documentManagement>
</p:properties>
</file>

<file path=customXml/itemProps1.xml><?xml version="1.0" encoding="utf-8"?>
<ds:datastoreItem xmlns:ds="http://schemas.openxmlformats.org/officeDocument/2006/customXml" ds:itemID="{41B473D2-2F6F-4ECB-905A-58EAAD928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c88429-e1a5-4fcd-9b6a-57468ba8afe4"/>
    <ds:schemaRef ds:uri="ee8746d6-0e70-4dab-b276-28e422542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E0DD84-BF89-4890-85B5-8F5B4EF57965}">
  <ds:schemaRefs>
    <ds:schemaRef ds:uri="http://schemas.microsoft.com/sharepoint/v3/contenttype/forms"/>
  </ds:schemaRefs>
</ds:datastoreItem>
</file>

<file path=customXml/itemProps3.xml><?xml version="1.0" encoding="utf-8"?>
<ds:datastoreItem xmlns:ds="http://schemas.openxmlformats.org/officeDocument/2006/customXml" ds:itemID="{24E08462-3C1C-495E-AB73-F047E05C1D96}">
  <ds:schemaRefs>
    <ds:schemaRef ds:uri="http://schemas.microsoft.com/office/infopath/2007/PartnerControls"/>
    <ds:schemaRef ds:uri="http://schemas.microsoft.com/sharepoint/v3"/>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c8c88429-e1a5-4fcd-9b6a-57468ba8afe4"/>
    <ds:schemaRef ds:uri="http://purl.org/dc/elements/1.1/"/>
    <ds:schemaRef ds:uri="http://purl.org/dc/terms/"/>
    <ds:schemaRef ds:uri="http://purl.org/dc/dcmitype/"/>
    <ds:schemaRef ds:uri="ee8746d6-0e70-4dab-b276-28e422542d2f"/>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Neil Jones (Swansea Bay UHB - Counter Fraud)</dc:creator>
  <cp:keywords/>
  <dc:description/>
  <cp:lastModifiedBy>R Neil Jones (Swansea Bay UHB - Counter Fraud)</cp:lastModifiedBy>
  <cp:revision>6</cp:revision>
  <dcterms:created xsi:type="dcterms:W3CDTF">2026-08-20T09:54:00Z</dcterms:created>
  <dcterms:modified xsi:type="dcterms:W3CDTF">2026-08-20T11:22:00Z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0x010100B3754C74FB1700449A1D2EC2E5A77D80</vt:lpwstr>
  </property>
</Properties>
</file>