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F9EC85" w14:textId="3705A295" w:rsidR="00804BED" w:rsidRDefault="00534244">
      <w:r>
        <w:rPr>
          <w:noProof/>
          <w:lang w:eastAsia="en-GB"/>
        </w:rPr>
        <w:drawing>
          <wp:anchor distT="0" distB="0" distL="114300" distR="114300" simplePos="0" relativeHeight="251665408" behindDoc="1" locked="0" layoutInCell="1" allowOverlap="1" wp14:anchorId="3D330CDA" wp14:editId="6E3B0EDC">
            <wp:simplePos x="0" y="0"/>
            <wp:positionH relativeFrom="margin">
              <wp:align>center</wp:align>
            </wp:positionH>
            <wp:positionV relativeFrom="paragraph">
              <wp:posOffset>962025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804BED" w:rsidRPr="00F06849">
        <w:rPr>
          <w:b/>
          <w:bCs/>
          <w:noProof/>
          <w:sz w:val="28"/>
          <w:szCs w:val="28"/>
          <w:lang w:eastAsia="en-GB"/>
        </w:rPr>
        <mc:AlternateContent>
          <mc:Choice Requires="wps">
            <w:drawing>
              <wp:anchor distT="45720" distB="45720" distL="114300" distR="114300" simplePos="0" relativeHeight="251663360" behindDoc="0" locked="0" layoutInCell="1" allowOverlap="1" wp14:anchorId="416DFA29" wp14:editId="5B7E2B43">
                <wp:simplePos x="0" y="0"/>
                <wp:positionH relativeFrom="margin">
                  <wp:posOffset>7174865</wp:posOffset>
                </wp:positionH>
                <wp:positionV relativeFrom="paragraph">
                  <wp:posOffset>0</wp:posOffset>
                </wp:positionV>
                <wp:extent cx="2381250" cy="371475"/>
                <wp:effectExtent l="0" t="0" r="0" b="952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0" cy="371475"/>
                        </a:xfrm>
                        <a:prstGeom prst="rect">
                          <a:avLst/>
                        </a:prstGeom>
                        <a:solidFill>
                          <a:srgbClr val="FFFFFF"/>
                        </a:solidFill>
                        <a:ln w="9525">
                          <a:noFill/>
                          <a:miter lim="800000"/>
                          <a:headEnd/>
                          <a:tailEnd/>
                        </a:ln>
                      </wps:spPr>
                      <wps:txbx>
                        <w:txbxContent>
                          <w:p w14:paraId="3C22D81F" w14:textId="497A3683" w:rsidR="00804BED" w:rsidRPr="00804BED" w:rsidRDefault="00534244" w:rsidP="00804BED">
                            <w:pPr>
                              <w:jc w:val="right"/>
                              <w:rPr>
                                <w:sz w:val="14"/>
                                <w:szCs w:val="14"/>
                              </w:rPr>
                            </w:pPr>
                            <w:r>
                              <w:rPr>
                                <w:rFonts w:ascii="Arial" w:hAnsi="Arial" w:cs="Arial"/>
                                <w:b/>
                                <w:sz w:val="24"/>
                                <w:szCs w:val="24"/>
                              </w:rPr>
                              <w:t>Item 6.1 - Appendix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16DFA29" id="_x0000_t202" coordsize="21600,21600" o:spt="202" path="m,l,21600r21600,l21600,xe">
                <v:stroke joinstyle="miter"/>
                <v:path gradientshapeok="t" o:connecttype="rect"/>
              </v:shapetype>
              <v:shape id="Text Box 2" o:spid="_x0000_s1026" type="#_x0000_t202" style="position:absolute;margin-left:564.95pt;margin-top:0;width:187.5pt;height:29.25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" stroked="f">
                <v:textbox>
                  <w:txbxContent>
                    <w:p w14:paraId="3C22D81F" w14:textId="497A3683" w:rsidR="00804BED" w:rsidRPr="00804BED" w:rsidRDefault="00534244" w:rsidP="00804BED">
                      <w:pPr>
                        <w:jc w:val="right"/>
                        <w:rPr>
                          <w:sz w:val="14"/>
                          <w:szCs w:val="14"/>
                        </w:rPr>
                      </w:pPr>
                      <w:r>
                        <w:rPr>
                          <w:rFonts w:ascii="Arial" w:hAnsi="Arial" w:cs="Arial"/>
                          <w:b/>
                          <w:sz w:val="24"/>
                          <w:szCs w:val="24"/>
                        </w:rPr>
                        <w:t>Item 6.1 - Appendix 2</w:t>
                      </w:r>
                    </w:p>
                  </w:txbxContent>
                </v:textbox>
                <w10:wrap type="square" anchorx="margin"/>
              </v:shape>
            </w:pict>
          </mc:Fallback>
        </mc:AlternateContent>
      </w:r>
      <w:r w:rsidR="00804BED" w:rsidRPr="00F06849">
        <w:rPr>
          <w:b/>
          <w:bCs/>
          <w:noProof/>
          <w:sz w:val="28"/>
          <w:szCs w:val="28"/>
          <w:lang w:eastAsia="en-GB"/>
        </w:rPr>
        <mc:AlternateContent>
          <mc:Choice Requires="wps">
            <w:drawing>
              <wp:anchor distT="45720" distB="45720" distL="114300" distR="114300" simplePos="0" relativeHeight="251661312" behindDoc="0" locked="0" layoutInCell="1" allowOverlap="1" wp14:anchorId="37B327F0" wp14:editId="4269B077">
                <wp:simplePos x="0" y="0"/>
                <wp:positionH relativeFrom="page">
                  <wp:align>center</wp:align>
                </wp:positionH>
                <wp:positionV relativeFrom="paragraph">
                  <wp:posOffset>2188845</wp:posOffset>
                </wp:positionV>
                <wp:extent cx="48577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750" cy="1404620"/>
                        </a:xfrm>
                        <a:prstGeom prst="rect">
                          <a:avLst/>
                        </a:prstGeom>
                        <a:solidFill>
                          <a:srgbClr val="FFFFFF"/>
                        </a:solidFill>
                        <a:ln w="9525">
                          <a:noFill/>
                          <a:miter lim="800000"/>
                          <a:headEnd/>
                          <a:tailEnd/>
                        </a:ln>
                      </wps:spPr>
                      <wps:txbx>
                        <w:txbxContent>
                          <w:p w14:paraId="2689A154" w14:textId="682EEE94" w:rsidR="00804BED" w:rsidRDefault="00804BED" w:rsidP="00804BED">
                            <w:pPr>
                              <w:jc w:val="center"/>
                              <w:rPr>
                                <w:rFonts w:ascii="Arial" w:hAnsi="Arial" w:cs="Arial"/>
                                <w:b/>
                                <w:sz w:val="40"/>
                                <w:szCs w:val="40"/>
                              </w:rPr>
                            </w:pPr>
                            <w:r w:rsidRPr="00804BED">
                              <w:rPr>
                                <w:rFonts w:ascii="Arial" w:hAnsi="Arial" w:cs="Arial"/>
                                <w:b/>
                                <w:sz w:val="40"/>
                                <w:szCs w:val="40"/>
                              </w:rPr>
                              <w:t>National Fraud Initiative</w:t>
                            </w:r>
                          </w:p>
                          <w:p w14:paraId="7A82E001" w14:textId="16DAEFD1" w:rsidR="00804BED" w:rsidRDefault="00804BED" w:rsidP="00804BED">
                            <w:pPr>
                              <w:jc w:val="center"/>
                            </w:pPr>
                            <w:r>
                              <w:rPr>
                                <w:rFonts w:ascii="Arial" w:hAnsi="Arial" w:cs="Arial"/>
                                <w:b/>
                                <w:sz w:val="40"/>
                                <w:szCs w:val="40"/>
                              </w:rPr>
                              <w:t>P</w:t>
                            </w:r>
                            <w:r w:rsidRPr="00804BED">
                              <w:rPr>
                                <w:rFonts w:ascii="Arial" w:hAnsi="Arial" w:cs="Arial"/>
                                <w:b/>
                                <w:sz w:val="40"/>
                                <w:szCs w:val="40"/>
                              </w:rPr>
                              <w:t xml:space="preserve">rogress and </w:t>
                            </w:r>
                            <w:r>
                              <w:rPr>
                                <w:rFonts w:ascii="Arial" w:hAnsi="Arial" w:cs="Arial"/>
                                <w:b/>
                                <w:sz w:val="40"/>
                                <w:szCs w:val="40"/>
                              </w:rPr>
                              <w:t>O</w:t>
                            </w:r>
                            <w:r w:rsidRPr="00804BED">
                              <w:rPr>
                                <w:rFonts w:ascii="Arial" w:hAnsi="Arial" w:cs="Arial"/>
                                <w:b/>
                                <w:sz w:val="40"/>
                                <w:szCs w:val="40"/>
                              </w:rPr>
                              <w:t>utcomes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7B327F0" id="_x0000_s1027" type="#_x0000_t202" style="position:absolute;margin-left:0;margin-top:172.35pt;width:382.5pt;height:110.6pt;z-index:251661312;visibility:visible;mso-wrap-style:square;mso-width-percent:0;mso-height-percent:200;mso-wrap-distance-left:9pt;mso-wrap-distance-top:3.6pt;mso-wrap-distance-right:9pt;mso-wrap-distance-bottom:3.6pt;mso-position-horizontal:center;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" stroked="f">
                <v:textbox style="mso-fit-shape-to-text:t">
                  <w:txbxContent>
                    <w:p w14:paraId="2689A154" w14:textId="682EEE94" w:rsidR="00804BED" w:rsidRDefault="00804BED" w:rsidP="00804BED">
                      <w:pPr>
                        <w:jc w:val="center"/>
                        <w:rPr>
                          <w:rFonts w:ascii="Arial" w:hAnsi="Arial" w:cs="Arial"/>
                          <w:b/>
                          <w:sz w:val="40"/>
                          <w:szCs w:val="40"/>
                        </w:rPr>
                      </w:pPr>
                      <w:r w:rsidRPr="00804BED">
                        <w:rPr>
                          <w:rFonts w:ascii="Arial" w:hAnsi="Arial" w:cs="Arial"/>
                          <w:b/>
                          <w:sz w:val="40"/>
                          <w:szCs w:val="40"/>
                        </w:rPr>
                        <w:t>National Fraud Initiative</w:t>
                      </w:r>
                    </w:p>
                    <w:p w14:paraId="7A82E001" w14:textId="16DAEFD1" w:rsidR="00804BED" w:rsidRDefault="00804BED" w:rsidP="00804BED">
                      <w:pPr>
                        <w:jc w:val="center"/>
                      </w:pPr>
                      <w:r>
                        <w:rPr>
                          <w:rFonts w:ascii="Arial" w:hAnsi="Arial" w:cs="Arial"/>
                          <w:b/>
                          <w:sz w:val="40"/>
                          <w:szCs w:val="40"/>
                        </w:rPr>
                        <w:t>P</w:t>
                      </w:r>
                      <w:r w:rsidRPr="00804BED">
                        <w:rPr>
                          <w:rFonts w:ascii="Arial" w:hAnsi="Arial" w:cs="Arial"/>
                          <w:b/>
                          <w:sz w:val="40"/>
                          <w:szCs w:val="40"/>
                        </w:rPr>
                        <w:t xml:space="preserve">rogress and </w:t>
                      </w:r>
                      <w:r>
                        <w:rPr>
                          <w:rFonts w:ascii="Arial" w:hAnsi="Arial" w:cs="Arial"/>
                          <w:b/>
                          <w:sz w:val="40"/>
                          <w:szCs w:val="40"/>
                        </w:rPr>
                        <w:t>O</w:t>
                      </w:r>
                      <w:r w:rsidRPr="00804BED">
                        <w:rPr>
                          <w:rFonts w:ascii="Arial" w:hAnsi="Arial" w:cs="Arial"/>
                          <w:b/>
                          <w:sz w:val="40"/>
                          <w:szCs w:val="40"/>
                        </w:rPr>
                        <w:t>utcomes</w:t>
                      </w:r>
                    </w:p>
                  </w:txbxContent>
                </v:textbox>
                <w10:wrap type="square" anchorx="page"/>
              </v:shape>
            </w:pict>
          </mc:Fallback>
        </mc:AlternateContent>
      </w:r>
      <w:r w:rsidR="00804BED">
        <w:br w:type="page"/>
      </w:r>
    </w:p>
    <w:p w14:paraId="1EB28C9C" w14:textId="6437CBAF" w:rsidR="00870B9F" w:rsidRPr="00EC404E" w:rsidRDefault="00870B9F">
      <w:pPr>
        <w:rPr>
          <w:b/>
          <w:bCs/>
          <w:color w:val="1F3864" w:themeColor="accent1" w:themeShade="80"/>
          <w:sz w:val="28"/>
          <w:szCs w:val="28"/>
        </w:rPr>
      </w:pPr>
      <w:r w:rsidRPr="00EC404E">
        <w:rPr>
          <w:b/>
          <w:bCs/>
          <w:color w:val="1F3864" w:themeColor="accent1" w:themeShade="80"/>
          <w:sz w:val="28"/>
          <w:szCs w:val="28"/>
        </w:rPr>
        <w:lastRenderedPageBreak/>
        <w:t>Matched Datasets Background</w:t>
      </w:r>
    </w:p>
    <w:p w14:paraId="1E5D3530" w14:textId="367A71D0" w:rsidR="00870B9F" w:rsidRPr="00EC404E" w:rsidRDefault="00870B9F">
      <w:pPr>
        <w:rPr>
          <w:rFonts w:cstheme="minorHAnsi"/>
          <w:b/>
          <w:bCs/>
        </w:rPr>
      </w:pPr>
      <w:r w:rsidRPr="00EC404E">
        <w:rPr>
          <w:rFonts w:cstheme="minorHAnsi"/>
          <w:b/>
          <w:bCs/>
        </w:rPr>
        <w:t>Payroll to Payroll</w:t>
      </w:r>
    </w:p>
    <w:p w14:paraId="5E8EF81A" w14:textId="77777777" w:rsidR="00870B9F" w:rsidRPr="00EC404E" w:rsidRDefault="00870B9F" w:rsidP="00870B9F">
      <w:pPr>
        <w:pStyle w:val="NormalWeb"/>
        <w:spacing w:before="0" w:beforeAutospacing="0" w:after="150" w:afterAutospacing="0"/>
        <w:rPr>
          <w:rFonts w:asciiTheme="minorHAnsi" w:hAnsiTheme="minorHAnsi" w:cstheme="minorHAnsi"/>
          <w:color w:val="333333"/>
          <w:sz w:val="22"/>
          <w:szCs w:val="22"/>
        </w:rPr>
      </w:pPr>
      <w:r w:rsidRPr="00EC404E">
        <w:rPr>
          <w:rFonts w:asciiTheme="minorHAnsi" w:hAnsiTheme="minorHAnsi" w:cstheme="minorHAnsi"/>
          <w:color w:val="333333"/>
          <w:sz w:val="22"/>
          <w:szCs w:val="22"/>
        </w:rPr>
        <w:t>To identify individuals who may be committing employment fraud by failing to work their contracted hours because they are employed elsewhere or are taking long-term sickness absence from one employer and working for another employer at the same time.</w:t>
      </w:r>
    </w:p>
    <w:p w14:paraId="2DD0E346" w14:textId="77777777" w:rsidR="00870B9F" w:rsidRPr="00EC404E" w:rsidRDefault="00870B9F" w:rsidP="00870B9F">
      <w:pPr>
        <w:pStyle w:val="NormalWeb"/>
        <w:spacing w:before="0" w:beforeAutospacing="0" w:after="150" w:afterAutospacing="0"/>
        <w:rPr>
          <w:rFonts w:asciiTheme="minorHAnsi" w:hAnsiTheme="minorHAnsi" w:cstheme="minorHAnsi"/>
          <w:color w:val="333333"/>
          <w:sz w:val="22"/>
          <w:szCs w:val="22"/>
        </w:rPr>
      </w:pPr>
      <w:r w:rsidRPr="00EC404E">
        <w:rPr>
          <w:rFonts w:asciiTheme="minorHAnsi" w:hAnsiTheme="minorHAnsi" w:cstheme="minorHAnsi"/>
          <w:color w:val="333333"/>
          <w:sz w:val="22"/>
          <w:szCs w:val="22"/>
        </w:rPr>
        <w:t>The criteria for a match are a person having one full-time post plus at least one other post elsewhere.</w:t>
      </w:r>
    </w:p>
    <w:p w14:paraId="16AAC60B" w14:textId="77777777" w:rsidR="00EC404E" w:rsidRPr="00EC404E" w:rsidRDefault="00EC404E">
      <w:pPr>
        <w:rPr>
          <w:rFonts w:cstheme="minorHAnsi"/>
          <w:b/>
          <w:bCs/>
        </w:rPr>
      </w:pPr>
    </w:p>
    <w:p w14:paraId="173277F3" w14:textId="2B5FD63E" w:rsidR="00870B9F" w:rsidRPr="00EC404E" w:rsidRDefault="00870B9F">
      <w:pPr>
        <w:rPr>
          <w:rFonts w:cstheme="minorHAnsi"/>
          <w:b/>
          <w:bCs/>
        </w:rPr>
      </w:pPr>
      <w:r w:rsidRPr="00EC404E">
        <w:rPr>
          <w:rFonts w:cstheme="minorHAnsi"/>
          <w:b/>
          <w:bCs/>
        </w:rPr>
        <w:t>Payroll to Creditors</w:t>
      </w:r>
    </w:p>
    <w:p w14:paraId="37F0691C" w14:textId="77777777" w:rsidR="00870B9F" w:rsidRPr="00EC404E" w:rsidRDefault="00870B9F" w:rsidP="00870B9F">
      <w:pPr>
        <w:pStyle w:val="NormalWeb"/>
        <w:spacing w:before="0" w:beforeAutospacing="0" w:after="150" w:afterAutospacing="0"/>
        <w:rPr>
          <w:rFonts w:asciiTheme="minorHAnsi" w:hAnsiTheme="minorHAnsi" w:cstheme="minorHAnsi"/>
          <w:color w:val="333333"/>
          <w:sz w:val="22"/>
          <w:szCs w:val="22"/>
        </w:rPr>
      </w:pPr>
      <w:r w:rsidRPr="00EC404E">
        <w:rPr>
          <w:rFonts w:asciiTheme="minorHAnsi" w:hAnsiTheme="minorHAnsi" w:cstheme="minorHAnsi"/>
          <w:color w:val="333333"/>
          <w:sz w:val="22"/>
          <w:szCs w:val="22"/>
        </w:rPr>
        <w:t>The match identifies instances where an employee and creditor are linked by the same bank account (report 80) or the same address (report 81) to identify employees with interests in companies with which your organisation is trading.</w:t>
      </w:r>
    </w:p>
    <w:p w14:paraId="1CFD398E" w14:textId="77777777" w:rsidR="00870B9F" w:rsidRPr="00EC404E" w:rsidRDefault="00870B9F" w:rsidP="00870B9F">
      <w:pPr>
        <w:pStyle w:val="NormalWeb"/>
        <w:spacing w:before="0" w:beforeAutospacing="0" w:after="150" w:afterAutospacing="0"/>
        <w:rPr>
          <w:rFonts w:asciiTheme="minorHAnsi" w:hAnsiTheme="minorHAnsi" w:cstheme="minorHAnsi"/>
          <w:color w:val="333333"/>
          <w:sz w:val="22"/>
          <w:szCs w:val="22"/>
        </w:rPr>
      </w:pPr>
      <w:r w:rsidRPr="00EC404E">
        <w:rPr>
          <w:rFonts w:asciiTheme="minorHAnsi" w:hAnsiTheme="minorHAnsi" w:cstheme="minorHAnsi"/>
          <w:color w:val="333333"/>
          <w:sz w:val="22"/>
          <w:szCs w:val="22"/>
        </w:rPr>
        <w:t>This may indicate potential undeclared interests and possible procurement corruption or where a member of staff has set up a creditor with their own bank details in order to receive payments they are not entitled to.</w:t>
      </w:r>
    </w:p>
    <w:p w14:paraId="6592F120" w14:textId="77777777" w:rsidR="00870B9F" w:rsidRPr="00EC404E" w:rsidRDefault="00870B9F">
      <w:pPr>
        <w:rPr>
          <w:rFonts w:cstheme="minorHAnsi"/>
        </w:rPr>
      </w:pPr>
    </w:p>
    <w:p w14:paraId="0B0D5423" w14:textId="1AF228F4" w:rsidR="00870B9F" w:rsidRPr="00EC404E" w:rsidRDefault="00870B9F">
      <w:pPr>
        <w:rPr>
          <w:rFonts w:cstheme="minorHAnsi"/>
          <w:b/>
          <w:bCs/>
        </w:rPr>
      </w:pPr>
      <w:r w:rsidRPr="00EC404E">
        <w:rPr>
          <w:rFonts w:cstheme="minorHAnsi"/>
          <w:b/>
          <w:bCs/>
        </w:rPr>
        <w:t>Duplicate Creditors by Credit Reference</w:t>
      </w:r>
    </w:p>
    <w:p w14:paraId="143CA6A0" w14:textId="43BB4AA0" w:rsidR="00870B9F" w:rsidRPr="00EC404E" w:rsidRDefault="00870B9F">
      <w:pPr>
        <w:rPr>
          <w:rFonts w:cstheme="minorHAnsi"/>
          <w:color w:val="333333"/>
          <w:shd w:val="clear" w:color="auto" w:fill="FFFFFF"/>
        </w:rPr>
      </w:pPr>
      <w:r w:rsidRPr="00EC404E">
        <w:rPr>
          <w:rFonts w:cstheme="minorHAnsi"/>
          <w:color w:val="333333"/>
          <w:shd w:val="clear" w:color="auto" w:fill="FFFFFF"/>
        </w:rPr>
        <w:t>Duplicates identified in this match suggest poor creditor management as the system has permitted a creditor reference to be used more than once.</w:t>
      </w:r>
    </w:p>
    <w:p w14:paraId="0579FB4A" w14:textId="77777777" w:rsidR="00870B9F" w:rsidRPr="00EC404E" w:rsidRDefault="00870B9F">
      <w:pPr>
        <w:rPr>
          <w:rFonts w:cstheme="minorHAnsi"/>
          <w:color w:val="333333"/>
          <w:shd w:val="clear" w:color="auto" w:fill="FFFFFF"/>
        </w:rPr>
      </w:pPr>
    </w:p>
    <w:p w14:paraId="1A0124E8" w14:textId="34FC1D78" w:rsidR="00870B9F" w:rsidRPr="00EC404E" w:rsidRDefault="00870B9F">
      <w:pPr>
        <w:rPr>
          <w:rFonts w:cstheme="minorHAnsi"/>
          <w:b/>
          <w:bCs/>
          <w:color w:val="333333"/>
          <w:shd w:val="clear" w:color="auto" w:fill="FFFFFF"/>
        </w:rPr>
      </w:pPr>
      <w:r w:rsidRPr="00EC404E">
        <w:rPr>
          <w:rFonts w:cstheme="minorHAnsi"/>
          <w:b/>
          <w:bCs/>
          <w:color w:val="333333"/>
          <w:shd w:val="clear" w:color="auto" w:fill="FFFFFF"/>
        </w:rPr>
        <w:t>Duplicate Creditors by Creditor Name</w:t>
      </w:r>
    </w:p>
    <w:p w14:paraId="655C303D" w14:textId="32903ECA" w:rsidR="00870B9F" w:rsidRPr="00EC404E" w:rsidRDefault="00870B9F">
      <w:pPr>
        <w:rPr>
          <w:rFonts w:cstheme="minorHAnsi"/>
          <w:color w:val="333333"/>
          <w:shd w:val="clear" w:color="auto" w:fill="FFFFFF"/>
        </w:rPr>
      </w:pPr>
      <w:r w:rsidRPr="00EC404E">
        <w:rPr>
          <w:rFonts w:cstheme="minorHAnsi"/>
          <w:color w:val="333333"/>
          <w:shd w:val="clear" w:color="auto" w:fill="FFFFFF"/>
        </w:rPr>
        <w:t>To identify instances where the same supplier has been set up with more than one reference number on the system thus increasing the potential for creditors to obscure fraudulent activity.</w:t>
      </w:r>
    </w:p>
    <w:p w14:paraId="2B8BA89C" w14:textId="77777777" w:rsidR="00870B9F" w:rsidRPr="00EC404E" w:rsidRDefault="00870B9F">
      <w:pPr>
        <w:rPr>
          <w:rFonts w:cstheme="minorHAnsi"/>
          <w:color w:val="333333"/>
          <w:shd w:val="clear" w:color="auto" w:fill="FFFFFF"/>
        </w:rPr>
      </w:pPr>
    </w:p>
    <w:p w14:paraId="784FF2E4" w14:textId="2A3E9DCF" w:rsidR="00870B9F" w:rsidRPr="00EC404E" w:rsidRDefault="00870B9F">
      <w:pPr>
        <w:rPr>
          <w:rFonts w:cstheme="minorHAnsi"/>
          <w:b/>
          <w:bCs/>
        </w:rPr>
      </w:pPr>
      <w:r w:rsidRPr="00EC404E">
        <w:rPr>
          <w:rFonts w:cstheme="minorHAnsi"/>
          <w:b/>
          <w:bCs/>
        </w:rPr>
        <w:t>Duplicate Creditors by Address Detail</w:t>
      </w:r>
    </w:p>
    <w:p w14:paraId="03982B6A" w14:textId="415C134F" w:rsidR="00870B9F" w:rsidRPr="00EC404E" w:rsidRDefault="00EC404E">
      <w:pPr>
        <w:rPr>
          <w:rFonts w:cstheme="minorHAnsi"/>
          <w:color w:val="333333"/>
          <w:shd w:val="clear" w:color="auto" w:fill="FFFFFF"/>
        </w:rPr>
      </w:pPr>
      <w:r w:rsidRPr="00EC404E">
        <w:rPr>
          <w:rFonts w:cstheme="minorHAnsi"/>
          <w:color w:val="333333"/>
          <w:shd w:val="clear" w:color="auto" w:fill="FFFFFF"/>
        </w:rPr>
        <w:t>To identify multiple creditors operating at the same address. These may represent simple errors, where the same creditor may have been set up twice using a slightly different spelling, for example LIMITED and LTD, or an attempt to obscure fraudulent activity.</w:t>
      </w:r>
    </w:p>
    <w:p w14:paraId="34D2FD4C" w14:textId="77777777" w:rsidR="00EC404E" w:rsidRPr="00EC404E" w:rsidRDefault="00EC404E">
      <w:pPr>
        <w:rPr>
          <w:rFonts w:cstheme="minorHAnsi"/>
          <w:color w:val="333333"/>
          <w:shd w:val="clear" w:color="auto" w:fill="FFFFFF"/>
        </w:rPr>
      </w:pPr>
    </w:p>
    <w:p w14:paraId="1A560FF1" w14:textId="5DD273C6" w:rsidR="00EC404E" w:rsidRPr="00EC404E" w:rsidRDefault="00EC404E">
      <w:pPr>
        <w:rPr>
          <w:rFonts w:cstheme="minorHAnsi"/>
          <w:b/>
          <w:bCs/>
          <w:color w:val="333333"/>
          <w:shd w:val="clear" w:color="auto" w:fill="FFFFFF"/>
        </w:rPr>
      </w:pPr>
      <w:r w:rsidRPr="00EC404E">
        <w:rPr>
          <w:rFonts w:cstheme="minorHAnsi"/>
          <w:b/>
          <w:bCs/>
          <w:color w:val="333333"/>
          <w:shd w:val="clear" w:color="auto" w:fill="FFFFFF"/>
        </w:rPr>
        <w:t>Duplicate Creditors by Bank Account Number</w:t>
      </w:r>
    </w:p>
    <w:p w14:paraId="0BC54E77" w14:textId="5DFEFDA8" w:rsidR="00EC404E" w:rsidRPr="00EC404E" w:rsidRDefault="00EC404E">
      <w:pPr>
        <w:rPr>
          <w:rFonts w:cstheme="minorHAnsi"/>
          <w:color w:val="333333"/>
          <w:shd w:val="clear" w:color="auto" w:fill="FFFFFF"/>
        </w:rPr>
      </w:pPr>
      <w:r w:rsidRPr="00EC404E">
        <w:rPr>
          <w:rFonts w:cstheme="minorHAnsi"/>
          <w:color w:val="333333"/>
          <w:shd w:val="clear" w:color="auto" w:fill="FFFFFF"/>
        </w:rPr>
        <w:t>This output shows where the same bank account details appear on more than one record. Of particular interest is where the same bank details are shown against suppliers with different names. These may indicate where a supplier has changed trading name but the standing data has not been updated to reflect this or there are links between companies with different trading names.</w:t>
      </w:r>
    </w:p>
    <w:p w14:paraId="2107C186" w14:textId="77777777" w:rsidR="00EC404E" w:rsidRPr="00EC404E" w:rsidRDefault="00EC404E">
      <w:pPr>
        <w:rPr>
          <w:rFonts w:cstheme="minorHAnsi"/>
          <w:color w:val="333333"/>
          <w:shd w:val="clear" w:color="auto" w:fill="FFFFFF"/>
        </w:rPr>
      </w:pPr>
    </w:p>
    <w:p w14:paraId="39380510" w14:textId="088CC338" w:rsidR="00EC404E" w:rsidRPr="00EC404E" w:rsidRDefault="00EC404E">
      <w:pPr>
        <w:rPr>
          <w:rFonts w:cstheme="minorHAnsi"/>
          <w:b/>
          <w:bCs/>
          <w:color w:val="333333"/>
          <w:shd w:val="clear" w:color="auto" w:fill="FFFFFF"/>
        </w:rPr>
      </w:pPr>
      <w:r w:rsidRPr="00EC404E">
        <w:rPr>
          <w:rFonts w:cstheme="minorHAnsi"/>
          <w:b/>
          <w:bCs/>
          <w:color w:val="333333"/>
          <w:shd w:val="clear" w:color="auto" w:fill="FFFFFF"/>
        </w:rPr>
        <w:t xml:space="preserve">Duplicate Records by Reference, Amount and Creditor Reference </w:t>
      </w:r>
    </w:p>
    <w:p w14:paraId="7CD16F18" w14:textId="41C838CE" w:rsidR="00EC404E" w:rsidRPr="00EC404E" w:rsidRDefault="00EC404E">
      <w:pPr>
        <w:rPr>
          <w:rFonts w:cstheme="minorHAnsi"/>
          <w:color w:val="333333"/>
          <w:shd w:val="clear" w:color="auto" w:fill="FFFFFF"/>
        </w:rPr>
      </w:pPr>
      <w:r w:rsidRPr="00EC404E">
        <w:rPr>
          <w:rFonts w:cstheme="minorHAnsi"/>
          <w:color w:val="333333"/>
          <w:shd w:val="clear" w:color="auto" w:fill="FFFFFF"/>
        </w:rPr>
        <w:t>This match highlights possible duplicate payments in excess of £500 that may have arisen as a result of poor controls or fraudulent activity by suppliers and/or staff.</w:t>
      </w:r>
    </w:p>
    <w:p w14:paraId="349A40A7" w14:textId="77777777" w:rsidR="00EC404E" w:rsidRPr="00EC404E" w:rsidRDefault="00EC404E">
      <w:pPr>
        <w:rPr>
          <w:rFonts w:cstheme="minorHAnsi"/>
          <w:color w:val="333333"/>
          <w:shd w:val="clear" w:color="auto" w:fill="FFFFFF"/>
        </w:rPr>
      </w:pPr>
    </w:p>
    <w:p w14:paraId="55E38231" w14:textId="5D30273E" w:rsidR="00EC404E" w:rsidRPr="00EC404E" w:rsidRDefault="00EC404E">
      <w:pPr>
        <w:rPr>
          <w:rFonts w:cstheme="minorHAnsi"/>
          <w:b/>
          <w:bCs/>
          <w:color w:val="333333"/>
          <w:shd w:val="clear" w:color="auto" w:fill="FFFFFF"/>
        </w:rPr>
      </w:pPr>
      <w:r w:rsidRPr="00EC404E">
        <w:rPr>
          <w:rFonts w:cstheme="minorHAnsi"/>
          <w:b/>
          <w:bCs/>
          <w:color w:val="333333"/>
          <w:shd w:val="clear" w:color="auto" w:fill="FFFFFF"/>
        </w:rPr>
        <w:t>Duplicate Records by Invoice Amount and Creditor Reference</w:t>
      </w:r>
    </w:p>
    <w:p w14:paraId="068D20BF" w14:textId="58D7479F" w:rsidR="00EC404E" w:rsidRPr="00EC404E" w:rsidRDefault="00EC404E">
      <w:pPr>
        <w:rPr>
          <w:rFonts w:cstheme="minorHAnsi"/>
        </w:rPr>
      </w:pPr>
      <w:r w:rsidRPr="00EC404E">
        <w:rPr>
          <w:rFonts w:cstheme="minorHAnsi"/>
          <w:color w:val="333333"/>
          <w:shd w:val="clear" w:color="auto" w:fill="FFFFFF"/>
        </w:rPr>
        <w:t>This match highlights possible duplicate payments in excess of £1,000 that may have arisen as a result of poor controls or fraudulent activity by suppliers and/or staff. There are likely to be more matches than in report 707 as this report does not require the invoice reference field to match.</w:t>
      </w:r>
    </w:p>
    <w:p w14:paraId="02DDE7BC" w14:textId="77777777" w:rsidR="00870B9F" w:rsidRPr="00EC404E" w:rsidRDefault="00870B9F">
      <w:pPr>
        <w:rPr>
          <w:rFonts w:cstheme="minorHAnsi"/>
        </w:rPr>
      </w:pPr>
    </w:p>
    <w:p w14:paraId="1529F3AB" w14:textId="62521F36" w:rsidR="00EC404E" w:rsidRPr="00EC404E" w:rsidRDefault="00EC404E">
      <w:pPr>
        <w:rPr>
          <w:rFonts w:cstheme="minorHAnsi"/>
          <w:b/>
          <w:bCs/>
          <w:color w:val="333333"/>
          <w:shd w:val="clear" w:color="auto" w:fill="FFFFFF"/>
        </w:rPr>
      </w:pPr>
      <w:r w:rsidRPr="00EC404E">
        <w:rPr>
          <w:rFonts w:cstheme="minorHAnsi"/>
          <w:b/>
          <w:bCs/>
          <w:color w:val="333333"/>
          <w:shd w:val="clear" w:color="auto" w:fill="FFFFFF"/>
        </w:rPr>
        <w:t>VAT Overpaid</w:t>
      </w:r>
    </w:p>
    <w:p w14:paraId="02F58ACA" w14:textId="4C91EC7A" w:rsidR="00EC404E" w:rsidRPr="00EC404E" w:rsidRDefault="00EC404E">
      <w:pPr>
        <w:rPr>
          <w:rFonts w:cstheme="minorHAnsi"/>
        </w:rPr>
      </w:pPr>
      <w:r w:rsidRPr="00EC404E">
        <w:rPr>
          <w:rFonts w:cstheme="minorHAnsi"/>
          <w:color w:val="333333"/>
          <w:shd w:val="clear" w:color="auto" w:fill="FFFFFF"/>
        </w:rPr>
        <w:t>This report identifies instances where VAT may have been overpaid. This is based on the information provided within the NFI invoice history data submission and the output includes the level and scale of overpaid VAT. The VAT amount is compared to a calculated maximum VAT of 20%, the maximum VAT rate in the payment period covered by the NFI exercise.</w:t>
      </w:r>
    </w:p>
    <w:p w14:paraId="05D110A8" w14:textId="77777777" w:rsidR="00EC404E" w:rsidRPr="00EC404E" w:rsidRDefault="00EC404E">
      <w:pPr>
        <w:rPr>
          <w:rFonts w:cstheme="minorHAnsi"/>
        </w:rPr>
      </w:pPr>
    </w:p>
    <w:p w14:paraId="7FA3D87D" w14:textId="4038C832" w:rsidR="00EC404E" w:rsidRPr="00EC404E" w:rsidRDefault="00EC404E">
      <w:pPr>
        <w:rPr>
          <w:rFonts w:cstheme="minorHAnsi"/>
          <w:b/>
          <w:bCs/>
          <w:color w:val="333333"/>
          <w:shd w:val="clear" w:color="auto" w:fill="FFFFFF"/>
        </w:rPr>
      </w:pPr>
      <w:r w:rsidRPr="00EC404E">
        <w:rPr>
          <w:rFonts w:cstheme="minorHAnsi"/>
          <w:b/>
          <w:bCs/>
          <w:color w:val="333333"/>
          <w:shd w:val="clear" w:color="auto" w:fill="FFFFFF"/>
        </w:rPr>
        <w:t>Duplicate Records by Supplier Invoice Number and Invoice Amount but Different Creditor Reference and Name</w:t>
      </w:r>
    </w:p>
    <w:p w14:paraId="2A623EF1" w14:textId="77777777" w:rsidR="00EC404E" w:rsidRPr="00EC404E" w:rsidRDefault="00EC404E">
      <w:pPr>
        <w:rPr>
          <w:rFonts w:cstheme="minorHAnsi"/>
        </w:rPr>
      </w:pPr>
      <w:r w:rsidRPr="00EC404E">
        <w:rPr>
          <w:rFonts w:cstheme="minorHAnsi"/>
          <w:color w:val="333333"/>
          <w:shd w:val="clear" w:color="auto" w:fill="FFFFFF"/>
        </w:rPr>
        <w:t>This match highlights possible duplicate payments for the same goods/services but to creditors with different reference numbers, which may have arisen as a result of poor controls or fraudulent activity by suppliers and/or staff.</w:t>
      </w:r>
      <w:r w:rsidRPr="00EC404E">
        <w:rPr>
          <w:rFonts w:cstheme="minorHAnsi"/>
        </w:rPr>
        <w:t xml:space="preserve"> </w:t>
      </w:r>
    </w:p>
    <w:p w14:paraId="6653BB8A" w14:textId="0F463FB5" w:rsidR="00EC404E" w:rsidRPr="00EC404E" w:rsidRDefault="00EC404E">
      <w:pPr>
        <w:rPr>
          <w:rFonts w:cstheme="minorHAnsi"/>
          <w:b/>
          <w:bCs/>
          <w:color w:val="333333"/>
          <w:shd w:val="clear" w:color="auto" w:fill="FFFFFF"/>
        </w:rPr>
      </w:pPr>
      <w:r w:rsidRPr="00EC404E">
        <w:rPr>
          <w:rFonts w:cstheme="minorHAnsi"/>
          <w:b/>
          <w:bCs/>
          <w:color w:val="333333"/>
          <w:shd w:val="clear" w:color="auto" w:fill="FFFFFF"/>
        </w:rPr>
        <w:lastRenderedPageBreak/>
        <w:t>Duplicate Records by Postcode, Invoice Date and Invoice Amount but Different Creditor Reference and Supplier Invoice Number</w:t>
      </w:r>
    </w:p>
    <w:p w14:paraId="526A316D" w14:textId="77777777" w:rsidR="00EC404E" w:rsidRPr="00EC404E" w:rsidRDefault="00EC404E">
      <w:pPr>
        <w:rPr>
          <w:rFonts w:cstheme="minorHAnsi"/>
        </w:rPr>
      </w:pPr>
      <w:r w:rsidRPr="00EC404E">
        <w:rPr>
          <w:rFonts w:cstheme="minorHAnsi"/>
          <w:color w:val="333333"/>
          <w:shd w:val="clear" w:color="auto" w:fill="FFFFFF"/>
        </w:rPr>
        <w:t>This match highlights possible duplicate payments for the same goods/services but to creditors with different reference numbers, which may have arisen as a result of poor controls or fraudulent activity by suppliers and/or staff.</w:t>
      </w:r>
      <w:r w:rsidRPr="00EC404E">
        <w:rPr>
          <w:rFonts w:cstheme="minorHAnsi"/>
        </w:rPr>
        <w:t xml:space="preserve"> </w:t>
      </w:r>
    </w:p>
    <w:p w14:paraId="7658AE2C" w14:textId="77777777" w:rsidR="00EC404E" w:rsidRPr="00EC404E" w:rsidRDefault="00EC404E">
      <w:pPr>
        <w:rPr>
          <w:rFonts w:cstheme="minorHAnsi"/>
        </w:rPr>
      </w:pPr>
    </w:p>
    <w:p w14:paraId="7E65EB3E" w14:textId="4291E705" w:rsidR="00EC404E" w:rsidRPr="00EC404E" w:rsidRDefault="00EC404E" w:rsidP="00EC404E">
      <w:pPr>
        <w:pStyle w:val="NormalWeb"/>
        <w:spacing w:before="0" w:beforeAutospacing="0" w:after="150" w:afterAutospacing="0"/>
        <w:rPr>
          <w:rFonts w:asciiTheme="minorHAnsi" w:hAnsiTheme="minorHAnsi" w:cstheme="minorHAnsi"/>
          <w:b/>
          <w:bCs/>
          <w:color w:val="333333"/>
          <w:sz w:val="22"/>
          <w:szCs w:val="22"/>
        </w:rPr>
      </w:pPr>
      <w:r w:rsidRPr="00EC404E">
        <w:rPr>
          <w:rFonts w:asciiTheme="minorHAnsi" w:hAnsiTheme="minorHAnsi" w:cstheme="minorHAnsi"/>
          <w:b/>
          <w:bCs/>
          <w:color w:val="333333"/>
          <w:sz w:val="22"/>
          <w:szCs w:val="22"/>
        </w:rPr>
        <w:t>Procurement - Payroll to Companies House (Director)</w:t>
      </w:r>
    </w:p>
    <w:p w14:paraId="077685B5" w14:textId="6FBE9BA5" w:rsidR="00EC404E" w:rsidRPr="00EC404E" w:rsidRDefault="00EC404E" w:rsidP="00EC404E">
      <w:pPr>
        <w:pStyle w:val="NormalWeb"/>
        <w:spacing w:before="0" w:beforeAutospacing="0" w:after="150" w:afterAutospacing="0"/>
        <w:rPr>
          <w:rFonts w:asciiTheme="minorHAnsi" w:hAnsiTheme="minorHAnsi" w:cstheme="minorHAnsi"/>
          <w:color w:val="333333"/>
          <w:sz w:val="22"/>
          <w:szCs w:val="22"/>
        </w:rPr>
      </w:pPr>
      <w:r w:rsidRPr="00EC404E">
        <w:rPr>
          <w:rFonts w:asciiTheme="minorHAnsi" w:hAnsiTheme="minorHAnsi" w:cstheme="minorHAnsi"/>
          <w:color w:val="333333"/>
          <w:sz w:val="22"/>
          <w:szCs w:val="22"/>
        </w:rPr>
        <w:t>To identify potential undeclared interests that have given a pecuniary advantage. To do this we have matched your payroll data to companies house information and then to your creditors data.</w:t>
      </w:r>
    </w:p>
    <w:p w14:paraId="68F4383C" w14:textId="77777777" w:rsidR="00EC404E" w:rsidRPr="00EC404E" w:rsidRDefault="00EC404E" w:rsidP="00EC404E">
      <w:pPr>
        <w:pStyle w:val="NormalWeb"/>
        <w:spacing w:before="0" w:beforeAutospacing="0" w:after="150" w:afterAutospacing="0"/>
        <w:rPr>
          <w:rFonts w:asciiTheme="minorHAnsi" w:hAnsiTheme="minorHAnsi" w:cstheme="minorHAnsi"/>
          <w:color w:val="333333"/>
          <w:sz w:val="22"/>
          <w:szCs w:val="22"/>
        </w:rPr>
      </w:pPr>
      <w:r w:rsidRPr="00EC404E">
        <w:rPr>
          <w:rFonts w:asciiTheme="minorHAnsi" w:hAnsiTheme="minorHAnsi" w:cstheme="minorHAnsi"/>
          <w:color w:val="333333"/>
          <w:sz w:val="22"/>
          <w:szCs w:val="22"/>
        </w:rPr>
        <w:t>The reports are split between those highlighting employees who appear to be registered directors of companies that the employing body has traded with (Report 750) and those where the employees address appears to have links to the company directors or the company (Report 752).</w:t>
      </w:r>
    </w:p>
    <w:p w14:paraId="6FCF8094" w14:textId="4EF70A73" w:rsidR="00EC404E" w:rsidRDefault="00EC404E">
      <w:r>
        <w:br w:type="page"/>
      </w:r>
    </w:p>
    <w:tbl>
      <w:tblPr>
        <w:tblW w:w="15256" w:type="dxa"/>
        <w:tblLook w:val="04A0" w:firstRow="1" w:lastRow="0" w:firstColumn="1" w:lastColumn="0" w:noHBand="0" w:noVBand="1"/>
      </w:tblPr>
      <w:tblGrid>
        <w:gridCol w:w="960"/>
        <w:gridCol w:w="7040"/>
        <w:gridCol w:w="1819"/>
        <w:gridCol w:w="988"/>
        <w:gridCol w:w="1095"/>
        <w:gridCol w:w="993"/>
        <w:gridCol w:w="1044"/>
        <w:gridCol w:w="1317"/>
      </w:tblGrid>
      <w:tr w:rsidR="00804BED" w:rsidRPr="00804BED" w14:paraId="1F1B79F8" w14:textId="77777777" w:rsidTr="00EC404E">
        <w:trPr>
          <w:trHeight w:val="825"/>
          <w:tblHeader/>
        </w:trPr>
        <w:tc>
          <w:tcPr>
            <w:tcW w:w="960" w:type="dxa"/>
            <w:tcBorders>
              <w:top w:val="single" w:sz="4" w:space="0" w:color="auto"/>
              <w:left w:val="single" w:sz="4" w:space="0" w:color="auto"/>
              <w:bottom w:val="single" w:sz="4" w:space="0" w:color="auto"/>
              <w:right w:val="single" w:sz="4" w:space="0" w:color="auto"/>
            </w:tcBorders>
            <w:shd w:val="clear" w:color="000000" w:fill="203764"/>
            <w:noWrap/>
            <w:vAlign w:val="center"/>
            <w:hideMark/>
          </w:tcPr>
          <w:p w14:paraId="1E75D4F5" w14:textId="15A5B7DB" w:rsidR="00804BED" w:rsidRPr="00804BED" w:rsidRDefault="00804BED" w:rsidP="00AC47FA">
            <w:pPr>
              <w:spacing w:after="0" w:line="240" w:lineRule="auto"/>
              <w:jc w:val="center"/>
              <w:rPr>
                <w:rFonts w:ascii="Calibri" w:eastAsia="Times New Roman" w:hAnsi="Calibri" w:cs="Calibri"/>
                <w:color w:val="FFFFFF"/>
                <w:lang w:eastAsia="en-GB"/>
              </w:rPr>
            </w:pPr>
            <w:r w:rsidRPr="00804BED">
              <w:rPr>
                <w:rFonts w:ascii="Calibri" w:eastAsia="Times New Roman" w:hAnsi="Calibri" w:cs="Calibri"/>
                <w:color w:val="FFFFFF"/>
                <w:lang w:eastAsia="en-GB"/>
              </w:rPr>
              <w:lastRenderedPageBreak/>
              <w:t>Report ID</w:t>
            </w:r>
          </w:p>
        </w:tc>
        <w:tc>
          <w:tcPr>
            <w:tcW w:w="7040" w:type="dxa"/>
            <w:tcBorders>
              <w:top w:val="single" w:sz="4" w:space="0" w:color="auto"/>
              <w:left w:val="nil"/>
              <w:bottom w:val="single" w:sz="4" w:space="0" w:color="auto"/>
              <w:right w:val="single" w:sz="4" w:space="0" w:color="auto"/>
            </w:tcBorders>
            <w:shd w:val="clear" w:color="000000" w:fill="203764"/>
            <w:noWrap/>
            <w:vAlign w:val="center"/>
            <w:hideMark/>
          </w:tcPr>
          <w:p w14:paraId="29778A5B" w14:textId="77777777" w:rsidR="00804BED" w:rsidRPr="00804BED" w:rsidRDefault="00804BED" w:rsidP="00AC47FA">
            <w:pPr>
              <w:spacing w:after="0" w:line="240" w:lineRule="auto"/>
              <w:jc w:val="center"/>
              <w:rPr>
                <w:rFonts w:ascii="Calibri" w:eastAsia="Times New Roman" w:hAnsi="Calibri" w:cs="Calibri"/>
                <w:color w:val="FFFFFF"/>
                <w:lang w:eastAsia="en-GB"/>
              </w:rPr>
            </w:pPr>
            <w:r w:rsidRPr="00804BED">
              <w:rPr>
                <w:rFonts w:ascii="Calibri" w:eastAsia="Times New Roman" w:hAnsi="Calibri" w:cs="Calibri"/>
                <w:color w:val="FFFFFF"/>
                <w:lang w:eastAsia="en-GB"/>
              </w:rPr>
              <w:t>Report Title</w:t>
            </w:r>
          </w:p>
        </w:tc>
        <w:tc>
          <w:tcPr>
            <w:tcW w:w="1819" w:type="dxa"/>
            <w:tcBorders>
              <w:top w:val="single" w:sz="4" w:space="0" w:color="auto"/>
              <w:left w:val="nil"/>
              <w:bottom w:val="single" w:sz="4" w:space="0" w:color="auto"/>
              <w:right w:val="single" w:sz="4" w:space="0" w:color="auto"/>
            </w:tcBorders>
            <w:shd w:val="clear" w:color="000000" w:fill="203764"/>
            <w:noWrap/>
            <w:vAlign w:val="center"/>
            <w:hideMark/>
          </w:tcPr>
          <w:p w14:paraId="6A03863E" w14:textId="77777777" w:rsidR="00804BED" w:rsidRPr="00804BED" w:rsidRDefault="00804BED" w:rsidP="00AC47FA">
            <w:pPr>
              <w:spacing w:after="0" w:line="240" w:lineRule="auto"/>
              <w:jc w:val="center"/>
              <w:rPr>
                <w:rFonts w:ascii="Calibri" w:eastAsia="Times New Roman" w:hAnsi="Calibri" w:cs="Calibri"/>
                <w:color w:val="FFFFFF"/>
                <w:lang w:eastAsia="en-GB"/>
              </w:rPr>
            </w:pPr>
            <w:r w:rsidRPr="00804BED">
              <w:rPr>
                <w:rFonts w:ascii="Calibri" w:eastAsia="Times New Roman" w:hAnsi="Calibri" w:cs="Calibri"/>
                <w:color w:val="FFFFFF"/>
                <w:lang w:eastAsia="en-GB"/>
              </w:rPr>
              <w:t>Responsible Lead</w:t>
            </w:r>
          </w:p>
        </w:tc>
        <w:tc>
          <w:tcPr>
            <w:tcW w:w="988" w:type="dxa"/>
            <w:tcBorders>
              <w:top w:val="single" w:sz="4" w:space="0" w:color="auto"/>
              <w:left w:val="nil"/>
              <w:bottom w:val="single" w:sz="4" w:space="0" w:color="auto"/>
              <w:right w:val="single" w:sz="4" w:space="0" w:color="auto"/>
            </w:tcBorders>
            <w:shd w:val="clear" w:color="000000" w:fill="203764"/>
            <w:noWrap/>
            <w:vAlign w:val="center"/>
            <w:hideMark/>
          </w:tcPr>
          <w:p w14:paraId="2441F9C7" w14:textId="77777777" w:rsidR="00804BED" w:rsidRPr="00804BED" w:rsidRDefault="00804BED" w:rsidP="00AC47FA">
            <w:pPr>
              <w:spacing w:after="0" w:line="240" w:lineRule="auto"/>
              <w:jc w:val="center"/>
              <w:rPr>
                <w:rFonts w:ascii="Calibri" w:eastAsia="Times New Roman" w:hAnsi="Calibri" w:cs="Calibri"/>
                <w:color w:val="FFFFFF"/>
                <w:lang w:eastAsia="en-GB"/>
              </w:rPr>
            </w:pPr>
            <w:r w:rsidRPr="00804BED">
              <w:rPr>
                <w:rFonts w:ascii="Calibri" w:eastAsia="Times New Roman" w:hAnsi="Calibri" w:cs="Calibri"/>
                <w:color w:val="FFFFFF"/>
                <w:lang w:eastAsia="en-GB"/>
              </w:rPr>
              <w:t>Total Matches</w:t>
            </w:r>
          </w:p>
        </w:tc>
        <w:tc>
          <w:tcPr>
            <w:tcW w:w="1095" w:type="dxa"/>
            <w:tcBorders>
              <w:top w:val="single" w:sz="4" w:space="0" w:color="auto"/>
              <w:left w:val="nil"/>
              <w:bottom w:val="single" w:sz="4" w:space="0" w:color="auto"/>
              <w:right w:val="single" w:sz="4" w:space="0" w:color="auto"/>
            </w:tcBorders>
            <w:shd w:val="clear" w:color="000000" w:fill="203764"/>
            <w:noWrap/>
            <w:vAlign w:val="center"/>
            <w:hideMark/>
          </w:tcPr>
          <w:p w14:paraId="1218076F" w14:textId="77777777" w:rsidR="00804BED" w:rsidRPr="00804BED" w:rsidRDefault="00804BED" w:rsidP="00AC47FA">
            <w:pPr>
              <w:spacing w:after="0" w:line="240" w:lineRule="auto"/>
              <w:jc w:val="center"/>
              <w:rPr>
                <w:rFonts w:ascii="Calibri" w:eastAsia="Times New Roman" w:hAnsi="Calibri" w:cs="Calibri"/>
                <w:color w:val="FFFFFF"/>
                <w:lang w:eastAsia="en-GB"/>
              </w:rPr>
            </w:pPr>
            <w:r w:rsidRPr="00804BED">
              <w:rPr>
                <w:rFonts w:ascii="Calibri" w:eastAsia="Times New Roman" w:hAnsi="Calibri" w:cs="Calibri"/>
                <w:color w:val="FFFFFF"/>
                <w:lang w:eastAsia="en-GB"/>
              </w:rPr>
              <w:t>Status</w:t>
            </w:r>
          </w:p>
        </w:tc>
        <w:tc>
          <w:tcPr>
            <w:tcW w:w="993" w:type="dxa"/>
            <w:tcBorders>
              <w:top w:val="single" w:sz="4" w:space="0" w:color="auto"/>
              <w:left w:val="nil"/>
              <w:bottom w:val="single" w:sz="4" w:space="0" w:color="auto"/>
              <w:right w:val="single" w:sz="4" w:space="0" w:color="auto"/>
            </w:tcBorders>
            <w:shd w:val="clear" w:color="000000" w:fill="203764"/>
            <w:vAlign w:val="center"/>
            <w:hideMark/>
          </w:tcPr>
          <w:p w14:paraId="3EE1F362" w14:textId="77777777" w:rsidR="00804BED" w:rsidRPr="00804BED" w:rsidRDefault="00804BED" w:rsidP="00AC47FA">
            <w:pPr>
              <w:spacing w:after="0" w:line="240" w:lineRule="auto"/>
              <w:jc w:val="center"/>
              <w:rPr>
                <w:rFonts w:ascii="Calibri" w:eastAsia="Times New Roman" w:hAnsi="Calibri" w:cs="Calibri"/>
                <w:color w:val="FFFFFF"/>
                <w:lang w:eastAsia="en-GB"/>
              </w:rPr>
            </w:pPr>
            <w:r w:rsidRPr="00804BED">
              <w:rPr>
                <w:rFonts w:ascii="Calibri" w:eastAsia="Times New Roman" w:hAnsi="Calibri" w:cs="Calibri"/>
                <w:color w:val="FFFFFF"/>
                <w:lang w:eastAsia="en-GB"/>
              </w:rPr>
              <w:t>Closed Matches</w:t>
            </w:r>
          </w:p>
        </w:tc>
        <w:tc>
          <w:tcPr>
            <w:tcW w:w="1044" w:type="dxa"/>
            <w:tcBorders>
              <w:top w:val="single" w:sz="4" w:space="0" w:color="auto"/>
              <w:left w:val="nil"/>
              <w:bottom w:val="single" w:sz="4" w:space="0" w:color="auto"/>
              <w:right w:val="single" w:sz="4" w:space="0" w:color="auto"/>
            </w:tcBorders>
            <w:shd w:val="clear" w:color="000000" w:fill="203764"/>
            <w:vAlign w:val="center"/>
            <w:hideMark/>
          </w:tcPr>
          <w:p w14:paraId="7D42CA11" w14:textId="77777777" w:rsidR="00804BED" w:rsidRPr="00804BED" w:rsidRDefault="00804BED" w:rsidP="00AC47FA">
            <w:pPr>
              <w:spacing w:after="0" w:line="240" w:lineRule="auto"/>
              <w:jc w:val="center"/>
              <w:rPr>
                <w:rFonts w:ascii="Calibri" w:eastAsia="Times New Roman" w:hAnsi="Calibri" w:cs="Calibri"/>
                <w:color w:val="FFFFFF"/>
                <w:lang w:eastAsia="en-GB"/>
              </w:rPr>
            </w:pPr>
            <w:r w:rsidRPr="00804BED">
              <w:rPr>
                <w:rFonts w:ascii="Calibri" w:eastAsia="Times New Roman" w:hAnsi="Calibri" w:cs="Calibri"/>
                <w:color w:val="FFFFFF"/>
                <w:lang w:eastAsia="en-GB"/>
              </w:rPr>
              <w:t>Further Enquiries</w:t>
            </w:r>
          </w:p>
        </w:tc>
        <w:tc>
          <w:tcPr>
            <w:tcW w:w="1317" w:type="dxa"/>
            <w:tcBorders>
              <w:top w:val="nil"/>
              <w:left w:val="nil"/>
              <w:bottom w:val="nil"/>
              <w:right w:val="single" w:sz="4" w:space="0" w:color="auto"/>
            </w:tcBorders>
            <w:shd w:val="clear" w:color="000000" w:fill="203764"/>
            <w:vAlign w:val="center"/>
            <w:hideMark/>
          </w:tcPr>
          <w:p w14:paraId="064EFBB8" w14:textId="77777777" w:rsidR="00804BED" w:rsidRPr="00804BED" w:rsidRDefault="00804BED" w:rsidP="00AC47FA">
            <w:pPr>
              <w:spacing w:after="0" w:line="240" w:lineRule="auto"/>
              <w:jc w:val="center"/>
              <w:rPr>
                <w:rFonts w:ascii="Calibri" w:eastAsia="Times New Roman" w:hAnsi="Calibri" w:cs="Calibri"/>
                <w:color w:val="FFFFFF"/>
                <w:lang w:eastAsia="en-GB"/>
              </w:rPr>
            </w:pPr>
            <w:r w:rsidRPr="00804BED">
              <w:rPr>
                <w:rFonts w:ascii="Calibri" w:eastAsia="Times New Roman" w:hAnsi="Calibri" w:cs="Calibri"/>
                <w:color w:val="FFFFFF"/>
                <w:lang w:eastAsia="en-GB"/>
              </w:rPr>
              <w:t>Matches Outstanding</w:t>
            </w:r>
          </w:p>
        </w:tc>
      </w:tr>
      <w:tr w:rsidR="00804BED" w:rsidRPr="00804BED" w14:paraId="55728176"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F727AC6"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66</w:t>
            </w:r>
          </w:p>
        </w:tc>
        <w:tc>
          <w:tcPr>
            <w:tcW w:w="7040" w:type="dxa"/>
            <w:tcBorders>
              <w:top w:val="nil"/>
              <w:left w:val="nil"/>
              <w:bottom w:val="single" w:sz="4" w:space="0" w:color="auto"/>
              <w:right w:val="single" w:sz="4" w:space="0" w:color="auto"/>
            </w:tcBorders>
            <w:shd w:val="clear" w:color="auto" w:fill="auto"/>
            <w:vAlign w:val="center"/>
            <w:hideMark/>
          </w:tcPr>
          <w:p w14:paraId="25DCD5AC"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Payroll to Payroll</w:t>
            </w:r>
          </w:p>
        </w:tc>
        <w:tc>
          <w:tcPr>
            <w:tcW w:w="1819" w:type="dxa"/>
            <w:vMerge w:val="restart"/>
            <w:tcBorders>
              <w:top w:val="nil"/>
              <w:left w:val="single" w:sz="4" w:space="0" w:color="auto"/>
              <w:bottom w:val="single" w:sz="4" w:space="0" w:color="000000"/>
              <w:right w:val="single" w:sz="4" w:space="0" w:color="auto"/>
            </w:tcBorders>
            <w:vAlign w:val="center"/>
            <w:hideMark/>
          </w:tcPr>
          <w:p w14:paraId="23FDF5DD" w14:textId="2D2B41A9" w:rsidR="00804BED" w:rsidRPr="00804BED" w:rsidRDefault="00534244" w:rsidP="00534244">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Counter Fraud</w:t>
            </w:r>
          </w:p>
        </w:tc>
        <w:tc>
          <w:tcPr>
            <w:tcW w:w="988" w:type="dxa"/>
            <w:tcBorders>
              <w:top w:val="nil"/>
              <w:left w:val="nil"/>
              <w:bottom w:val="single" w:sz="4" w:space="0" w:color="auto"/>
              <w:right w:val="single" w:sz="4" w:space="0" w:color="auto"/>
            </w:tcBorders>
            <w:shd w:val="clear" w:color="auto" w:fill="auto"/>
            <w:noWrap/>
            <w:vAlign w:val="center"/>
            <w:hideMark/>
          </w:tcPr>
          <w:p w14:paraId="60CDD29C" w14:textId="1732E1E7" w:rsidR="00804BED" w:rsidRPr="00804BED" w:rsidRDefault="00534244"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196</w:t>
            </w:r>
          </w:p>
        </w:tc>
        <w:tc>
          <w:tcPr>
            <w:tcW w:w="1095" w:type="dxa"/>
            <w:tcBorders>
              <w:top w:val="nil"/>
              <w:left w:val="nil"/>
              <w:bottom w:val="single" w:sz="4" w:space="0" w:color="auto"/>
              <w:right w:val="single" w:sz="4" w:space="0" w:color="auto"/>
            </w:tcBorders>
            <w:shd w:val="clear" w:color="auto" w:fill="auto"/>
            <w:noWrap/>
            <w:vAlign w:val="center"/>
            <w:hideMark/>
          </w:tcPr>
          <w:p w14:paraId="531594C5"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Opened</w:t>
            </w:r>
          </w:p>
        </w:tc>
        <w:tc>
          <w:tcPr>
            <w:tcW w:w="993" w:type="dxa"/>
            <w:tcBorders>
              <w:top w:val="nil"/>
              <w:left w:val="nil"/>
              <w:bottom w:val="single" w:sz="4" w:space="0" w:color="auto"/>
              <w:right w:val="single" w:sz="4" w:space="0" w:color="auto"/>
            </w:tcBorders>
            <w:shd w:val="clear" w:color="auto" w:fill="auto"/>
            <w:noWrap/>
            <w:vAlign w:val="center"/>
            <w:hideMark/>
          </w:tcPr>
          <w:p w14:paraId="7DF92B32" w14:textId="1C3FE120" w:rsidR="00804BED" w:rsidRPr="00804BED" w:rsidRDefault="00534244"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185</w:t>
            </w:r>
          </w:p>
        </w:tc>
        <w:tc>
          <w:tcPr>
            <w:tcW w:w="1044" w:type="dxa"/>
            <w:tcBorders>
              <w:top w:val="nil"/>
              <w:left w:val="nil"/>
              <w:bottom w:val="single" w:sz="4" w:space="0" w:color="auto"/>
              <w:right w:val="single" w:sz="4" w:space="0" w:color="auto"/>
            </w:tcBorders>
            <w:shd w:val="clear" w:color="auto" w:fill="auto"/>
            <w:noWrap/>
            <w:vAlign w:val="center"/>
            <w:hideMark/>
          </w:tcPr>
          <w:p w14:paraId="5AFB1100" w14:textId="0E75F517" w:rsidR="00804BED" w:rsidRPr="00804BED" w:rsidRDefault="00534244"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11</w:t>
            </w:r>
          </w:p>
        </w:tc>
        <w:tc>
          <w:tcPr>
            <w:tcW w:w="1317" w:type="dxa"/>
            <w:tcBorders>
              <w:top w:val="nil"/>
              <w:left w:val="nil"/>
              <w:bottom w:val="single" w:sz="4" w:space="0" w:color="auto"/>
              <w:right w:val="single" w:sz="4" w:space="0" w:color="auto"/>
            </w:tcBorders>
            <w:shd w:val="clear" w:color="auto" w:fill="auto"/>
            <w:noWrap/>
            <w:vAlign w:val="center"/>
            <w:hideMark/>
          </w:tcPr>
          <w:p w14:paraId="6CC8264E" w14:textId="215862AB" w:rsidR="00804BED" w:rsidRPr="00804BED" w:rsidRDefault="00951232"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0</w:t>
            </w:r>
          </w:p>
        </w:tc>
      </w:tr>
      <w:tr w:rsidR="00804BED" w:rsidRPr="00804BED" w14:paraId="593CFCB4"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4DD60EA" w14:textId="137EEE9A"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6</w:t>
            </w:r>
            <w:r w:rsidR="00534244">
              <w:rPr>
                <w:rFonts w:ascii="Calibri" w:eastAsia="Times New Roman" w:hAnsi="Calibri" w:cs="Calibri"/>
                <w:color w:val="000000"/>
                <w:lang w:eastAsia="en-GB"/>
              </w:rPr>
              <w:t>8</w:t>
            </w:r>
            <w:r w:rsidRPr="00804BED">
              <w:rPr>
                <w:rFonts w:ascii="Calibri" w:eastAsia="Times New Roman" w:hAnsi="Calibri" w:cs="Calibri"/>
                <w:color w:val="000000"/>
                <w:lang w:eastAsia="en-GB"/>
              </w:rPr>
              <w:t>.1</w:t>
            </w:r>
          </w:p>
        </w:tc>
        <w:tc>
          <w:tcPr>
            <w:tcW w:w="7040" w:type="dxa"/>
            <w:tcBorders>
              <w:top w:val="nil"/>
              <w:left w:val="nil"/>
              <w:bottom w:val="single" w:sz="4" w:space="0" w:color="auto"/>
              <w:right w:val="single" w:sz="4" w:space="0" w:color="auto"/>
            </w:tcBorders>
            <w:shd w:val="clear" w:color="auto" w:fill="auto"/>
            <w:vAlign w:val="center"/>
            <w:hideMark/>
          </w:tcPr>
          <w:p w14:paraId="5BDBAAB4"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Payroll to Payroll - Phone Number</w:t>
            </w:r>
          </w:p>
        </w:tc>
        <w:tc>
          <w:tcPr>
            <w:tcW w:w="1819" w:type="dxa"/>
            <w:vMerge/>
            <w:tcBorders>
              <w:top w:val="nil"/>
              <w:left w:val="single" w:sz="4" w:space="0" w:color="auto"/>
              <w:bottom w:val="single" w:sz="4" w:space="0" w:color="000000"/>
              <w:right w:val="single" w:sz="4" w:space="0" w:color="auto"/>
            </w:tcBorders>
            <w:vAlign w:val="center"/>
            <w:hideMark/>
          </w:tcPr>
          <w:p w14:paraId="15308FFD"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0310932A" w14:textId="2B651A19" w:rsidR="00804BED" w:rsidRPr="00804BED" w:rsidRDefault="00FE33A1"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w:t>
            </w:r>
          </w:p>
        </w:tc>
        <w:tc>
          <w:tcPr>
            <w:tcW w:w="1095" w:type="dxa"/>
            <w:tcBorders>
              <w:top w:val="nil"/>
              <w:left w:val="nil"/>
              <w:bottom w:val="single" w:sz="4" w:space="0" w:color="auto"/>
              <w:right w:val="single" w:sz="4" w:space="0" w:color="auto"/>
            </w:tcBorders>
            <w:shd w:val="clear" w:color="auto" w:fill="auto"/>
            <w:noWrap/>
            <w:vAlign w:val="center"/>
            <w:hideMark/>
          </w:tcPr>
          <w:p w14:paraId="2DEA52DA" w14:textId="10C14633" w:rsidR="00804BED" w:rsidRPr="00804BED" w:rsidRDefault="00A06468" w:rsidP="00AC47F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Opened</w:t>
            </w:r>
          </w:p>
        </w:tc>
        <w:tc>
          <w:tcPr>
            <w:tcW w:w="993" w:type="dxa"/>
            <w:tcBorders>
              <w:top w:val="nil"/>
              <w:left w:val="nil"/>
              <w:bottom w:val="single" w:sz="4" w:space="0" w:color="auto"/>
              <w:right w:val="single" w:sz="4" w:space="0" w:color="auto"/>
            </w:tcBorders>
            <w:shd w:val="clear" w:color="auto" w:fill="auto"/>
            <w:noWrap/>
            <w:vAlign w:val="center"/>
            <w:hideMark/>
          </w:tcPr>
          <w:p w14:paraId="11794F90" w14:textId="5453D39D" w:rsidR="00804BED" w:rsidRPr="00804BED" w:rsidRDefault="00534244"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w:t>
            </w:r>
          </w:p>
        </w:tc>
        <w:tc>
          <w:tcPr>
            <w:tcW w:w="1044" w:type="dxa"/>
            <w:tcBorders>
              <w:top w:val="nil"/>
              <w:left w:val="nil"/>
              <w:bottom w:val="single" w:sz="4" w:space="0" w:color="auto"/>
              <w:right w:val="single" w:sz="4" w:space="0" w:color="auto"/>
            </w:tcBorders>
            <w:shd w:val="clear" w:color="auto" w:fill="auto"/>
            <w:noWrap/>
            <w:vAlign w:val="center"/>
            <w:hideMark/>
          </w:tcPr>
          <w:p w14:paraId="75EE1409"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49839D79" w14:textId="62CFB2F6" w:rsidR="00804BED" w:rsidRPr="00804BED" w:rsidRDefault="00534244"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0</w:t>
            </w:r>
          </w:p>
        </w:tc>
      </w:tr>
      <w:tr w:rsidR="00804BED" w:rsidRPr="00804BED" w14:paraId="5E28BD9C"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5AE59D9" w14:textId="5F10525E"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68.</w:t>
            </w:r>
            <w:r w:rsidR="00534244">
              <w:rPr>
                <w:rFonts w:ascii="Calibri" w:eastAsia="Times New Roman" w:hAnsi="Calibri" w:cs="Calibri"/>
                <w:color w:val="000000"/>
                <w:lang w:eastAsia="en-GB"/>
              </w:rPr>
              <w:t>2</w:t>
            </w:r>
          </w:p>
        </w:tc>
        <w:tc>
          <w:tcPr>
            <w:tcW w:w="7040" w:type="dxa"/>
            <w:tcBorders>
              <w:top w:val="nil"/>
              <w:left w:val="nil"/>
              <w:bottom w:val="single" w:sz="4" w:space="0" w:color="auto"/>
              <w:right w:val="single" w:sz="4" w:space="0" w:color="auto"/>
            </w:tcBorders>
            <w:shd w:val="clear" w:color="auto" w:fill="auto"/>
            <w:vAlign w:val="center"/>
            <w:hideMark/>
          </w:tcPr>
          <w:p w14:paraId="0CB99A93"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Payroll to Payroll - Phone Number</w:t>
            </w:r>
          </w:p>
        </w:tc>
        <w:tc>
          <w:tcPr>
            <w:tcW w:w="1819" w:type="dxa"/>
            <w:vMerge/>
            <w:tcBorders>
              <w:top w:val="nil"/>
              <w:left w:val="single" w:sz="4" w:space="0" w:color="auto"/>
              <w:bottom w:val="single" w:sz="4" w:space="0" w:color="000000"/>
              <w:right w:val="single" w:sz="4" w:space="0" w:color="auto"/>
            </w:tcBorders>
            <w:vAlign w:val="center"/>
            <w:hideMark/>
          </w:tcPr>
          <w:p w14:paraId="476BAA7B"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0878098D" w14:textId="17327B46" w:rsidR="00804BED" w:rsidRPr="00804BED" w:rsidRDefault="00534244"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w:t>
            </w:r>
          </w:p>
        </w:tc>
        <w:tc>
          <w:tcPr>
            <w:tcW w:w="1095" w:type="dxa"/>
            <w:tcBorders>
              <w:top w:val="nil"/>
              <w:left w:val="nil"/>
              <w:bottom w:val="single" w:sz="4" w:space="0" w:color="auto"/>
              <w:right w:val="single" w:sz="4" w:space="0" w:color="auto"/>
            </w:tcBorders>
            <w:shd w:val="clear" w:color="auto" w:fill="auto"/>
            <w:noWrap/>
            <w:vAlign w:val="center"/>
            <w:hideMark/>
          </w:tcPr>
          <w:p w14:paraId="00132A09"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Opened</w:t>
            </w:r>
          </w:p>
        </w:tc>
        <w:tc>
          <w:tcPr>
            <w:tcW w:w="993" w:type="dxa"/>
            <w:tcBorders>
              <w:top w:val="nil"/>
              <w:left w:val="nil"/>
              <w:bottom w:val="single" w:sz="4" w:space="0" w:color="auto"/>
              <w:right w:val="single" w:sz="4" w:space="0" w:color="auto"/>
            </w:tcBorders>
            <w:shd w:val="clear" w:color="auto" w:fill="auto"/>
            <w:noWrap/>
            <w:vAlign w:val="center"/>
            <w:hideMark/>
          </w:tcPr>
          <w:p w14:paraId="7A405D81" w14:textId="5BC5D3CC" w:rsidR="00804BED" w:rsidRPr="00804BED" w:rsidRDefault="00FE33A1"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w:t>
            </w:r>
          </w:p>
        </w:tc>
        <w:tc>
          <w:tcPr>
            <w:tcW w:w="1044" w:type="dxa"/>
            <w:tcBorders>
              <w:top w:val="nil"/>
              <w:left w:val="nil"/>
              <w:bottom w:val="single" w:sz="4" w:space="0" w:color="auto"/>
              <w:right w:val="single" w:sz="4" w:space="0" w:color="auto"/>
            </w:tcBorders>
            <w:shd w:val="clear" w:color="auto" w:fill="auto"/>
            <w:noWrap/>
            <w:vAlign w:val="center"/>
            <w:hideMark/>
          </w:tcPr>
          <w:p w14:paraId="12500D96" w14:textId="34131400" w:rsidR="00804BED" w:rsidRPr="00804BED" w:rsidRDefault="00FE33A1"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2425EE03" w14:textId="24DFD0F0" w:rsidR="00804BED" w:rsidRPr="00804BED" w:rsidRDefault="00534244"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0</w:t>
            </w:r>
          </w:p>
        </w:tc>
      </w:tr>
      <w:tr w:rsidR="00804BED" w:rsidRPr="00804BED" w14:paraId="1A80E7F4"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C757905"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78</w:t>
            </w:r>
          </w:p>
        </w:tc>
        <w:tc>
          <w:tcPr>
            <w:tcW w:w="7040" w:type="dxa"/>
            <w:tcBorders>
              <w:top w:val="nil"/>
              <w:left w:val="nil"/>
              <w:bottom w:val="single" w:sz="4" w:space="0" w:color="auto"/>
              <w:right w:val="single" w:sz="4" w:space="0" w:color="auto"/>
            </w:tcBorders>
            <w:shd w:val="clear" w:color="auto" w:fill="auto"/>
            <w:vAlign w:val="center"/>
            <w:hideMark/>
          </w:tcPr>
          <w:p w14:paraId="31B07C60"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Payroll to Pensions</w:t>
            </w:r>
          </w:p>
        </w:tc>
        <w:tc>
          <w:tcPr>
            <w:tcW w:w="1819" w:type="dxa"/>
            <w:tcBorders>
              <w:top w:val="nil"/>
              <w:left w:val="nil"/>
              <w:bottom w:val="single" w:sz="4" w:space="0" w:color="auto"/>
              <w:right w:val="single" w:sz="4" w:space="0" w:color="auto"/>
            </w:tcBorders>
            <w:shd w:val="clear" w:color="auto" w:fill="auto"/>
            <w:vAlign w:val="center"/>
            <w:hideMark/>
          </w:tcPr>
          <w:p w14:paraId="5AA03442"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Pensions/Counter Fraud</w:t>
            </w:r>
          </w:p>
        </w:tc>
        <w:tc>
          <w:tcPr>
            <w:tcW w:w="988" w:type="dxa"/>
            <w:tcBorders>
              <w:top w:val="nil"/>
              <w:left w:val="nil"/>
              <w:bottom w:val="single" w:sz="4" w:space="0" w:color="auto"/>
              <w:right w:val="single" w:sz="4" w:space="0" w:color="auto"/>
            </w:tcBorders>
            <w:shd w:val="clear" w:color="auto" w:fill="auto"/>
            <w:noWrap/>
            <w:vAlign w:val="center"/>
            <w:hideMark/>
          </w:tcPr>
          <w:p w14:paraId="4F01A975" w14:textId="156AC663" w:rsidR="00804BED" w:rsidRPr="00804BED" w:rsidRDefault="00FE33A1"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114</w:t>
            </w:r>
          </w:p>
        </w:tc>
        <w:tc>
          <w:tcPr>
            <w:tcW w:w="1095" w:type="dxa"/>
            <w:tcBorders>
              <w:top w:val="nil"/>
              <w:left w:val="nil"/>
              <w:bottom w:val="single" w:sz="4" w:space="0" w:color="auto"/>
              <w:right w:val="single" w:sz="4" w:space="0" w:color="auto"/>
            </w:tcBorders>
            <w:shd w:val="clear" w:color="auto" w:fill="auto"/>
            <w:noWrap/>
            <w:vAlign w:val="center"/>
            <w:hideMark/>
          </w:tcPr>
          <w:p w14:paraId="0DCED369"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529117D1"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234BA15E"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277A50F7" w14:textId="55B13AE4" w:rsidR="00804BED" w:rsidRPr="00804BED" w:rsidRDefault="00FE33A1"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114</w:t>
            </w:r>
          </w:p>
        </w:tc>
      </w:tr>
      <w:tr w:rsidR="00804BED" w:rsidRPr="00804BED" w14:paraId="351CF17A"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DAB3E43"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81</w:t>
            </w:r>
          </w:p>
        </w:tc>
        <w:tc>
          <w:tcPr>
            <w:tcW w:w="7040" w:type="dxa"/>
            <w:tcBorders>
              <w:top w:val="nil"/>
              <w:left w:val="nil"/>
              <w:bottom w:val="single" w:sz="4" w:space="0" w:color="auto"/>
              <w:right w:val="single" w:sz="4" w:space="0" w:color="auto"/>
            </w:tcBorders>
            <w:shd w:val="clear" w:color="auto" w:fill="auto"/>
            <w:vAlign w:val="center"/>
            <w:hideMark/>
          </w:tcPr>
          <w:p w14:paraId="7D804CA7"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Payroll to Creditors</w:t>
            </w:r>
          </w:p>
        </w:tc>
        <w:tc>
          <w:tcPr>
            <w:tcW w:w="1819" w:type="dxa"/>
            <w:tcBorders>
              <w:top w:val="nil"/>
              <w:left w:val="single" w:sz="4" w:space="0" w:color="auto"/>
              <w:bottom w:val="single" w:sz="4" w:space="0" w:color="000000"/>
              <w:right w:val="single" w:sz="4" w:space="0" w:color="auto"/>
            </w:tcBorders>
            <w:vAlign w:val="center"/>
            <w:hideMark/>
          </w:tcPr>
          <w:p w14:paraId="3E09AB56" w14:textId="2B07F81E" w:rsidR="00804BED" w:rsidRPr="00804BED" w:rsidRDefault="00FE33A1" w:rsidP="00FE33A1">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Counter Fraud</w:t>
            </w:r>
          </w:p>
        </w:tc>
        <w:tc>
          <w:tcPr>
            <w:tcW w:w="988" w:type="dxa"/>
            <w:tcBorders>
              <w:top w:val="nil"/>
              <w:left w:val="nil"/>
              <w:bottom w:val="single" w:sz="4" w:space="0" w:color="auto"/>
              <w:right w:val="single" w:sz="4" w:space="0" w:color="auto"/>
            </w:tcBorders>
            <w:shd w:val="clear" w:color="auto" w:fill="auto"/>
            <w:noWrap/>
            <w:vAlign w:val="center"/>
            <w:hideMark/>
          </w:tcPr>
          <w:p w14:paraId="13FEE813" w14:textId="15F023D3"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149</w:t>
            </w:r>
          </w:p>
        </w:tc>
        <w:tc>
          <w:tcPr>
            <w:tcW w:w="1095" w:type="dxa"/>
            <w:tcBorders>
              <w:top w:val="nil"/>
              <w:left w:val="nil"/>
              <w:bottom w:val="single" w:sz="4" w:space="0" w:color="auto"/>
              <w:right w:val="single" w:sz="4" w:space="0" w:color="auto"/>
            </w:tcBorders>
            <w:shd w:val="clear" w:color="auto" w:fill="auto"/>
            <w:noWrap/>
            <w:vAlign w:val="center"/>
            <w:hideMark/>
          </w:tcPr>
          <w:p w14:paraId="3519CE9C" w14:textId="6B2F6834" w:rsidR="00804BED" w:rsidRPr="00804BED" w:rsidRDefault="00A06468" w:rsidP="00AC47F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O</w:t>
            </w:r>
            <w:r w:rsidR="00804BED" w:rsidRPr="00804BED">
              <w:rPr>
                <w:rFonts w:ascii="Calibri" w:eastAsia="Times New Roman" w:hAnsi="Calibri" w:cs="Calibri"/>
                <w:color w:val="000000"/>
                <w:lang w:eastAsia="en-GB"/>
              </w:rPr>
              <w:t>pened</w:t>
            </w:r>
          </w:p>
        </w:tc>
        <w:tc>
          <w:tcPr>
            <w:tcW w:w="993" w:type="dxa"/>
            <w:tcBorders>
              <w:top w:val="nil"/>
              <w:left w:val="nil"/>
              <w:bottom w:val="single" w:sz="4" w:space="0" w:color="auto"/>
              <w:right w:val="single" w:sz="4" w:space="0" w:color="auto"/>
            </w:tcBorders>
            <w:shd w:val="clear" w:color="auto" w:fill="auto"/>
            <w:noWrap/>
            <w:vAlign w:val="center"/>
            <w:hideMark/>
          </w:tcPr>
          <w:p w14:paraId="3A1808DE" w14:textId="44724797"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47191074"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279909E2" w14:textId="1B82ED34"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149</w:t>
            </w:r>
          </w:p>
        </w:tc>
      </w:tr>
      <w:tr w:rsidR="00804BED" w:rsidRPr="00804BED" w14:paraId="6998FC85"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268AF03"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700</w:t>
            </w:r>
          </w:p>
        </w:tc>
        <w:tc>
          <w:tcPr>
            <w:tcW w:w="7040" w:type="dxa"/>
            <w:tcBorders>
              <w:top w:val="nil"/>
              <w:left w:val="nil"/>
              <w:bottom w:val="single" w:sz="4" w:space="0" w:color="auto"/>
              <w:right w:val="single" w:sz="4" w:space="0" w:color="auto"/>
            </w:tcBorders>
            <w:shd w:val="clear" w:color="auto" w:fill="auto"/>
            <w:vAlign w:val="center"/>
            <w:hideMark/>
          </w:tcPr>
          <w:p w14:paraId="750EC9D2"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Duplicate creditors by creditor reference</w:t>
            </w:r>
          </w:p>
        </w:tc>
        <w:tc>
          <w:tcPr>
            <w:tcW w:w="1819" w:type="dxa"/>
            <w:vMerge w:val="restart"/>
            <w:tcBorders>
              <w:top w:val="nil"/>
              <w:left w:val="single" w:sz="4" w:space="0" w:color="auto"/>
              <w:bottom w:val="single" w:sz="4" w:space="0" w:color="000000"/>
              <w:right w:val="single" w:sz="4" w:space="0" w:color="auto"/>
            </w:tcBorders>
            <w:shd w:val="clear" w:color="auto" w:fill="auto"/>
            <w:vAlign w:val="center"/>
            <w:hideMark/>
          </w:tcPr>
          <w:p w14:paraId="53618548" w14:textId="02BA2C34"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NWSSP -Accounts Payable</w:t>
            </w:r>
            <w:r w:rsidR="00FE33A1">
              <w:rPr>
                <w:rFonts w:ascii="Calibri" w:eastAsia="Times New Roman" w:hAnsi="Calibri" w:cs="Calibri"/>
                <w:color w:val="000000"/>
                <w:lang w:eastAsia="en-GB"/>
              </w:rPr>
              <w:t>/Finance</w:t>
            </w:r>
          </w:p>
        </w:tc>
        <w:tc>
          <w:tcPr>
            <w:tcW w:w="988" w:type="dxa"/>
            <w:tcBorders>
              <w:top w:val="nil"/>
              <w:left w:val="nil"/>
              <w:bottom w:val="single" w:sz="4" w:space="0" w:color="auto"/>
              <w:right w:val="single" w:sz="4" w:space="0" w:color="auto"/>
            </w:tcBorders>
            <w:shd w:val="clear" w:color="auto" w:fill="auto"/>
            <w:noWrap/>
            <w:vAlign w:val="center"/>
            <w:hideMark/>
          </w:tcPr>
          <w:p w14:paraId="5F430F12" w14:textId="2790F63E"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1335</w:t>
            </w:r>
          </w:p>
        </w:tc>
        <w:tc>
          <w:tcPr>
            <w:tcW w:w="1095" w:type="dxa"/>
            <w:tcBorders>
              <w:top w:val="nil"/>
              <w:left w:val="nil"/>
              <w:bottom w:val="single" w:sz="4" w:space="0" w:color="auto"/>
              <w:right w:val="single" w:sz="4" w:space="0" w:color="auto"/>
            </w:tcBorders>
            <w:shd w:val="clear" w:color="auto" w:fill="auto"/>
            <w:noWrap/>
            <w:vAlign w:val="center"/>
            <w:hideMark/>
          </w:tcPr>
          <w:p w14:paraId="2AA5FF4E"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3D401E0A"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5FCD4324"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6095B04A" w14:textId="6E5A368B"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1335</w:t>
            </w:r>
          </w:p>
        </w:tc>
      </w:tr>
      <w:tr w:rsidR="00804BED" w:rsidRPr="00804BED" w14:paraId="52F269B5"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D1C5AE7"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701</w:t>
            </w:r>
          </w:p>
        </w:tc>
        <w:tc>
          <w:tcPr>
            <w:tcW w:w="7040" w:type="dxa"/>
            <w:tcBorders>
              <w:top w:val="nil"/>
              <w:left w:val="nil"/>
              <w:bottom w:val="single" w:sz="4" w:space="0" w:color="auto"/>
              <w:right w:val="single" w:sz="4" w:space="0" w:color="auto"/>
            </w:tcBorders>
            <w:shd w:val="clear" w:color="auto" w:fill="auto"/>
            <w:vAlign w:val="center"/>
            <w:hideMark/>
          </w:tcPr>
          <w:p w14:paraId="33D80891"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Duplicate creditors by creditor name</w:t>
            </w:r>
          </w:p>
        </w:tc>
        <w:tc>
          <w:tcPr>
            <w:tcW w:w="1819" w:type="dxa"/>
            <w:vMerge/>
            <w:tcBorders>
              <w:top w:val="nil"/>
              <w:left w:val="single" w:sz="4" w:space="0" w:color="auto"/>
              <w:bottom w:val="single" w:sz="4" w:space="0" w:color="000000"/>
              <w:right w:val="single" w:sz="4" w:space="0" w:color="auto"/>
            </w:tcBorders>
            <w:vAlign w:val="center"/>
            <w:hideMark/>
          </w:tcPr>
          <w:p w14:paraId="01CD6272"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3F4652A1" w14:textId="04C72CEA"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8</w:t>
            </w:r>
          </w:p>
        </w:tc>
        <w:tc>
          <w:tcPr>
            <w:tcW w:w="1095" w:type="dxa"/>
            <w:tcBorders>
              <w:top w:val="nil"/>
              <w:left w:val="nil"/>
              <w:bottom w:val="single" w:sz="4" w:space="0" w:color="auto"/>
              <w:right w:val="single" w:sz="4" w:space="0" w:color="auto"/>
            </w:tcBorders>
            <w:shd w:val="clear" w:color="auto" w:fill="auto"/>
            <w:noWrap/>
            <w:vAlign w:val="center"/>
            <w:hideMark/>
          </w:tcPr>
          <w:p w14:paraId="07DCD292"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3D86DA9E"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797DC659"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692F3433" w14:textId="30F0D7EC"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8</w:t>
            </w:r>
          </w:p>
        </w:tc>
      </w:tr>
      <w:tr w:rsidR="00804BED" w:rsidRPr="00804BED" w14:paraId="418E733D"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8CE3526"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702</w:t>
            </w:r>
          </w:p>
        </w:tc>
        <w:tc>
          <w:tcPr>
            <w:tcW w:w="7040" w:type="dxa"/>
            <w:tcBorders>
              <w:top w:val="nil"/>
              <w:left w:val="nil"/>
              <w:bottom w:val="single" w:sz="4" w:space="0" w:color="auto"/>
              <w:right w:val="single" w:sz="4" w:space="0" w:color="auto"/>
            </w:tcBorders>
            <w:shd w:val="clear" w:color="auto" w:fill="auto"/>
            <w:vAlign w:val="center"/>
            <w:hideMark/>
          </w:tcPr>
          <w:p w14:paraId="59D9B7F6"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Duplicate creditors by address detail</w:t>
            </w:r>
          </w:p>
        </w:tc>
        <w:tc>
          <w:tcPr>
            <w:tcW w:w="1819" w:type="dxa"/>
            <w:vMerge/>
            <w:tcBorders>
              <w:top w:val="nil"/>
              <w:left w:val="single" w:sz="4" w:space="0" w:color="auto"/>
              <w:bottom w:val="single" w:sz="4" w:space="0" w:color="000000"/>
              <w:right w:val="single" w:sz="4" w:space="0" w:color="auto"/>
            </w:tcBorders>
            <w:vAlign w:val="center"/>
            <w:hideMark/>
          </w:tcPr>
          <w:p w14:paraId="10734B4F"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321CE19A" w14:textId="1F0573DC"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99</w:t>
            </w:r>
          </w:p>
        </w:tc>
        <w:tc>
          <w:tcPr>
            <w:tcW w:w="1095" w:type="dxa"/>
            <w:tcBorders>
              <w:top w:val="nil"/>
              <w:left w:val="nil"/>
              <w:bottom w:val="single" w:sz="4" w:space="0" w:color="auto"/>
              <w:right w:val="single" w:sz="4" w:space="0" w:color="auto"/>
            </w:tcBorders>
            <w:shd w:val="clear" w:color="auto" w:fill="auto"/>
            <w:noWrap/>
            <w:vAlign w:val="center"/>
            <w:hideMark/>
          </w:tcPr>
          <w:p w14:paraId="1907AADD"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56329290"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6D2D7394"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03B7E9BC" w14:textId="47BB64CE"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99</w:t>
            </w:r>
          </w:p>
        </w:tc>
      </w:tr>
      <w:tr w:rsidR="00804BED" w:rsidRPr="00804BED" w14:paraId="67A3D21B"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0E7CFDE"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703</w:t>
            </w:r>
          </w:p>
        </w:tc>
        <w:tc>
          <w:tcPr>
            <w:tcW w:w="7040" w:type="dxa"/>
            <w:tcBorders>
              <w:top w:val="nil"/>
              <w:left w:val="nil"/>
              <w:bottom w:val="single" w:sz="4" w:space="0" w:color="auto"/>
              <w:right w:val="single" w:sz="4" w:space="0" w:color="auto"/>
            </w:tcBorders>
            <w:shd w:val="clear" w:color="auto" w:fill="auto"/>
            <w:vAlign w:val="center"/>
            <w:hideMark/>
          </w:tcPr>
          <w:p w14:paraId="281E2FEC"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Duplicate creditors by bank account number</w:t>
            </w:r>
          </w:p>
        </w:tc>
        <w:tc>
          <w:tcPr>
            <w:tcW w:w="1819" w:type="dxa"/>
            <w:vMerge/>
            <w:tcBorders>
              <w:top w:val="nil"/>
              <w:left w:val="single" w:sz="4" w:space="0" w:color="auto"/>
              <w:bottom w:val="single" w:sz="4" w:space="0" w:color="000000"/>
              <w:right w:val="single" w:sz="4" w:space="0" w:color="auto"/>
            </w:tcBorders>
            <w:vAlign w:val="center"/>
            <w:hideMark/>
          </w:tcPr>
          <w:p w14:paraId="29213406"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79D58200" w14:textId="538A6000"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150</w:t>
            </w:r>
          </w:p>
        </w:tc>
        <w:tc>
          <w:tcPr>
            <w:tcW w:w="1095" w:type="dxa"/>
            <w:tcBorders>
              <w:top w:val="nil"/>
              <w:left w:val="nil"/>
              <w:bottom w:val="single" w:sz="4" w:space="0" w:color="auto"/>
              <w:right w:val="single" w:sz="4" w:space="0" w:color="auto"/>
            </w:tcBorders>
            <w:shd w:val="clear" w:color="auto" w:fill="auto"/>
            <w:noWrap/>
            <w:vAlign w:val="center"/>
            <w:hideMark/>
          </w:tcPr>
          <w:p w14:paraId="0EE92035"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20853B71"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32461BA5"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469F4841" w14:textId="089D6621"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150</w:t>
            </w:r>
          </w:p>
        </w:tc>
      </w:tr>
      <w:tr w:rsidR="00804BED" w:rsidRPr="00804BED" w14:paraId="50EBD599"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2C0569D"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707</w:t>
            </w:r>
          </w:p>
        </w:tc>
        <w:tc>
          <w:tcPr>
            <w:tcW w:w="7040" w:type="dxa"/>
            <w:tcBorders>
              <w:top w:val="nil"/>
              <w:left w:val="nil"/>
              <w:bottom w:val="single" w:sz="4" w:space="0" w:color="auto"/>
              <w:right w:val="single" w:sz="4" w:space="0" w:color="auto"/>
            </w:tcBorders>
            <w:shd w:val="clear" w:color="auto" w:fill="auto"/>
            <w:vAlign w:val="center"/>
            <w:hideMark/>
          </w:tcPr>
          <w:p w14:paraId="77C781B9"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Duplicate records by reference, amount and creditor reference</w:t>
            </w:r>
          </w:p>
        </w:tc>
        <w:tc>
          <w:tcPr>
            <w:tcW w:w="1819" w:type="dxa"/>
            <w:vMerge/>
            <w:tcBorders>
              <w:top w:val="nil"/>
              <w:left w:val="single" w:sz="4" w:space="0" w:color="auto"/>
              <w:bottom w:val="single" w:sz="4" w:space="0" w:color="000000"/>
              <w:right w:val="single" w:sz="4" w:space="0" w:color="auto"/>
            </w:tcBorders>
            <w:vAlign w:val="center"/>
            <w:hideMark/>
          </w:tcPr>
          <w:p w14:paraId="3BC89B5B"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19FCC35C" w14:textId="231654D1"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w:t>
            </w:r>
          </w:p>
        </w:tc>
        <w:tc>
          <w:tcPr>
            <w:tcW w:w="1095" w:type="dxa"/>
            <w:tcBorders>
              <w:top w:val="nil"/>
              <w:left w:val="nil"/>
              <w:bottom w:val="single" w:sz="4" w:space="0" w:color="auto"/>
              <w:right w:val="single" w:sz="4" w:space="0" w:color="auto"/>
            </w:tcBorders>
            <w:shd w:val="clear" w:color="auto" w:fill="auto"/>
            <w:noWrap/>
            <w:vAlign w:val="center"/>
            <w:hideMark/>
          </w:tcPr>
          <w:p w14:paraId="10DF56F9"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63184AEC"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35FF2FFA"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19E06769" w14:textId="383E7C43"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w:t>
            </w:r>
          </w:p>
        </w:tc>
      </w:tr>
      <w:tr w:rsidR="00804BED" w:rsidRPr="00804BED" w14:paraId="74E80C1A"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26E401A"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708</w:t>
            </w:r>
          </w:p>
        </w:tc>
        <w:tc>
          <w:tcPr>
            <w:tcW w:w="7040" w:type="dxa"/>
            <w:tcBorders>
              <w:top w:val="nil"/>
              <w:left w:val="nil"/>
              <w:bottom w:val="single" w:sz="4" w:space="0" w:color="auto"/>
              <w:right w:val="single" w:sz="4" w:space="0" w:color="auto"/>
            </w:tcBorders>
            <w:shd w:val="clear" w:color="auto" w:fill="auto"/>
            <w:vAlign w:val="center"/>
            <w:hideMark/>
          </w:tcPr>
          <w:p w14:paraId="5A9DE00A"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Duplicate records by amount and creditor reference</w:t>
            </w:r>
          </w:p>
        </w:tc>
        <w:tc>
          <w:tcPr>
            <w:tcW w:w="1819" w:type="dxa"/>
            <w:vMerge/>
            <w:tcBorders>
              <w:top w:val="nil"/>
              <w:left w:val="single" w:sz="4" w:space="0" w:color="auto"/>
              <w:bottom w:val="single" w:sz="4" w:space="0" w:color="000000"/>
              <w:right w:val="single" w:sz="4" w:space="0" w:color="auto"/>
            </w:tcBorders>
            <w:vAlign w:val="center"/>
            <w:hideMark/>
          </w:tcPr>
          <w:p w14:paraId="75A8BB1F"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651F7CC9" w14:textId="48F02F31"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6407</w:t>
            </w:r>
          </w:p>
        </w:tc>
        <w:tc>
          <w:tcPr>
            <w:tcW w:w="1095" w:type="dxa"/>
            <w:tcBorders>
              <w:top w:val="nil"/>
              <w:left w:val="nil"/>
              <w:bottom w:val="single" w:sz="4" w:space="0" w:color="auto"/>
              <w:right w:val="single" w:sz="4" w:space="0" w:color="auto"/>
            </w:tcBorders>
            <w:shd w:val="clear" w:color="auto" w:fill="auto"/>
            <w:noWrap/>
            <w:vAlign w:val="center"/>
            <w:hideMark/>
          </w:tcPr>
          <w:p w14:paraId="040313D9"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051D23BC"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49F083BE"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2AFADC74" w14:textId="251C8E3D"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6407</w:t>
            </w:r>
          </w:p>
        </w:tc>
      </w:tr>
      <w:tr w:rsidR="00804BED" w:rsidRPr="00804BED" w14:paraId="1FDC6184"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52549F8"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709</w:t>
            </w:r>
          </w:p>
        </w:tc>
        <w:tc>
          <w:tcPr>
            <w:tcW w:w="7040" w:type="dxa"/>
            <w:tcBorders>
              <w:top w:val="nil"/>
              <w:left w:val="nil"/>
              <w:bottom w:val="single" w:sz="4" w:space="0" w:color="auto"/>
              <w:right w:val="single" w:sz="4" w:space="0" w:color="auto"/>
            </w:tcBorders>
            <w:shd w:val="clear" w:color="auto" w:fill="auto"/>
            <w:vAlign w:val="center"/>
            <w:hideMark/>
          </w:tcPr>
          <w:p w14:paraId="029360C6"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VAT overpaid</w:t>
            </w:r>
          </w:p>
        </w:tc>
        <w:tc>
          <w:tcPr>
            <w:tcW w:w="1819" w:type="dxa"/>
            <w:vMerge/>
            <w:tcBorders>
              <w:top w:val="nil"/>
              <w:left w:val="single" w:sz="4" w:space="0" w:color="auto"/>
              <w:bottom w:val="single" w:sz="4" w:space="0" w:color="000000"/>
              <w:right w:val="single" w:sz="4" w:space="0" w:color="auto"/>
            </w:tcBorders>
            <w:vAlign w:val="center"/>
            <w:hideMark/>
          </w:tcPr>
          <w:p w14:paraId="6AF44FD0"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39A6CE22" w14:textId="14A2F09C"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76</w:t>
            </w:r>
          </w:p>
        </w:tc>
        <w:tc>
          <w:tcPr>
            <w:tcW w:w="1095" w:type="dxa"/>
            <w:tcBorders>
              <w:top w:val="nil"/>
              <w:left w:val="nil"/>
              <w:bottom w:val="single" w:sz="4" w:space="0" w:color="auto"/>
              <w:right w:val="single" w:sz="4" w:space="0" w:color="auto"/>
            </w:tcBorders>
            <w:shd w:val="clear" w:color="auto" w:fill="auto"/>
            <w:noWrap/>
            <w:vAlign w:val="center"/>
            <w:hideMark/>
          </w:tcPr>
          <w:p w14:paraId="4F3ECA96"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36EECD56"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024824DA"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24BA730C" w14:textId="28DCB655"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76</w:t>
            </w:r>
          </w:p>
        </w:tc>
      </w:tr>
      <w:tr w:rsidR="00804BED" w:rsidRPr="00804BED" w14:paraId="6D7DE858"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495BA60"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711</w:t>
            </w:r>
          </w:p>
        </w:tc>
        <w:tc>
          <w:tcPr>
            <w:tcW w:w="7040" w:type="dxa"/>
            <w:tcBorders>
              <w:top w:val="nil"/>
              <w:left w:val="nil"/>
              <w:bottom w:val="single" w:sz="4" w:space="0" w:color="auto"/>
              <w:right w:val="single" w:sz="4" w:space="0" w:color="auto"/>
            </w:tcBorders>
            <w:shd w:val="clear" w:color="auto" w:fill="auto"/>
            <w:vAlign w:val="center"/>
            <w:hideMark/>
          </w:tcPr>
          <w:p w14:paraId="5F1BE245"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Duplicate records by invoice number and amount but different creditor reference and name</w:t>
            </w:r>
          </w:p>
        </w:tc>
        <w:tc>
          <w:tcPr>
            <w:tcW w:w="1819" w:type="dxa"/>
            <w:vMerge/>
            <w:tcBorders>
              <w:top w:val="nil"/>
              <w:left w:val="single" w:sz="4" w:space="0" w:color="auto"/>
              <w:bottom w:val="single" w:sz="4" w:space="0" w:color="000000"/>
              <w:right w:val="single" w:sz="4" w:space="0" w:color="auto"/>
            </w:tcBorders>
            <w:vAlign w:val="center"/>
            <w:hideMark/>
          </w:tcPr>
          <w:p w14:paraId="4BC45266"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4599EB05" w14:textId="0824F46C"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26</w:t>
            </w:r>
          </w:p>
        </w:tc>
        <w:tc>
          <w:tcPr>
            <w:tcW w:w="1095" w:type="dxa"/>
            <w:tcBorders>
              <w:top w:val="nil"/>
              <w:left w:val="nil"/>
              <w:bottom w:val="single" w:sz="4" w:space="0" w:color="auto"/>
              <w:right w:val="single" w:sz="4" w:space="0" w:color="auto"/>
            </w:tcBorders>
            <w:shd w:val="clear" w:color="auto" w:fill="auto"/>
            <w:noWrap/>
            <w:vAlign w:val="center"/>
            <w:hideMark/>
          </w:tcPr>
          <w:p w14:paraId="3CDA0219"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128F4669"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1D8CEF02"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42B9D06E" w14:textId="4E11B21D"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26</w:t>
            </w:r>
          </w:p>
        </w:tc>
      </w:tr>
      <w:tr w:rsidR="00804BED" w:rsidRPr="00804BED" w14:paraId="06C969F1"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24776C0"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lastRenderedPageBreak/>
              <w:t>712</w:t>
            </w:r>
          </w:p>
        </w:tc>
        <w:tc>
          <w:tcPr>
            <w:tcW w:w="7040" w:type="dxa"/>
            <w:tcBorders>
              <w:top w:val="nil"/>
              <w:left w:val="nil"/>
              <w:bottom w:val="single" w:sz="4" w:space="0" w:color="auto"/>
              <w:right w:val="single" w:sz="4" w:space="0" w:color="auto"/>
            </w:tcBorders>
            <w:shd w:val="clear" w:color="auto" w:fill="auto"/>
            <w:vAlign w:val="center"/>
            <w:hideMark/>
          </w:tcPr>
          <w:p w14:paraId="5AA3641D"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Duplicate records by postcode, invoice date and amount but different creditor reference and invoice number</w:t>
            </w:r>
          </w:p>
        </w:tc>
        <w:tc>
          <w:tcPr>
            <w:tcW w:w="1819" w:type="dxa"/>
            <w:vMerge/>
            <w:tcBorders>
              <w:top w:val="nil"/>
              <w:left w:val="single" w:sz="4" w:space="0" w:color="auto"/>
              <w:bottom w:val="single" w:sz="4" w:space="0" w:color="000000"/>
              <w:right w:val="single" w:sz="4" w:space="0" w:color="auto"/>
            </w:tcBorders>
            <w:vAlign w:val="center"/>
            <w:hideMark/>
          </w:tcPr>
          <w:p w14:paraId="4944877F"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650F009B" w14:textId="184294D1"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9</w:t>
            </w:r>
          </w:p>
        </w:tc>
        <w:tc>
          <w:tcPr>
            <w:tcW w:w="1095" w:type="dxa"/>
            <w:tcBorders>
              <w:top w:val="nil"/>
              <w:left w:val="nil"/>
              <w:bottom w:val="single" w:sz="4" w:space="0" w:color="auto"/>
              <w:right w:val="single" w:sz="4" w:space="0" w:color="auto"/>
            </w:tcBorders>
            <w:shd w:val="clear" w:color="auto" w:fill="auto"/>
            <w:noWrap/>
            <w:vAlign w:val="center"/>
            <w:hideMark/>
          </w:tcPr>
          <w:p w14:paraId="0B97229D"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40178E84"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62C3419B"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77B8C779" w14:textId="600A3F84"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9</w:t>
            </w:r>
          </w:p>
        </w:tc>
      </w:tr>
      <w:tr w:rsidR="00804BED" w:rsidRPr="00804BED" w14:paraId="380A2190"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7F1F520"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713</w:t>
            </w:r>
          </w:p>
        </w:tc>
        <w:tc>
          <w:tcPr>
            <w:tcW w:w="7040" w:type="dxa"/>
            <w:tcBorders>
              <w:top w:val="nil"/>
              <w:left w:val="nil"/>
              <w:bottom w:val="single" w:sz="4" w:space="0" w:color="auto"/>
              <w:right w:val="single" w:sz="4" w:space="0" w:color="auto"/>
            </w:tcBorders>
            <w:shd w:val="clear" w:color="auto" w:fill="auto"/>
            <w:vAlign w:val="center"/>
            <w:hideMark/>
          </w:tcPr>
          <w:p w14:paraId="1855BDC5"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Duplicate records by postcode, invoice amount but different creditor reference and invoice number and date</w:t>
            </w:r>
          </w:p>
        </w:tc>
        <w:tc>
          <w:tcPr>
            <w:tcW w:w="1819" w:type="dxa"/>
            <w:vMerge/>
            <w:tcBorders>
              <w:top w:val="nil"/>
              <w:left w:val="single" w:sz="4" w:space="0" w:color="auto"/>
              <w:bottom w:val="single" w:sz="4" w:space="0" w:color="000000"/>
              <w:right w:val="single" w:sz="4" w:space="0" w:color="auto"/>
            </w:tcBorders>
            <w:vAlign w:val="center"/>
            <w:hideMark/>
          </w:tcPr>
          <w:p w14:paraId="2C5DECD5"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2A537F0C" w14:textId="4A5FD00D"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w:t>
            </w:r>
          </w:p>
        </w:tc>
        <w:tc>
          <w:tcPr>
            <w:tcW w:w="1095" w:type="dxa"/>
            <w:tcBorders>
              <w:top w:val="nil"/>
              <w:left w:val="nil"/>
              <w:bottom w:val="single" w:sz="4" w:space="0" w:color="auto"/>
              <w:right w:val="single" w:sz="4" w:space="0" w:color="auto"/>
            </w:tcBorders>
            <w:shd w:val="clear" w:color="auto" w:fill="auto"/>
            <w:noWrap/>
            <w:vAlign w:val="center"/>
            <w:hideMark/>
          </w:tcPr>
          <w:p w14:paraId="603DB6C4"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3A995B04"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28456BD1"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0A45EFB8" w14:textId="75273FE0"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w:t>
            </w:r>
          </w:p>
        </w:tc>
      </w:tr>
      <w:tr w:rsidR="00804BED" w:rsidRPr="00804BED" w14:paraId="50E3ACE7"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7B6623B"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750</w:t>
            </w:r>
          </w:p>
        </w:tc>
        <w:tc>
          <w:tcPr>
            <w:tcW w:w="7040" w:type="dxa"/>
            <w:tcBorders>
              <w:top w:val="nil"/>
              <w:left w:val="nil"/>
              <w:bottom w:val="single" w:sz="4" w:space="0" w:color="auto"/>
              <w:right w:val="single" w:sz="4" w:space="0" w:color="auto"/>
            </w:tcBorders>
            <w:shd w:val="clear" w:color="auto" w:fill="auto"/>
            <w:vAlign w:val="center"/>
            <w:hideMark/>
          </w:tcPr>
          <w:p w14:paraId="2AE3783B"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Procurement - Payroll to Companies House (Director)</w:t>
            </w:r>
          </w:p>
        </w:tc>
        <w:tc>
          <w:tcPr>
            <w:tcW w:w="1819" w:type="dxa"/>
            <w:vMerge w:val="restart"/>
            <w:tcBorders>
              <w:top w:val="nil"/>
              <w:left w:val="single" w:sz="4" w:space="0" w:color="auto"/>
              <w:bottom w:val="single" w:sz="4" w:space="0" w:color="000000"/>
              <w:right w:val="single" w:sz="4" w:space="0" w:color="auto"/>
            </w:tcBorders>
            <w:shd w:val="clear" w:color="auto" w:fill="auto"/>
            <w:vAlign w:val="center"/>
            <w:hideMark/>
          </w:tcPr>
          <w:p w14:paraId="73884094"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 xml:space="preserve">Counter Fraud </w:t>
            </w:r>
          </w:p>
        </w:tc>
        <w:tc>
          <w:tcPr>
            <w:tcW w:w="988" w:type="dxa"/>
            <w:tcBorders>
              <w:top w:val="nil"/>
              <w:left w:val="nil"/>
              <w:bottom w:val="single" w:sz="4" w:space="0" w:color="auto"/>
              <w:right w:val="single" w:sz="4" w:space="0" w:color="auto"/>
            </w:tcBorders>
            <w:shd w:val="clear" w:color="auto" w:fill="auto"/>
            <w:noWrap/>
            <w:vAlign w:val="center"/>
            <w:hideMark/>
          </w:tcPr>
          <w:p w14:paraId="4D22631A" w14:textId="3D2377DE"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14</w:t>
            </w:r>
          </w:p>
        </w:tc>
        <w:tc>
          <w:tcPr>
            <w:tcW w:w="1095" w:type="dxa"/>
            <w:tcBorders>
              <w:top w:val="nil"/>
              <w:left w:val="nil"/>
              <w:bottom w:val="single" w:sz="4" w:space="0" w:color="auto"/>
              <w:right w:val="single" w:sz="4" w:space="0" w:color="auto"/>
            </w:tcBorders>
            <w:shd w:val="clear" w:color="auto" w:fill="auto"/>
            <w:noWrap/>
            <w:vAlign w:val="center"/>
            <w:hideMark/>
          </w:tcPr>
          <w:p w14:paraId="3B40C7AB"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3F38C230"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7F7E87D2"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342D8212" w14:textId="432040F5"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14</w:t>
            </w:r>
          </w:p>
        </w:tc>
      </w:tr>
      <w:tr w:rsidR="00804BED" w:rsidRPr="00804BED" w14:paraId="331F3867"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96CF4E1"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752</w:t>
            </w:r>
          </w:p>
        </w:tc>
        <w:tc>
          <w:tcPr>
            <w:tcW w:w="7040" w:type="dxa"/>
            <w:tcBorders>
              <w:top w:val="nil"/>
              <w:left w:val="nil"/>
              <w:bottom w:val="single" w:sz="4" w:space="0" w:color="auto"/>
              <w:right w:val="single" w:sz="4" w:space="0" w:color="auto"/>
            </w:tcBorders>
            <w:shd w:val="clear" w:color="auto" w:fill="auto"/>
            <w:vAlign w:val="center"/>
            <w:hideMark/>
          </w:tcPr>
          <w:p w14:paraId="73FB4935"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Procurement - Payroll to Companies House (Director)</w:t>
            </w:r>
          </w:p>
        </w:tc>
        <w:tc>
          <w:tcPr>
            <w:tcW w:w="1819" w:type="dxa"/>
            <w:vMerge/>
            <w:tcBorders>
              <w:top w:val="nil"/>
              <w:left w:val="single" w:sz="4" w:space="0" w:color="auto"/>
              <w:bottom w:val="single" w:sz="4" w:space="0" w:color="000000"/>
              <w:right w:val="single" w:sz="4" w:space="0" w:color="auto"/>
            </w:tcBorders>
            <w:vAlign w:val="center"/>
            <w:hideMark/>
          </w:tcPr>
          <w:p w14:paraId="0A345E8F"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161C416F" w14:textId="61ED5931"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43</w:t>
            </w:r>
          </w:p>
        </w:tc>
        <w:tc>
          <w:tcPr>
            <w:tcW w:w="1095" w:type="dxa"/>
            <w:tcBorders>
              <w:top w:val="nil"/>
              <w:left w:val="nil"/>
              <w:bottom w:val="single" w:sz="4" w:space="0" w:color="auto"/>
              <w:right w:val="single" w:sz="4" w:space="0" w:color="auto"/>
            </w:tcBorders>
            <w:shd w:val="clear" w:color="auto" w:fill="auto"/>
            <w:noWrap/>
            <w:vAlign w:val="center"/>
            <w:hideMark/>
          </w:tcPr>
          <w:p w14:paraId="5506FC9D"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08160335"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4F85B882"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58042C2A" w14:textId="6CB13830"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43</w:t>
            </w:r>
          </w:p>
        </w:tc>
      </w:tr>
      <w:tr w:rsidR="00804BED" w:rsidRPr="00804BED" w14:paraId="031D0DF1" w14:textId="77777777" w:rsidTr="00EC404E">
        <w:trPr>
          <w:trHeight w:val="600"/>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FC38588"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9999</w:t>
            </w:r>
          </w:p>
        </w:tc>
        <w:tc>
          <w:tcPr>
            <w:tcW w:w="7040" w:type="dxa"/>
            <w:tcBorders>
              <w:top w:val="nil"/>
              <w:left w:val="nil"/>
              <w:bottom w:val="single" w:sz="4" w:space="0" w:color="auto"/>
              <w:right w:val="single" w:sz="4" w:space="0" w:color="auto"/>
            </w:tcBorders>
            <w:shd w:val="clear" w:color="auto" w:fill="auto"/>
            <w:vAlign w:val="center"/>
            <w:hideMark/>
          </w:tcPr>
          <w:p w14:paraId="1AE6A280"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Multiple occurrence report</w:t>
            </w:r>
          </w:p>
        </w:tc>
        <w:tc>
          <w:tcPr>
            <w:tcW w:w="1819" w:type="dxa"/>
            <w:vMerge/>
            <w:tcBorders>
              <w:top w:val="nil"/>
              <w:left w:val="single" w:sz="4" w:space="0" w:color="auto"/>
              <w:bottom w:val="single" w:sz="4" w:space="0" w:color="000000"/>
              <w:right w:val="single" w:sz="4" w:space="0" w:color="auto"/>
            </w:tcBorders>
            <w:vAlign w:val="center"/>
            <w:hideMark/>
          </w:tcPr>
          <w:p w14:paraId="1CF4D827" w14:textId="77777777" w:rsidR="00804BED" w:rsidRPr="00804BED" w:rsidRDefault="00804BED" w:rsidP="00AC47FA">
            <w:pPr>
              <w:spacing w:after="0" w:line="240" w:lineRule="auto"/>
              <w:rPr>
                <w:rFonts w:ascii="Calibri" w:eastAsia="Times New Roman" w:hAnsi="Calibri" w:cs="Calibri"/>
                <w:color w:val="000000"/>
                <w:lang w:eastAsia="en-GB"/>
              </w:rPr>
            </w:pPr>
          </w:p>
        </w:tc>
        <w:tc>
          <w:tcPr>
            <w:tcW w:w="988" w:type="dxa"/>
            <w:tcBorders>
              <w:top w:val="nil"/>
              <w:left w:val="nil"/>
              <w:bottom w:val="single" w:sz="4" w:space="0" w:color="auto"/>
              <w:right w:val="single" w:sz="4" w:space="0" w:color="auto"/>
            </w:tcBorders>
            <w:shd w:val="clear" w:color="auto" w:fill="auto"/>
            <w:noWrap/>
            <w:vAlign w:val="center"/>
            <w:hideMark/>
          </w:tcPr>
          <w:p w14:paraId="781506DD" w14:textId="139D1033"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12</w:t>
            </w:r>
          </w:p>
        </w:tc>
        <w:tc>
          <w:tcPr>
            <w:tcW w:w="1095" w:type="dxa"/>
            <w:tcBorders>
              <w:top w:val="nil"/>
              <w:left w:val="nil"/>
              <w:bottom w:val="single" w:sz="4" w:space="0" w:color="auto"/>
              <w:right w:val="single" w:sz="4" w:space="0" w:color="auto"/>
            </w:tcBorders>
            <w:shd w:val="clear" w:color="auto" w:fill="auto"/>
            <w:noWrap/>
            <w:vAlign w:val="center"/>
            <w:hideMark/>
          </w:tcPr>
          <w:p w14:paraId="59B53D0D" w14:textId="77777777" w:rsidR="00804BED" w:rsidRPr="00804BED" w:rsidRDefault="00804BED" w:rsidP="00AC47FA">
            <w:pPr>
              <w:spacing w:after="0" w:line="240" w:lineRule="auto"/>
              <w:rPr>
                <w:rFonts w:ascii="Calibri" w:eastAsia="Times New Roman" w:hAnsi="Calibri" w:cs="Calibri"/>
                <w:color w:val="000000"/>
                <w:lang w:eastAsia="en-GB"/>
              </w:rPr>
            </w:pPr>
            <w:r w:rsidRPr="00804BED">
              <w:rPr>
                <w:rFonts w:ascii="Calibri" w:eastAsia="Times New Roman" w:hAnsi="Calibri" w:cs="Calibri"/>
                <w:color w:val="000000"/>
                <w:lang w:eastAsia="en-GB"/>
              </w:rPr>
              <w:t>Not Opened</w:t>
            </w:r>
          </w:p>
        </w:tc>
        <w:tc>
          <w:tcPr>
            <w:tcW w:w="993" w:type="dxa"/>
            <w:tcBorders>
              <w:top w:val="nil"/>
              <w:left w:val="nil"/>
              <w:bottom w:val="single" w:sz="4" w:space="0" w:color="auto"/>
              <w:right w:val="single" w:sz="4" w:space="0" w:color="auto"/>
            </w:tcBorders>
            <w:shd w:val="clear" w:color="auto" w:fill="auto"/>
            <w:noWrap/>
            <w:vAlign w:val="center"/>
            <w:hideMark/>
          </w:tcPr>
          <w:p w14:paraId="18F403CD"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044" w:type="dxa"/>
            <w:tcBorders>
              <w:top w:val="nil"/>
              <w:left w:val="nil"/>
              <w:bottom w:val="single" w:sz="4" w:space="0" w:color="auto"/>
              <w:right w:val="single" w:sz="4" w:space="0" w:color="auto"/>
            </w:tcBorders>
            <w:shd w:val="clear" w:color="auto" w:fill="auto"/>
            <w:noWrap/>
            <w:vAlign w:val="center"/>
            <w:hideMark/>
          </w:tcPr>
          <w:p w14:paraId="64428E69" w14:textId="77777777" w:rsidR="00804BED" w:rsidRPr="00804BED" w:rsidRDefault="00804BED" w:rsidP="00AC47FA">
            <w:pPr>
              <w:spacing w:after="0" w:line="240" w:lineRule="auto"/>
              <w:jc w:val="center"/>
              <w:rPr>
                <w:rFonts w:ascii="Calibri" w:eastAsia="Times New Roman" w:hAnsi="Calibri" w:cs="Calibri"/>
                <w:color w:val="000000"/>
                <w:lang w:eastAsia="en-GB"/>
              </w:rPr>
            </w:pPr>
            <w:r w:rsidRPr="00804BED">
              <w:rPr>
                <w:rFonts w:ascii="Calibri" w:eastAsia="Times New Roman" w:hAnsi="Calibri" w:cs="Calibri"/>
                <w:color w:val="000000"/>
                <w:lang w:eastAsia="en-GB"/>
              </w:rPr>
              <w:t>0</w:t>
            </w:r>
          </w:p>
        </w:tc>
        <w:tc>
          <w:tcPr>
            <w:tcW w:w="1317" w:type="dxa"/>
            <w:tcBorders>
              <w:top w:val="nil"/>
              <w:left w:val="nil"/>
              <w:bottom w:val="single" w:sz="4" w:space="0" w:color="auto"/>
              <w:right w:val="single" w:sz="4" w:space="0" w:color="auto"/>
            </w:tcBorders>
            <w:shd w:val="clear" w:color="auto" w:fill="auto"/>
            <w:noWrap/>
            <w:vAlign w:val="center"/>
            <w:hideMark/>
          </w:tcPr>
          <w:p w14:paraId="685E4229" w14:textId="29A41212" w:rsidR="00804BED" w:rsidRPr="00804BED" w:rsidRDefault="00A06468" w:rsidP="00AC47FA">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12</w:t>
            </w:r>
          </w:p>
        </w:tc>
      </w:tr>
    </w:tbl>
    <w:p w14:paraId="118B0CC6" w14:textId="77777777" w:rsidR="008E7BCA" w:rsidRDefault="008E7BCA" w:rsidP="00804BED">
      <w:pPr>
        <w:ind w:left="284"/>
      </w:pPr>
    </w:p>
    <w:sectPr w:rsidR="008E7BCA" w:rsidSect="00804BED">
      <w:pgSz w:w="16838" w:h="11906" w:orient="landscape"/>
      <w:pgMar w:top="1440" w:right="1440"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D19477" w14:textId="77777777" w:rsidR="00970F63" w:rsidRDefault="00970F63" w:rsidP="00804BED">
      <w:pPr>
        <w:spacing w:after="0" w:line="240" w:lineRule="auto"/>
      </w:pPr>
      <w:r>
        <w:separator/>
      </w:r>
    </w:p>
  </w:endnote>
  <w:endnote w:type="continuationSeparator" w:id="0">
    <w:p w14:paraId="65BD8025" w14:textId="77777777" w:rsidR="00970F63" w:rsidRDefault="00970F63" w:rsidP="00804B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5FB9A8" w14:textId="77777777" w:rsidR="00970F63" w:rsidRDefault="00970F63" w:rsidP="00804BED">
      <w:pPr>
        <w:spacing w:after="0" w:line="240" w:lineRule="auto"/>
      </w:pPr>
      <w:r>
        <w:separator/>
      </w:r>
    </w:p>
  </w:footnote>
  <w:footnote w:type="continuationSeparator" w:id="0">
    <w:p w14:paraId="0CB373C3" w14:textId="77777777" w:rsidR="00970F63" w:rsidRDefault="00970F63" w:rsidP="00804BE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4BED"/>
    <w:rsid w:val="00123059"/>
    <w:rsid w:val="00534244"/>
    <w:rsid w:val="006C28A5"/>
    <w:rsid w:val="006E3875"/>
    <w:rsid w:val="00754667"/>
    <w:rsid w:val="00804BED"/>
    <w:rsid w:val="00870B9F"/>
    <w:rsid w:val="008E7BCA"/>
    <w:rsid w:val="00951232"/>
    <w:rsid w:val="00970F63"/>
    <w:rsid w:val="00A06468"/>
    <w:rsid w:val="00C335B2"/>
    <w:rsid w:val="00DB6FBA"/>
    <w:rsid w:val="00DE1C50"/>
    <w:rsid w:val="00EC404E"/>
    <w:rsid w:val="00FE33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72979A"/>
  <w15:chartTrackingRefBased/>
  <w15:docId w15:val="{84007AF2-6ABD-405A-AC42-9DC2D7792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04B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4BED"/>
  </w:style>
  <w:style w:type="paragraph" w:styleId="Footer">
    <w:name w:val="footer"/>
    <w:basedOn w:val="Normal"/>
    <w:link w:val="FooterChar"/>
    <w:uiPriority w:val="99"/>
    <w:unhideWhenUsed/>
    <w:rsid w:val="00804B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4BED"/>
  </w:style>
  <w:style w:type="paragraph" w:styleId="NormalWeb">
    <w:name w:val="Normal (Web)"/>
    <w:basedOn w:val="Normal"/>
    <w:uiPriority w:val="99"/>
    <w:semiHidden/>
    <w:unhideWhenUsed/>
    <w:rsid w:val="00870B9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178799">
      <w:bodyDiv w:val="1"/>
      <w:marLeft w:val="0"/>
      <w:marRight w:val="0"/>
      <w:marTop w:val="0"/>
      <w:marBottom w:val="0"/>
      <w:divBdr>
        <w:top w:val="none" w:sz="0" w:space="0" w:color="auto"/>
        <w:left w:val="none" w:sz="0" w:space="0" w:color="auto"/>
        <w:bottom w:val="none" w:sz="0" w:space="0" w:color="auto"/>
        <w:right w:val="none" w:sz="0" w:space="0" w:color="auto"/>
      </w:divBdr>
    </w:div>
    <w:div w:id="1183861212">
      <w:bodyDiv w:val="1"/>
      <w:marLeft w:val="0"/>
      <w:marRight w:val="0"/>
      <w:marTop w:val="0"/>
      <w:marBottom w:val="0"/>
      <w:divBdr>
        <w:top w:val="none" w:sz="0" w:space="0" w:color="auto"/>
        <w:left w:val="none" w:sz="0" w:space="0" w:color="auto"/>
        <w:bottom w:val="none" w:sz="0" w:space="0" w:color="auto"/>
        <w:right w:val="none" w:sz="0" w:space="0" w:color="auto"/>
      </w:divBdr>
    </w:div>
    <w:div w:id="1209029407">
      <w:bodyDiv w:val="1"/>
      <w:marLeft w:val="0"/>
      <w:marRight w:val="0"/>
      <w:marTop w:val="0"/>
      <w:marBottom w:val="0"/>
      <w:divBdr>
        <w:top w:val="none" w:sz="0" w:space="0" w:color="auto"/>
        <w:left w:val="none" w:sz="0" w:space="0" w:color="auto"/>
        <w:bottom w:val="none" w:sz="0" w:space="0" w:color="auto"/>
        <w:right w:val="none" w:sz="0" w:space="0" w:color="auto"/>
      </w:divBdr>
    </w:div>
    <w:div w:id="153597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customXml" Target="../customXml/item3.xml"/><Relationship Id="rId5" Type="http://schemas.openxmlformats.org/officeDocument/2006/relationships/endnotes" Target="endnotes.xml"/><Relationship Id="rId10" Type="http://schemas.openxmlformats.org/officeDocument/2006/relationships/customXml" Target="../customXml/item2.xml"/><Relationship Id="rId4" Type="http://schemas.openxmlformats.org/officeDocument/2006/relationships/footnotes" Target="footnote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1D9ACD98-A3B2-4731-95C4-1890D5CFDCA0}"/>
</file>

<file path=customXml/itemProps2.xml><?xml version="1.0" encoding="utf-8"?>
<ds:datastoreItem xmlns:ds="http://schemas.openxmlformats.org/officeDocument/2006/customXml" ds:itemID="{08E0EE6E-8E96-44DC-8ECD-71401ACA2968}"/>
</file>

<file path=customXml/itemProps3.xml><?xml version="1.0" encoding="utf-8"?>
<ds:datastoreItem xmlns:ds="http://schemas.openxmlformats.org/officeDocument/2006/customXml" ds:itemID="{19CD0AC9-22FE-4C07-AE2C-7E17EACB5B4B}"/>
</file>

<file path=docProps/app.xml><?xml version="1.0" encoding="utf-8"?>
<Properties xmlns="http://schemas.openxmlformats.org/officeDocument/2006/extended-properties" xmlns:vt="http://schemas.openxmlformats.org/officeDocument/2006/docPropsVTypes">
  <Template>Normal</Template>
  <TotalTime>1</TotalTime>
  <Pages>6</Pages>
  <Words>852</Words>
  <Characters>4860</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5701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Evans (Swansea Bay - Counter Fraud)</dc:creator>
  <cp:keywords/>
  <dc:description/>
  <cp:lastModifiedBy>Darren Griffiths (Swansea Bay UHB - Finance)</cp:lastModifiedBy>
  <cp:revision>2</cp:revision>
  <dcterms:created xsi:type="dcterms:W3CDTF">2025-07-08T05:44:00Z</dcterms:created>
  <dcterms:modified xsi:type="dcterms:W3CDTF">2025-07-08T05:44:00Z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