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3D3D6" w14:textId="20B805FC" w:rsidR="00E23899" w:rsidRDefault="00E23899" w:rsidP="002572DB">
      <w:pPr>
        <w:jc w:val="center"/>
        <w:rPr>
          <w:rFonts w:ascii="Times New Roman" w:hAnsi="Times New Roman"/>
        </w:rPr>
      </w:pPr>
    </w:p>
    <w:p w14:paraId="4112A5D7" w14:textId="77777777" w:rsidR="00E23899" w:rsidRDefault="00E23899" w:rsidP="00E23899">
      <w:pPr>
        <w:ind w:left="4320" w:firstLine="720"/>
        <w:rPr>
          <w:rFonts w:ascii="Tahoma" w:hAnsi="Tahoma" w:cs="Tahoma"/>
          <w:szCs w:val="18"/>
        </w:rPr>
      </w:pPr>
    </w:p>
    <w:p w14:paraId="0370EE91" w14:textId="77777777" w:rsidR="00E23899" w:rsidRDefault="00E23899" w:rsidP="00E23899">
      <w:pPr>
        <w:ind w:left="3600" w:firstLine="720"/>
        <w:jc w:val="center"/>
        <w:rPr>
          <w:rFonts w:ascii="Tahoma" w:hAnsi="Tahoma" w:cs="Tahoma"/>
          <w:color w:val="333333"/>
          <w:sz w:val="18"/>
        </w:rPr>
      </w:pPr>
      <w:r>
        <w:rPr>
          <w:rFonts w:ascii="Tahoma" w:hAnsi="Tahoma" w:cs="Tahoma"/>
          <w:color w:val="333333"/>
          <w:sz w:val="18"/>
        </w:rPr>
        <w:t xml:space="preserve">    </w:t>
      </w:r>
    </w:p>
    <w:p w14:paraId="1E7CF2C4" w14:textId="77777777" w:rsidR="00E23899" w:rsidRDefault="00E23899" w:rsidP="00E23899">
      <w:pPr>
        <w:ind w:left="4320" w:firstLine="720"/>
        <w:rPr>
          <w:rFonts w:ascii="Times New Roman" w:hAnsi="Times New Roman"/>
        </w:rPr>
      </w:pPr>
    </w:p>
    <w:p w14:paraId="3A7A049F" w14:textId="77777777" w:rsidR="00E23899" w:rsidRDefault="00E23899" w:rsidP="00E23899">
      <w:pPr>
        <w:rPr>
          <w:rFonts w:ascii="Times New Roman" w:hAnsi="Times New Roman"/>
        </w:rPr>
      </w:pPr>
    </w:p>
    <w:p w14:paraId="7610232C" w14:textId="77777777" w:rsidR="00E23899" w:rsidRDefault="00E23899" w:rsidP="00E23899">
      <w:pPr>
        <w:rPr>
          <w:rFonts w:ascii="Times New Roman" w:hAnsi="Times New Roman"/>
        </w:rPr>
      </w:pPr>
    </w:p>
    <w:p w14:paraId="64223FE6" w14:textId="77777777" w:rsidR="00E23899" w:rsidRDefault="00E23899" w:rsidP="00E23899">
      <w:pPr>
        <w:rPr>
          <w:rFonts w:ascii="Times New Roman" w:hAnsi="Times New Roman"/>
        </w:rPr>
      </w:pPr>
    </w:p>
    <w:p w14:paraId="10FA5092" w14:textId="77777777" w:rsidR="00E23899" w:rsidRDefault="00E23899" w:rsidP="00E23899">
      <w:pPr>
        <w:rPr>
          <w:rFonts w:ascii="Times New Roman" w:hAnsi="Times New Roman"/>
        </w:rPr>
      </w:pPr>
    </w:p>
    <w:p w14:paraId="6ABCC810" w14:textId="77777777" w:rsidR="009011A8" w:rsidRPr="00246BCD" w:rsidRDefault="009011A8" w:rsidP="009011A8">
      <w:pPr>
        <w:jc w:val="center"/>
        <w:rPr>
          <w:rFonts w:cs="Arial"/>
          <w:b/>
          <w:bCs/>
          <w:sz w:val="32"/>
        </w:rPr>
      </w:pPr>
    </w:p>
    <w:p w14:paraId="6753F5E3" w14:textId="77777777" w:rsidR="009011A8" w:rsidRPr="00246BCD" w:rsidRDefault="009011A8" w:rsidP="009011A8">
      <w:pPr>
        <w:jc w:val="center"/>
        <w:rPr>
          <w:rFonts w:cs="Arial"/>
          <w:b/>
          <w:bCs/>
          <w:sz w:val="32"/>
        </w:rPr>
      </w:pPr>
    </w:p>
    <w:p w14:paraId="1B0CEAC5" w14:textId="77777777" w:rsidR="009011A8" w:rsidRPr="00246BCD" w:rsidRDefault="009011A8" w:rsidP="009011A8">
      <w:pPr>
        <w:jc w:val="center"/>
        <w:rPr>
          <w:rFonts w:cs="Arial"/>
          <w:b/>
          <w:bCs/>
          <w:sz w:val="32"/>
        </w:rPr>
      </w:pPr>
    </w:p>
    <w:p w14:paraId="59975138" w14:textId="06C4C63E" w:rsidR="009011A8" w:rsidRDefault="00A26A2D" w:rsidP="009011A8">
      <w:pPr>
        <w:jc w:val="center"/>
        <w:rPr>
          <w:rFonts w:cs="Arial"/>
          <w:b/>
          <w:bCs/>
          <w:sz w:val="32"/>
        </w:rPr>
      </w:pPr>
      <w:r>
        <w:rPr>
          <w:rFonts w:cs="Arial"/>
          <w:b/>
          <w:bCs/>
          <w:sz w:val="32"/>
        </w:rPr>
        <w:t xml:space="preserve"> A</w:t>
      </w:r>
      <w:r w:rsidR="00C10E8E">
        <w:rPr>
          <w:rFonts w:cs="Arial"/>
          <w:b/>
          <w:bCs/>
          <w:sz w:val="32"/>
        </w:rPr>
        <w:t xml:space="preserve"> </w:t>
      </w:r>
      <w:r w:rsidR="009011A8" w:rsidRPr="00246BCD">
        <w:rPr>
          <w:rFonts w:cs="Arial"/>
          <w:b/>
          <w:bCs/>
          <w:sz w:val="32"/>
        </w:rPr>
        <w:t>Report</w:t>
      </w:r>
      <w:r>
        <w:rPr>
          <w:rFonts w:cs="Arial"/>
          <w:b/>
          <w:bCs/>
          <w:sz w:val="32"/>
        </w:rPr>
        <w:t xml:space="preserve"> on the</w:t>
      </w:r>
      <w:r w:rsidR="00381BDB">
        <w:rPr>
          <w:rFonts w:cs="Arial"/>
          <w:b/>
          <w:bCs/>
          <w:sz w:val="32"/>
        </w:rPr>
        <w:t xml:space="preserve"> Offence of Failure to Prevent Fraud under the </w:t>
      </w:r>
      <w:r>
        <w:rPr>
          <w:rFonts w:cs="Arial"/>
          <w:b/>
          <w:bCs/>
          <w:sz w:val="32"/>
        </w:rPr>
        <w:t>Economic Crime and Corporate Transparency Act 2023</w:t>
      </w:r>
    </w:p>
    <w:p w14:paraId="672ED66C" w14:textId="0AE4CBDF" w:rsidR="00A26A2D" w:rsidRDefault="00A26A2D" w:rsidP="009011A8">
      <w:pPr>
        <w:jc w:val="center"/>
        <w:rPr>
          <w:rFonts w:cs="Arial"/>
          <w:b/>
          <w:bCs/>
          <w:sz w:val="32"/>
        </w:rPr>
      </w:pPr>
    </w:p>
    <w:p w14:paraId="066DED4D" w14:textId="77777777" w:rsidR="00A26A2D" w:rsidRPr="00246BCD" w:rsidRDefault="00A26A2D" w:rsidP="009011A8">
      <w:pPr>
        <w:jc w:val="center"/>
        <w:rPr>
          <w:rFonts w:cs="Arial"/>
          <w:b/>
          <w:bCs/>
          <w:sz w:val="32"/>
        </w:rPr>
      </w:pPr>
    </w:p>
    <w:p w14:paraId="1D13C064" w14:textId="77777777" w:rsidR="009011A8" w:rsidRPr="00246BCD" w:rsidRDefault="009011A8" w:rsidP="009011A8">
      <w:pPr>
        <w:jc w:val="center"/>
        <w:rPr>
          <w:rFonts w:cs="Arial"/>
          <w:sz w:val="32"/>
        </w:rPr>
      </w:pPr>
    </w:p>
    <w:p w14:paraId="19C87726" w14:textId="77777777" w:rsidR="009011A8" w:rsidRPr="00246BCD" w:rsidRDefault="009011A8" w:rsidP="009011A8">
      <w:pPr>
        <w:jc w:val="center"/>
        <w:rPr>
          <w:rFonts w:cs="Arial"/>
          <w:sz w:val="32"/>
        </w:rPr>
      </w:pPr>
    </w:p>
    <w:p w14:paraId="3A8FB6D6" w14:textId="77777777" w:rsidR="009011A8" w:rsidRPr="00246BCD" w:rsidRDefault="009011A8" w:rsidP="009011A8">
      <w:pPr>
        <w:jc w:val="center"/>
        <w:rPr>
          <w:rFonts w:cs="Arial"/>
          <w:sz w:val="32"/>
        </w:rPr>
      </w:pPr>
    </w:p>
    <w:p w14:paraId="3665F4E7" w14:textId="77777777" w:rsidR="009011A8" w:rsidRPr="00246BCD" w:rsidRDefault="009011A8" w:rsidP="009011A8">
      <w:pPr>
        <w:jc w:val="center"/>
        <w:rPr>
          <w:rFonts w:cs="Arial"/>
          <w:sz w:val="32"/>
        </w:rPr>
      </w:pPr>
    </w:p>
    <w:p w14:paraId="00710E80" w14:textId="77777777" w:rsidR="009011A8" w:rsidRPr="00246BCD" w:rsidRDefault="009011A8" w:rsidP="009011A8">
      <w:pPr>
        <w:ind w:left="2880" w:firstLine="720"/>
        <w:jc w:val="center"/>
        <w:rPr>
          <w:rFonts w:cs="Arial"/>
          <w:b/>
        </w:rPr>
      </w:pPr>
    </w:p>
    <w:p w14:paraId="0C45EA0B" w14:textId="77777777" w:rsidR="009011A8" w:rsidRPr="00246BCD" w:rsidRDefault="009011A8" w:rsidP="009011A8">
      <w:pPr>
        <w:rPr>
          <w:rFonts w:cs="Arial"/>
        </w:rPr>
      </w:pPr>
      <w:r w:rsidRPr="00246BCD">
        <w:rPr>
          <w:rFonts w:cs="Arial"/>
        </w:rPr>
        <w:tab/>
      </w:r>
    </w:p>
    <w:p w14:paraId="71305B8C" w14:textId="77777777" w:rsidR="009011A8" w:rsidRPr="00246BCD" w:rsidRDefault="009011A8" w:rsidP="009011A8">
      <w:pPr>
        <w:rPr>
          <w:rFonts w:cs="Arial"/>
        </w:rPr>
      </w:pPr>
    </w:p>
    <w:p w14:paraId="6734EE00" w14:textId="77777777" w:rsidR="009011A8" w:rsidRPr="00246BCD" w:rsidRDefault="009011A8" w:rsidP="009011A8">
      <w:pPr>
        <w:rPr>
          <w:rFonts w:cs="Arial"/>
        </w:rPr>
      </w:pPr>
    </w:p>
    <w:p w14:paraId="749B5A07" w14:textId="77777777" w:rsidR="009011A8" w:rsidRPr="00246BCD" w:rsidRDefault="009011A8" w:rsidP="009011A8">
      <w:pPr>
        <w:rPr>
          <w:rFonts w:cs="Arial"/>
        </w:rPr>
      </w:pPr>
    </w:p>
    <w:p w14:paraId="06D9AB31" w14:textId="77777777" w:rsidR="009011A8" w:rsidRPr="00246BCD" w:rsidRDefault="009011A8" w:rsidP="009011A8">
      <w:pPr>
        <w:rPr>
          <w:rFonts w:cs="Arial"/>
        </w:rPr>
      </w:pPr>
    </w:p>
    <w:p w14:paraId="678938F6" w14:textId="77777777" w:rsidR="009011A8" w:rsidRPr="00246BCD" w:rsidRDefault="009011A8" w:rsidP="009011A8">
      <w:pPr>
        <w:rPr>
          <w:rFonts w:cs="Arial"/>
        </w:rPr>
      </w:pPr>
    </w:p>
    <w:p w14:paraId="165B1E1F" w14:textId="77777777" w:rsidR="009011A8" w:rsidRPr="00246BCD" w:rsidRDefault="009011A8" w:rsidP="009011A8">
      <w:pPr>
        <w:rPr>
          <w:rFonts w:cs="Arial"/>
        </w:rPr>
      </w:pPr>
    </w:p>
    <w:p w14:paraId="409F3C31" w14:textId="77777777" w:rsidR="009011A8" w:rsidRPr="00246BCD" w:rsidRDefault="009011A8" w:rsidP="009011A8">
      <w:pPr>
        <w:rPr>
          <w:rFonts w:cs="Arial"/>
        </w:rPr>
      </w:pPr>
    </w:p>
    <w:p w14:paraId="37D4EEBB" w14:textId="77777777" w:rsidR="009011A8" w:rsidRPr="00246BCD" w:rsidRDefault="009011A8" w:rsidP="009011A8">
      <w:pPr>
        <w:rPr>
          <w:rFonts w:cs="Arial"/>
        </w:rPr>
      </w:pPr>
    </w:p>
    <w:p w14:paraId="7ED747FB" w14:textId="77777777" w:rsidR="009011A8" w:rsidRPr="00246BCD" w:rsidRDefault="009011A8" w:rsidP="009011A8">
      <w:pPr>
        <w:rPr>
          <w:rFonts w:cs="Arial"/>
        </w:rPr>
      </w:pPr>
    </w:p>
    <w:p w14:paraId="23F17666" w14:textId="77777777" w:rsidR="009011A8" w:rsidRPr="00246BCD" w:rsidRDefault="009011A8" w:rsidP="009011A8">
      <w:pPr>
        <w:ind w:left="720"/>
        <w:rPr>
          <w:rFonts w:cs="Arial"/>
        </w:rPr>
      </w:pPr>
    </w:p>
    <w:p w14:paraId="0157F79B" w14:textId="77777777" w:rsidR="009011A8" w:rsidRPr="00246BCD" w:rsidRDefault="009011A8" w:rsidP="009011A8">
      <w:pPr>
        <w:tabs>
          <w:tab w:val="left" w:pos="-2340"/>
        </w:tabs>
        <w:ind w:left="1800" w:hanging="1080"/>
        <w:rPr>
          <w:rFonts w:cs="Arial"/>
        </w:rPr>
      </w:pPr>
      <w:r w:rsidRPr="00246BCD">
        <w:rPr>
          <w:rFonts w:cs="Arial"/>
        </w:rPr>
        <w:t>Author:</w:t>
      </w:r>
      <w:r w:rsidRPr="00246BCD">
        <w:rPr>
          <w:rFonts w:cs="Arial"/>
        </w:rPr>
        <w:tab/>
      </w:r>
      <w:r w:rsidR="00E2322A">
        <w:rPr>
          <w:rFonts w:cs="Arial"/>
        </w:rPr>
        <w:t>Michelle Newport-Edwards</w:t>
      </w:r>
      <w:r w:rsidRPr="00246BCD">
        <w:rPr>
          <w:rFonts w:cs="Arial"/>
        </w:rPr>
        <w:t xml:space="preserve"> </w:t>
      </w:r>
    </w:p>
    <w:p w14:paraId="26C2B2E7" w14:textId="77777777" w:rsidR="009011A8" w:rsidRPr="00246BCD" w:rsidRDefault="009011A8" w:rsidP="009011A8">
      <w:pPr>
        <w:ind w:left="1800" w:hanging="1080"/>
        <w:rPr>
          <w:rFonts w:cs="Arial"/>
        </w:rPr>
      </w:pPr>
      <w:r w:rsidRPr="00246BCD">
        <w:rPr>
          <w:rFonts w:cs="Arial"/>
        </w:rPr>
        <w:t xml:space="preserve">               </w:t>
      </w:r>
      <w:r w:rsidRPr="00246BCD">
        <w:rPr>
          <w:rFonts w:cs="Arial"/>
        </w:rPr>
        <w:tab/>
        <w:t xml:space="preserve">Local Counter </w:t>
      </w:r>
      <w:smartTag w:uri="urn:schemas-microsoft-com:office:smarttags" w:element="PersonName">
        <w:r w:rsidRPr="00246BCD">
          <w:rPr>
            <w:rFonts w:cs="Arial"/>
          </w:rPr>
          <w:t>Fraud</w:t>
        </w:r>
      </w:smartTag>
      <w:r w:rsidRPr="00246BCD">
        <w:rPr>
          <w:rFonts w:cs="Arial"/>
        </w:rPr>
        <w:t xml:space="preserve"> Specialist</w:t>
      </w:r>
    </w:p>
    <w:p w14:paraId="1656073D" w14:textId="77777777" w:rsidR="009011A8" w:rsidRPr="00246BCD" w:rsidRDefault="009011A8" w:rsidP="009011A8">
      <w:pPr>
        <w:tabs>
          <w:tab w:val="left" w:pos="709"/>
          <w:tab w:val="left" w:pos="851"/>
        </w:tabs>
        <w:ind w:left="1800" w:hanging="1080"/>
        <w:rPr>
          <w:rFonts w:cs="Arial"/>
        </w:rPr>
      </w:pPr>
    </w:p>
    <w:p w14:paraId="7D605A6E" w14:textId="50BACB10" w:rsidR="009011A8" w:rsidRDefault="009011A8" w:rsidP="008B6045">
      <w:pPr>
        <w:ind w:left="1800" w:hanging="1080"/>
        <w:rPr>
          <w:rFonts w:cs="Arial"/>
        </w:rPr>
      </w:pPr>
      <w:r w:rsidRPr="00246BCD">
        <w:rPr>
          <w:rFonts w:cs="Arial"/>
        </w:rPr>
        <w:t>Date:</w:t>
      </w:r>
      <w:r w:rsidRPr="00246BCD">
        <w:rPr>
          <w:rFonts w:cs="Arial"/>
        </w:rPr>
        <w:tab/>
      </w:r>
      <w:r w:rsidR="003B11AE">
        <w:rPr>
          <w:rFonts w:cs="Arial"/>
        </w:rPr>
        <w:t>July</w:t>
      </w:r>
      <w:r w:rsidR="00C40748">
        <w:rPr>
          <w:rFonts w:cs="Arial"/>
        </w:rPr>
        <w:t xml:space="preserve"> 2025</w:t>
      </w:r>
    </w:p>
    <w:p w14:paraId="747A170C" w14:textId="77777777" w:rsidR="001C6A07" w:rsidRDefault="001C6A07" w:rsidP="009011A8">
      <w:pPr>
        <w:ind w:left="1800" w:hanging="1080"/>
        <w:rPr>
          <w:rFonts w:cs="Arial"/>
        </w:rPr>
      </w:pPr>
    </w:p>
    <w:p w14:paraId="464C4AF9" w14:textId="77777777" w:rsidR="00C17CC6" w:rsidRDefault="00C17CC6" w:rsidP="009011A8">
      <w:pPr>
        <w:ind w:left="1800" w:hanging="1080"/>
        <w:rPr>
          <w:rFonts w:cs="Arial"/>
        </w:rPr>
      </w:pPr>
    </w:p>
    <w:p w14:paraId="290A11CD" w14:textId="77777777" w:rsidR="00C17CC6" w:rsidRDefault="00C17CC6" w:rsidP="009011A8">
      <w:pPr>
        <w:ind w:left="1800" w:hanging="1080"/>
        <w:rPr>
          <w:rFonts w:cs="Arial"/>
        </w:rPr>
      </w:pPr>
    </w:p>
    <w:p w14:paraId="6E13B891" w14:textId="77777777" w:rsidR="00B1799D" w:rsidRDefault="00B1799D" w:rsidP="009011A8">
      <w:pPr>
        <w:ind w:left="1800" w:hanging="1080"/>
        <w:rPr>
          <w:rFonts w:cs="Arial"/>
        </w:rPr>
      </w:pPr>
    </w:p>
    <w:p w14:paraId="0FB6E1AB" w14:textId="77777777" w:rsidR="00B1799D" w:rsidRDefault="00B1799D" w:rsidP="009011A8">
      <w:pPr>
        <w:ind w:left="1800" w:hanging="1080"/>
        <w:rPr>
          <w:rFonts w:cs="Arial"/>
        </w:rPr>
      </w:pPr>
    </w:p>
    <w:p w14:paraId="64D2EFB2" w14:textId="77777777" w:rsidR="00B1799D" w:rsidRDefault="00B1799D" w:rsidP="009011A8">
      <w:pPr>
        <w:ind w:left="1800" w:hanging="1080"/>
        <w:rPr>
          <w:rFonts w:cs="Arial"/>
        </w:rPr>
      </w:pPr>
    </w:p>
    <w:p w14:paraId="0FEE47CF" w14:textId="77777777" w:rsidR="00B1799D" w:rsidRDefault="00B1799D" w:rsidP="009011A8">
      <w:pPr>
        <w:ind w:left="1800" w:hanging="1080"/>
        <w:rPr>
          <w:rFonts w:cs="Arial"/>
        </w:rPr>
      </w:pPr>
    </w:p>
    <w:p w14:paraId="0AD30AF1" w14:textId="77777777" w:rsidR="001C6A07" w:rsidRDefault="001C6A07" w:rsidP="009011A8">
      <w:pPr>
        <w:ind w:left="1800" w:hanging="1080"/>
        <w:rPr>
          <w:rFonts w:cs="Arial"/>
        </w:rPr>
      </w:pPr>
    </w:p>
    <w:p w14:paraId="5D578276" w14:textId="77777777" w:rsidR="001C6A07" w:rsidRDefault="001C6A07" w:rsidP="009011A8">
      <w:pPr>
        <w:ind w:left="1800" w:hanging="1080"/>
        <w:rPr>
          <w:rFonts w:cs="Arial"/>
        </w:rPr>
      </w:pPr>
    </w:p>
    <w:p w14:paraId="0134CA94" w14:textId="77777777" w:rsidR="001C6A07" w:rsidRDefault="001C6A07" w:rsidP="009011A8">
      <w:pPr>
        <w:ind w:left="1800" w:hanging="1080"/>
        <w:rPr>
          <w:rFonts w:cs="Arial"/>
        </w:rPr>
      </w:pPr>
    </w:p>
    <w:p w14:paraId="0054DB2B" w14:textId="77777777" w:rsidR="00782047" w:rsidRPr="00782047" w:rsidRDefault="00990701" w:rsidP="00C6531E">
      <w:pPr>
        <w:pStyle w:val="ListParagraph"/>
        <w:numPr>
          <w:ilvl w:val="0"/>
          <w:numId w:val="2"/>
        </w:numPr>
        <w:spacing w:line="360" w:lineRule="auto"/>
        <w:jc w:val="both"/>
        <w:rPr>
          <w:rFonts w:cs="Arial"/>
        </w:rPr>
      </w:pPr>
      <w:r w:rsidRPr="00782047">
        <w:rPr>
          <w:rFonts w:cs="Arial"/>
          <w:b/>
        </w:rPr>
        <w:lastRenderedPageBreak/>
        <w:t>SITUATION</w:t>
      </w:r>
    </w:p>
    <w:p w14:paraId="01A72EA9" w14:textId="2BCA4728" w:rsidR="00516257" w:rsidRDefault="00583D18" w:rsidP="00C6531E">
      <w:pPr>
        <w:pStyle w:val="ListParagraph"/>
        <w:numPr>
          <w:ilvl w:val="1"/>
          <w:numId w:val="2"/>
        </w:numPr>
        <w:spacing w:line="360" w:lineRule="auto"/>
        <w:ind w:hanging="792"/>
        <w:jc w:val="both"/>
        <w:rPr>
          <w:rFonts w:cs="Arial"/>
        </w:rPr>
      </w:pPr>
      <w:r>
        <w:rPr>
          <w:rFonts w:cs="Arial"/>
        </w:rPr>
        <w:t>The Economic Crime and Corporate Transparency Act 2022 (ECCTA</w:t>
      </w:r>
      <w:r w:rsidR="00F565AB">
        <w:rPr>
          <w:rFonts w:cs="Arial"/>
        </w:rPr>
        <w:t xml:space="preserve"> 2023</w:t>
      </w:r>
      <w:r>
        <w:rPr>
          <w:rFonts w:cs="Arial"/>
        </w:rPr>
        <w:t xml:space="preserve">) was </w:t>
      </w:r>
      <w:r w:rsidR="00BC4931">
        <w:rPr>
          <w:rFonts w:cs="Arial"/>
        </w:rPr>
        <w:t xml:space="preserve">created </w:t>
      </w:r>
      <w:r>
        <w:rPr>
          <w:rFonts w:cs="Arial"/>
        </w:rPr>
        <w:t>to strengthen the UK’s ability to tackle fraud, money laundering and other forms of economic crime</w:t>
      </w:r>
      <w:r w:rsidR="00705427">
        <w:rPr>
          <w:rFonts w:cs="Arial"/>
        </w:rPr>
        <w:t>. ECCTA</w:t>
      </w:r>
      <w:r w:rsidR="00F565AB">
        <w:rPr>
          <w:rFonts w:cs="Arial"/>
        </w:rPr>
        <w:t xml:space="preserve"> 2023</w:t>
      </w:r>
      <w:r w:rsidR="00705427">
        <w:rPr>
          <w:rFonts w:cs="Arial"/>
        </w:rPr>
        <w:t xml:space="preserve"> represents a major overhaul of the UK Government’s framework for tackling financial crime and has brought into force </w:t>
      </w:r>
      <w:r w:rsidR="00BC3AA1">
        <w:rPr>
          <w:rFonts w:cs="Arial"/>
        </w:rPr>
        <w:t>several</w:t>
      </w:r>
      <w:r w:rsidR="00705427">
        <w:rPr>
          <w:rFonts w:cs="Arial"/>
        </w:rPr>
        <w:t xml:space="preserve"> significant changes and </w:t>
      </w:r>
      <w:r w:rsidR="00BC4931">
        <w:rPr>
          <w:rFonts w:cs="Arial"/>
        </w:rPr>
        <w:t>bolster</w:t>
      </w:r>
      <w:r w:rsidR="00705427">
        <w:rPr>
          <w:rFonts w:cs="Arial"/>
        </w:rPr>
        <w:t>ed</w:t>
      </w:r>
      <w:r w:rsidR="00BC4931">
        <w:rPr>
          <w:rFonts w:cs="Arial"/>
        </w:rPr>
        <w:t xml:space="preserve"> existing legislation </w:t>
      </w:r>
      <w:r w:rsidR="00705427">
        <w:rPr>
          <w:rFonts w:cs="Arial"/>
        </w:rPr>
        <w:t>by</w:t>
      </w:r>
      <w:r w:rsidR="00BC4931">
        <w:rPr>
          <w:rFonts w:cs="Arial"/>
        </w:rPr>
        <w:t xml:space="preserve"> </w:t>
      </w:r>
      <w:r>
        <w:rPr>
          <w:rFonts w:cs="Arial"/>
        </w:rPr>
        <w:t xml:space="preserve">introducing stricter regulation </w:t>
      </w:r>
      <w:r w:rsidR="00BC4931">
        <w:rPr>
          <w:rFonts w:cs="Arial"/>
        </w:rPr>
        <w:t xml:space="preserve">and increased transparency </w:t>
      </w:r>
      <w:r>
        <w:rPr>
          <w:rFonts w:cs="Arial"/>
        </w:rPr>
        <w:t>around corporate activities.</w:t>
      </w:r>
    </w:p>
    <w:p w14:paraId="7CE38B49" w14:textId="77777777" w:rsidR="00583D18" w:rsidRPr="00583D18" w:rsidRDefault="00583D18" w:rsidP="00583D18">
      <w:pPr>
        <w:spacing w:line="360" w:lineRule="auto"/>
        <w:jc w:val="both"/>
        <w:rPr>
          <w:rFonts w:cs="Arial"/>
        </w:rPr>
      </w:pPr>
    </w:p>
    <w:p w14:paraId="74D2F1C7" w14:textId="4E02E875" w:rsidR="005005DD" w:rsidRDefault="00705427" w:rsidP="003A6060">
      <w:pPr>
        <w:pStyle w:val="ListParagraph"/>
        <w:numPr>
          <w:ilvl w:val="1"/>
          <w:numId w:val="2"/>
        </w:numPr>
        <w:spacing w:line="360" w:lineRule="auto"/>
        <w:ind w:hanging="792"/>
        <w:jc w:val="both"/>
        <w:rPr>
          <w:rFonts w:cs="Arial"/>
        </w:rPr>
      </w:pPr>
      <w:r w:rsidRPr="00C2425C">
        <w:rPr>
          <w:rFonts w:cs="Arial"/>
        </w:rPr>
        <w:t xml:space="preserve">One of the most significant changes introduced by </w:t>
      </w:r>
      <w:r w:rsidR="00BC4931" w:rsidRPr="00C2425C">
        <w:rPr>
          <w:rFonts w:cs="Arial"/>
        </w:rPr>
        <w:t>ECCTA</w:t>
      </w:r>
      <w:r w:rsidR="007F5C63" w:rsidRPr="00C2425C">
        <w:rPr>
          <w:rFonts w:cs="Arial"/>
        </w:rPr>
        <w:t xml:space="preserve"> </w:t>
      </w:r>
      <w:r w:rsidR="00F565AB" w:rsidRPr="00C2425C">
        <w:rPr>
          <w:rFonts w:cs="Arial"/>
        </w:rPr>
        <w:t xml:space="preserve">2023 </w:t>
      </w:r>
      <w:r w:rsidRPr="00C2425C">
        <w:rPr>
          <w:rFonts w:cs="Arial"/>
        </w:rPr>
        <w:t xml:space="preserve">is the </w:t>
      </w:r>
      <w:r w:rsidR="00AC47A0" w:rsidRPr="00C2425C">
        <w:rPr>
          <w:rFonts w:cs="Arial"/>
        </w:rPr>
        <w:t xml:space="preserve">new corporate offence </w:t>
      </w:r>
      <w:r w:rsidR="007F5C63" w:rsidRPr="00C2425C">
        <w:rPr>
          <w:rFonts w:cs="Arial"/>
        </w:rPr>
        <w:t>of the</w:t>
      </w:r>
      <w:r w:rsidR="00AC47A0" w:rsidRPr="00C2425C">
        <w:rPr>
          <w:rFonts w:cs="Arial"/>
        </w:rPr>
        <w:t xml:space="preserve"> </w:t>
      </w:r>
      <w:r w:rsidR="007F5C63" w:rsidRPr="00C2425C">
        <w:rPr>
          <w:rFonts w:cs="Arial"/>
        </w:rPr>
        <w:t>f</w:t>
      </w:r>
      <w:r w:rsidR="00AC47A0" w:rsidRPr="00C2425C">
        <w:rPr>
          <w:rFonts w:cs="Arial"/>
        </w:rPr>
        <w:t xml:space="preserve">ailure to </w:t>
      </w:r>
      <w:r w:rsidR="007F5C63" w:rsidRPr="00C2425C">
        <w:rPr>
          <w:rFonts w:cs="Arial"/>
        </w:rPr>
        <w:t>p</w:t>
      </w:r>
      <w:r w:rsidR="00AC47A0" w:rsidRPr="00C2425C">
        <w:rPr>
          <w:rFonts w:cs="Arial"/>
        </w:rPr>
        <w:t xml:space="preserve">revent </w:t>
      </w:r>
      <w:r w:rsidR="007F5C63" w:rsidRPr="00C2425C">
        <w:rPr>
          <w:rFonts w:cs="Arial"/>
        </w:rPr>
        <w:t>f</w:t>
      </w:r>
      <w:r w:rsidR="00AC47A0" w:rsidRPr="00C2425C">
        <w:rPr>
          <w:rFonts w:cs="Arial"/>
        </w:rPr>
        <w:t>raud</w:t>
      </w:r>
      <w:r w:rsidR="005005DD" w:rsidRPr="00C2425C">
        <w:rPr>
          <w:rFonts w:cs="Arial"/>
        </w:rPr>
        <w:t xml:space="preserve"> which comes into force on 1</w:t>
      </w:r>
      <w:r w:rsidR="005005DD" w:rsidRPr="00C2425C">
        <w:rPr>
          <w:rFonts w:cs="Arial"/>
          <w:vertAlign w:val="superscript"/>
        </w:rPr>
        <w:t>st</w:t>
      </w:r>
      <w:r w:rsidR="005005DD" w:rsidRPr="00C2425C">
        <w:rPr>
          <w:rFonts w:cs="Arial"/>
        </w:rPr>
        <w:t xml:space="preserve"> September 2025.</w:t>
      </w:r>
      <w:r w:rsidR="00932EB2" w:rsidRPr="00C2425C">
        <w:rPr>
          <w:rFonts w:cs="Arial"/>
        </w:rPr>
        <w:t xml:space="preserve"> </w:t>
      </w:r>
    </w:p>
    <w:p w14:paraId="76119A32" w14:textId="77777777" w:rsidR="00E82B89" w:rsidRPr="00E82B89" w:rsidRDefault="00E82B89" w:rsidP="00E82B89">
      <w:pPr>
        <w:pStyle w:val="ListParagraph"/>
        <w:rPr>
          <w:rFonts w:cs="Arial"/>
        </w:rPr>
      </w:pPr>
    </w:p>
    <w:p w14:paraId="27E90F4D" w14:textId="77777777" w:rsidR="00E82B89" w:rsidRDefault="00E82B89" w:rsidP="00E82B89">
      <w:pPr>
        <w:pStyle w:val="ListParagraph"/>
        <w:numPr>
          <w:ilvl w:val="1"/>
          <w:numId w:val="2"/>
        </w:numPr>
        <w:spacing w:line="360" w:lineRule="auto"/>
        <w:ind w:hanging="792"/>
        <w:jc w:val="both"/>
        <w:rPr>
          <w:rFonts w:cs="Arial"/>
        </w:rPr>
      </w:pPr>
      <w:r>
        <w:rPr>
          <w:rFonts w:cs="Arial"/>
        </w:rPr>
        <w:t xml:space="preserve">Under the offence </w:t>
      </w:r>
      <w:r w:rsidRPr="002747E2">
        <w:rPr>
          <w:rFonts w:cs="Arial"/>
          <w:i/>
          <w:iCs/>
        </w:rPr>
        <w:t>an organisation may be criminally liable where an employee, agent, subsidiary, or other ‘associated person’, commits a fraud intending to benefit the organisation and the organisation did not have reasonable fraud prevention procedures in place</w:t>
      </w:r>
      <w:r w:rsidRPr="002747E2">
        <w:rPr>
          <w:rFonts w:cs="Arial"/>
        </w:rPr>
        <w:t xml:space="preserve">. </w:t>
      </w:r>
    </w:p>
    <w:p w14:paraId="32FCB2D9" w14:textId="77777777" w:rsidR="00E82B89" w:rsidRPr="00E82B89" w:rsidRDefault="00E82B89" w:rsidP="00E82B89">
      <w:pPr>
        <w:pStyle w:val="ListParagraph"/>
        <w:rPr>
          <w:rFonts w:cs="Arial"/>
        </w:rPr>
      </w:pPr>
    </w:p>
    <w:p w14:paraId="3B6090A9" w14:textId="7FDC089D" w:rsidR="00E82B89" w:rsidRPr="00E82B89" w:rsidRDefault="00E82B89" w:rsidP="00E82B89">
      <w:pPr>
        <w:pStyle w:val="ListParagraph"/>
        <w:numPr>
          <w:ilvl w:val="1"/>
          <w:numId w:val="2"/>
        </w:numPr>
        <w:spacing w:line="360" w:lineRule="auto"/>
        <w:ind w:hanging="792"/>
        <w:jc w:val="both"/>
        <w:rPr>
          <w:rFonts w:cs="Arial"/>
        </w:rPr>
      </w:pPr>
      <w:r w:rsidRPr="00E82B89">
        <w:rPr>
          <w:rFonts w:cs="Arial"/>
        </w:rPr>
        <w:t xml:space="preserve">The offence will also apply where </w:t>
      </w:r>
      <w:r w:rsidRPr="00E82B89">
        <w:rPr>
          <w:rFonts w:cs="Arial"/>
          <w:i/>
          <w:iCs/>
        </w:rPr>
        <w:t xml:space="preserve">the fraud offence is committed with the intention of benefitting a client of the organisation. It </w:t>
      </w:r>
      <w:r w:rsidR="00AD3216">
        <w:rPr>
          <w:rFonts w:cs="Arial"/>
          <w:i/>
          <w:iCs/>
        </w:rPr>
        <w:t xml:space="preserve">also </w:t>
      </w:r>
      <w:r w:rsidRPr="00E82B89">
        <w:rPr>
          <w:rFonts w:cs="Arial"/>
          <w:i/>
          <w:iCs/>
        </w:rPr>
        <w:t>does not need to be demonstrated that directors or senior managers ordered or knew about the fraud.</w:t>
      </w:r>
    </w:p>
    <w:p w14:paraId="029A6C3B" w14:textId="77777777" w:rsidR="00E82B89" w:rsidRPr="00AA4307" w:rsidRDefault="00E82B89" w:rsidP="00E82B89">
      <w:pPr>
        <w:pStyle w:val="ListParagraph"/>
        <w:rPr>
          <w:rFonts w:cs="Arial"/>
        </w:rPr>
      </w:pPr>
    </w:p>
    <w:p w14:paraId="609CAFD0" w14:textId="29755540" w:rsidR="00E82B89" w:rsidRPr="00E82B89" w:rsidRDefault="00E82B89" w:rsidP="00E82B89">
      <w:pPr>
        <w:pStyle w:val="ListParagraph"/>
        <w:numPr>
          <w:ilvl w:val="1"/>
          <w:numId w:val="2"/>
        </w:numPr>
        <w:spacing w:line="360" w:lineRule="auto"/>
        <w:ind w:hanging="792"/>
        <w:jc w:val="both"/>
        <w:rPr>
          <w:rFonts w:cs="Arial"/>
        </w:rPr>
      </w:pPr>
      <w:r>
        <w:rPr>
          <w:rFonts w:cs="Arial"/>
        </w:rPr>
        <w:t>As the offence sits alongside existing legislation tackling fraud and economic crime it means that an individual can be prosecuted for fraud while the organisation may</w:t>
      </w:r>
      <w:r w:rsidR="00AD3216">
        <w:rPr>
          <w:rFonts w:cs="Arial"/>
        </w:rPr>
        <w:t xml:space="preserve"> also</w:t>
      </w:r>
      <w:r>
        <w:rPr>
          <w:rFonts w:cs="Arial"/>
        </w:rPr>
        <w:t xml:space="preserve"> be prosecuted for failing to prevent it.</w:t>
      </w:r>
    </w:p>
    <w:p w14:paraId="401C2C5E" w14:textId="77777777" w:rsidR="00C2425C" w:rsidRPr="00C2425C" w:rsidRDefault="00C2425C" w:rsidP="00C2425C">
      <w:pPr>
        <w:spacing w:line="360" w:lineRule="auto"/>
        <w:jc w:val="both"/>
        <w:rPr>
          <w:rFonts w:cs="Arial"/>
        </w:rPr>
      </w:pPr>
    </w:p>
    <w:p w14:paraId="230AC29C" w14:textId="6CF6A6A5" w:rsidR="007F5C63" w:rsidRPr="00F565AB" w:rsidRDefault="005005DD" w:rsidP="00F565AB">
      <w:pPr>
        <w:pStyle w:val="ListParagraph"/>
        <w:numPr>
          <w:ilvl w:val="1"/>
          <w:numId w:val="2"/>
        </w:numPr>
        <w:spacing w:line="360" w:lineRule="auto"/>
        <w:ind w:hanging="792"/>
        <w:jc w:val="both"/>
        <w:rPr>
          <w:rFonts w:cs="Arial"/>
        </w:rPr>
      </w:pPr>
      <w:r>
        <w:rPr>
          <w:rFonts w:cs="Arial"/>
        </w:rPr>
        <w:t xml:space="preserve">Prior to the offence coming into force </w:t>
      </w:r>
      <w:r w:rsidRPr="007F5C63">
        <w:rPr>
          <w:rFonts w:cs="Arial"/>
        </w:rPr>
        <w:t xml:space="preserve">the Government has issued guidance for organisations </w:t>
      </w:r>
      <w:r>
        <w:rPr>
          <w:rFonts w:cs="Arial"/>
        </w:rPr>
        <w:t xml:space="preserve">which </w:t>
      </w:r>
      <w:r w:rsidRPr="007F5C63">
        <w:rPr>
          <w:rFonts w:cs="Arial"/>
        </w:rPr>
        <w:t>defines the offence, the types of fraud covered by the offence, who can commit it and importantly the procedures organisations can put in place to prevent persons associated with them from committing fraud offences.</w:t>
      </w:r>
      <w:r w:rsidR="00C17CC6">
        <w:rPr>
          <w:rFonts w:cs="Arial"/>
        </w:rPr>
        <w:t xml:space="preserve"> NHS Counter Fraud Authority have since issued NHS specific guidance.</w:t>
      </w:r>
    </w:p>
    <w:p w14:paraId="6AB61F24" w14:textId="77777777" w:rsidR="00516257" w:rsidRPr="004F6C8A" w:rsidRDefault="00516257" w:rsidP="004F6C8A">
      <w:pPr>
        <w:spacing w:line="360" w:lineRule="auto"/>
        <w:jc w:val="both"/>
        <w:rPr>
          <w:rFonts w:cs="Arial"/>
        </w:rPr>
      </w:pPr>
    </w:p>
    <w:p w14:paraId="0F91A2FF" w14:textId="0C0BC2C8" w:rsidR="00782047" w:rsidRPr="007A087E" w:rsidRDefault="003A0E12" w:rsidP="00B45237">
      <w:pPr>
        <w:pStyle w:val="ListParagraph"/>
        <w:numPr>
          <w:ilvl w:val="1"/>
          <w:numId w:val="2"/>
        </w:numPr>
        <w:spacing w:line="360" w:lineRule="auto"/>
        <w:ind w:hanging="792"/>
        <w:jc w:val="both"/>
        <w:rPr>
          <w:rFonts w:cs="Arial"/>
        </w:rPr>
      </w:pPr>
      <w:r>
        <w:rPr>
          <w:rFonts w:cs="Arial"/>
        </w:rPr>
        <w:t>This report</w:t>
      </w:r>
      <w:r w:rsidR="004F6C8A">
        <w:rPr>
          <w:rFonts w:cs="Arial"/>
        </w:rPr>
        <w:t xml:space="preserve"> considers</w:t>
      </w:r>
      <w:r>
        <w:rPr>
          <w:rFonts w:cs="Arial"/>
        </w:rPr>
        <w:t xml:space="preserve"> </w:t>
      </w:r>
      <w:r w:rsidR="00C17CC6">
        <w:rPr>
          <w:rFonts w:cs="Arial"/>
        </w:rPr>
        <w:t>all available</w:t>
      </w:r>
      <w:r w:rsidR="004F6C8A">
        <w:rPr>
          <w:rFonts w:cs="Arial"/>
        </w:rPr>
        <w:t xml:space="preserve"> </w:t>
      </w:r>
      <w:r>
        <w:rPr>
          <w:rFonts w:cs="Arial"/>
        </w:rPr>
        <w:t xml:space="preserve">guidance </w:t>
      </w:r>
      <w:r w:rsidR="004F6C8A">
        <w:rPr>
          <w:rFonts w:cs="Arial"/>
        </w:rPr>
        <w:t xml:space="preserve">and </w:t>
      </w:r>
      <w:r w:rsidR="00267E72">
        <w:rPr>
          <w:rFonts w:cs="Arial"/>
        </w:rPr>
        <w:t xml:space="preserve">the Health Board’s </w:t>
      </w:r>
      <w:r>
        <w:rPr>
          <w:rFonts w:cs="Arial"/>
        </w:rPr>
        <w:t xml:space="preserve">current policies and procedures </w:t>
      </w:r>
      <w:r w:rsidR="00267E72">
        <w:rPr>
          <w:rFonts w:cs="Arial"/>
        </w:rPr>
        <w:t xml:space="preserve">that are in place </w:t>
      </w:r>
      <w:r>
        <w:rPr>
          <w:rFonts w:cs="Arial"/>
        </w:rPr>
        <w:t xml:space="preserve">to </w:t>
      </w:r>
      <w:r w:rsidR="00AD3216">
        <w:rPr>
          <w:rFonts w:cs="Arial"/>
        </w:rPr>
        <w:t>c</w:t>
      </w:r>
      <w:r>
        <w:rPr>
          <w:rFonts w:cs="Arial"/>
        </w:rPr>
        <w:t xml:space="preserve">ounter </w:t>
      </w:r>
      <w:r w:rsidR="00F272FE">
        <w:rPr>
          <w:rFonts w:cs="Arial"/>
        </w:rPr>
        <w:t>f</w:t>
      </w:r>
      <w:r>
        <w:rPr>
          <w:rFonts w:cs="Arial"/>
        </w:rPr>
        <w:t>raud</w:t>
      </w:r>
      <w:r w:rsidR="004F6C8A">
        <w:rPr>
          <w:rFonts w:cs="Arial"/>
        </w:rPr>
        <w:t xml:space="preserve"> </w:t>
      </w:r>
      <w:r w:rsidR="003C0B8A">
        <w:rPr>
          <w:rFonts w:cs="Arial"/>
        </w:rPr>
        <w:t xml:space="preserve">and economic crime </w:t>
      </w:r>
      <w:r w:rsidR="004F6C8A">
        <w:rPr>
          <w:rFonts w:cs="Arial"/>
        </w:rPr>
        <w:t>to</w:t>
      </w:r>
      <w:r w:rsidR="00F272FE">
        <w:rPr>
          <w:rFonts w:cs="Arial"/>
        </w:rPr>
        <w:t xml:space="preserve"> seek to</w:t>
      </w:r>
      <w:r w:rsidR="004F6C8A">
        <w:rPr>
          <w:rFonts w:cs="Arial"/>
        </w:rPr>
        <w:t xml:space="preserve"> provide assurance </w:t>
      </w:r>
      <w:r w:rsidR="00267E72">
        <w:rPr>
          <w:rFonts w:cs="Arial"/>
        </w:rPr>
        <w:t xml:space="preserve">that we have reasonable measures in place </w:t>
      </w:r>
      <w:r w:rsidR="00E93D84">
        <w:rPr>
          <w:rFonts w:cs="Arial"/>
        </w:rPr>
        <w:t xml:space="preserve">and any recommendations for additional controls </w:t>
      </w:r>
      <w:r w:rsidR="00267E72">
        <w:rPr>
          <w:rFonts w:cs="Arial"/>
        </w:rPr>
        <w:t>to prevent the Health Board potentially being prosecuted for the Offence of Failure to Prevent Fraud.</w:t>
      </w:r>
    </w:p>
    <w:p w14:paraId="37364337" w14:textId="77777777" w:rsidR="00782047" w:rsidRPr="00782047" w:rsidRDefault="00782047" w:rsidP="002B5BFC">
      <w:pPr>
        <w:pStyle w:val="ListParagraph"/>
        <w:jc w:val="both"/>
        <w:rPr>
          <w:rFonts w:cs="Arial"/>
          <w:b/>
        </w:rPr>
      </w:pPr>
    </w:p>
    <w:p w14:paraId="37BD5A24" w14:textId="77777777" w:rsidR="00782047" w:rsidRPr="00782047" w:rsidRDefault="00990701" w:rsidP="00C6531E">
      <w:pPr>
        <w:pStyle w:val="ListParagraph"/>
        <w:numPr>
          <w:ilvl w:val="0"/>
          <w:numId w:val="2"/>
        </w:numPr>
        <w:spacing w:line="360" w:lineRule="auto"/>
        <w:jc w:val="both"/>
        <w:rPr>
          <w:rFonts w:cs="Arial"/>
        </w:rPr>
      </w:pPr>
      <w:r w:rsidRPr="00782047">
        <w:rPr>
          <w:rFonts w:cs="Arial"/>
          <w:b/>
        </w:rPr>
        <w:t>BACKGROUND</w:t>
      </w:r>
    </w:p>
    <w:p w14:paraId="7637EF1E" w14:textId="77777777" w:rsidR="00782047" w:rsidRPr="00782047" w:rsidRDefault="00782047" w:rsidP="002B5BFC">
      <w:pPr>
        <w:pStyle w:val="ListParagraph"/>
        <w:spacing w:line="360" w:lineRule="auto"/>
        <w:ind w:left="360"/>
        <w:jc w:val="both"/>
        <w:rPr>
          <w:rFonts w:cs="Arial"/>
        </w:rPr>
      </w:pPr>
    </w:p>
    <w:p w14:paraId="18C0642B" w14:textId="072B3EB0" w:rsidR="00A678AB" w:rsidRDefault="00A678AB" w:rsidP="001B66D4">
      <w:pPr>
        <w:pStyle w:val="ListParagraph"/>
        <w:numPr>
          <w:ilvl w:val="1"/>
          <w:numId w:val="2"/>
        </w:numPr>
        <w:spacing w:line="360" w:lineRule="auto"/>
        <w:ind w:hanging="792"/>
        <w:jc w:val="both"/>
        <w:rPr>
          <w:rFonts w:cs="Arial"/>
        </w:rPr>
      </w:pPr>
      <w:r>
        <w:rPr>
          <w:rFonts w:cs="Arial"/>
        </w:rPr>
        <w:t xml:space="preserve">In June 2022 the Law Commission published a </w:t>
      </w:r>
      <w:r w:rsidR="00B67A21">
        <w:rPr>
          <w:rFonts w:cs="Arial"/>
        </w:rPr>
        <w:t xml:space="preserve">paper </w:t>
      </w:r>
      <w:r w:rsidR="00DE7ABB">
        <w:rPr>
          <w:rFonts w:cs="Arial"/>
        </w:rPr>
        <w:t xml:space="preserve">entitled “Corporate Criminal Liability: an options paper” which examined options for improvement to the law with the aim of ensuring corporations are effectively held to account </w:t>
      </w:r>
      <w:r w:rsidR="00705427">
        <w:rPr>
          <w:rFonts w:cs="Arial"/>
        </w:rPr>
        <w:t>for committing serious crimes.</w:t>
      </w:r>
    </w:p>
    <w:p w14:paraId="7B5A1C0D" w14:textId="77777777" w:rsidR="00B67A21" w:rsidRDefault="00B67A21" w:rsidP="00B67A21">
      <w:pPr>
        <w:pStyle w:val="ListParagraph"/>
        <w:spacing w:line="360" w:lineRule="auto"/>
        <w:ind w:left="792"/>
        <w:jc w:val="both"/>
        <w:rPr>
          <w:rFonts w:cs="Arial"/>
        </w:rPr>
      </w:pPr>
    </w:p>
    <w:p w14:paraId="7AA31A9A" w14:textId="106B1166" w:rsidR="00932EB2" w:rsidRDefault="00705427" w:rsidP="00932EB2">
      <w:pPr>
        <w:pStyle w:val="ListParagraph"/>
        <w:numPr>
          <w:ilvl w:val="1"/>
          <w:numId w:val="2"/>
        </w:numPr>
        <w:spacing w:line="360" w:lineRule="auto"/>
        <w:ind w:hanging="792"/>
        <w:jc w:val="both"/>
        <w:rPr>
          <w:rFonts w:cs="Arial"/>
        </w:rPr>
      </w:pPr>
      <w:r>
        <w:rPr>
          <w:rFonts w:cs="Arial"/>
        </w:rPr>
        <w:t xml:space="preserve">This led to the creation of ECCTA </w:t>
      </w:r>
      <w:r w:rsidR="00F565AB">
        <w:rPr>
          <w:rFonts w:cs="Arial"/>
        </w:rPr>
        <w:t xml:space="preserve">2023 and </w:t>
      </w:r>
      <w:r w:rsidR="00932EB2">
        <w:rPr>
          <w:rFonts w:cs="Arial"/>
        </w:rPr>
        <w:t>the corporate offence of failure to prevent fraud. The aim of the offence is to drive a change in corporate culture by encouraging more companies to implement or improve fraud prevention procedures.</w:t>
      </w:r>
    </w:p>
    <w:p w14:paraId="3DDA8F57" w14:textId="77777777" w:rsidR="009F3476" w:rsidRPr="009F3476" w:rsidRDefault="009F3476" w:rsidP="009F3476">
      <w:pPr>
        <w:pStyle w:val="ListParagraph"/>
        <w:rPr>
          <w:rFonts w:cs="Arial"/>
        </w:rPr>
      </w:pPr>
    </w:p>
    <w:p w14:paraId="76874121" w14:textId="09C40030" w:rsidR="009F3476" w:rsidRPr="009F3476" w:rsidRDefault="009F3476" w:rsidP="009F3476">
      <w:pPr>
        <w:spacing w:line="360" w:lineRule="auto"/>
        <w:jc w:val="center"/>
        <w:rPr>
          <w:rFonts w:cs="Arial"/>
          <w:b/>
          <w:bCs/>
        </w:rPr>
      </w:pPr>
      <w:r w:rsidRPr="009F3476">
        <w:rPr>
          <w:rFonts w:cs="Arial"/>
          <w:b/>
          <w:bCs/>
        </w:rPr>
        <w:t>The Offence</w:t>
      </w:r>
    </w:p>
    <w:p w14:paraId="1C75580A" w14:textId="6F533599" w:rsidR="009F3476" w:rsidRPr="009F3476" w:rsidRDefault="00E82B89" w:rsidP="00E82B89">
      <w:pPr>
        <w:pStyle w:val="ListParagraph"/>
        <w:numPr>
          <w:ilvl w:val="1"/>
          <w:numId w:val="2"/>
        </w:numPr>
        <w:spacing w:line="360" w:lineRule="auto"/>
        <w:ind w:hanging="792"/>
        <w:jc w:val="both"/>
        <w:rPr>
          <w:rFonts w:cs="Arial"/>
          <w:i/>
          <w:iCs/>
        </w:rPr>
      </w:pPr>
      <w:r>
        <w:rPr>
          <w:rFonts w:cs="Arial"/>
        </w:rPr>
        <w:t xml:space="preserve">Section 199 </w:t>
      </w:r>
      <w:r w:rsidR="009F3476">
        <w:rPr>
          <w:rFonts w:cs="Arial"/>
        </w:rPr>
        <w:t xml:space="preserve">(1) and (2) </w:t>
      </w:r>
      <w:r>
        <w:rPr>
          <w:rFonts w:cs="Arial"/>
        </w:rPr>
        <w:t xml:space="preserve">of ECCTA 2023 defines the </w:t>
      </w:r>
      <w:r w:rsidR="006F2391">
        <w:rPr>
          <w:rFonts w:cs="Arial"/>
        </w:rPr>
        <w:t xml:space="preserve">2 ways in which the </w:t>
      </w:r>
      <w:r>
        <w:rPr>
          <w:rFonts w:cs="Arial"/>
        </w:rPr>
        <w:t>failure to prevent fraud offence</w:t>
      </w:r>
      <w:r w:rsidR="009F3476">
        <w:rPr>
          <w:rFonts w:cs="Arial"/>
        </w:rPr>
        <w:t xml:space="preserve"> can be committed</w:t>
      </w:r>
      <w:r w:rsidR="000B1189">
        <w:rPr>
          <w:rFonts w:cs="Arial"/>
        </w:rPr>
        <w:t xml:space="preserve">:- </w:t>
      </w:r>
    </w:p>
    <w:p w14:paraId="5CBF4961" w14:textId="77777777" w:rsidR="009F3476" w:rsidRPr="009F3476" w:rsidRDefault="009F3476" w:rsidP="009F3476">
      <w:pPr>
        <w:pStyle w:val="ListParagraph"/>
        <w:rPr>
          <w:rFonts w:cs="Arial"/>
          <w:i/>
          <w:iCs/>
        </w:rPr>
      </w:pPr>
    </w:p>
    <w:p w14:paraId="369D60CD" w14:textId="4C39189E" w:rsidR="00E55ABE" w:rsidRPr="00E55ABE" w:rsidRDefault="000B1189" w:rsidP="00E55ABE">
      <w:pPr>
        <w:pStyle w:val="ListParagraph"/>
        <w:numPr>
          <w:ilvl w:val="2"/>
          <w:numId w:val="2"/>
        </w:numPr>
        <w:spacing w:line="360" w:lineRule="auto"/>
        <w:ind w:left="1418" w:hanging="709"/>
        <w:jc w:val="both"/>
        <w:rPr>
          <w:rFonts w:cs="Arial"/>
          <w:i/>
          <w:iCs/>
        </w:rPr>
      </w:pPr>
      <w:r>
        <w:rPr>
          <w:rFonts w:cs="Arial"/>
        </w:rPr>
        <w:t xml:space="preserve">Section 199(1) is aimed at large organisations and states that </w:t>
      </w:r>
      <w:r w:rsidR="00E55ABE">
        <w:rPr>
          <w:rFonts w:cs="Arial"/>
        </w:rPr>
        <w:t>an offence is committed where:-</w:t>
      </w:r>
    </w:p>
    <w:p w14:paraId="31A3EC54" w14:textId="3BD92D61" w:rsidR="00E55ABE" w:rsidRPr="00E55ABE" w:rsidRDefault="00E55ABE" w:rsidP="00BB15C2">
      <w:pPr>
        <w:pStyle w:val="ListParagraph"/>
        <w:numPr>
          <w:ilvl w:val="3"/>
          <w:numId w:val="2"/>
        </w:numPr>
        <w:tabs>
          <w:tab w:val="left" w:pos="2552"/>
        </w:tabs>
        <w:spacing w:line="360" w:lineRule="auto"/>
        <w:ind w:left="2552" w:hanging="1134"/>
        <w:jc w:val="both"/>
        <w:rPr>
          <w:rFonts w:cs="Arial"/>
        </w:rPr>
      </w:pPr>
      <w:r w:rsidRPr="00E55ABE">
        <w:rPr>
          <w:rFonts w:cs="Arial"/>
        </w:rPr>
        <w:t xml:space="preserve">the </w:t>
      </w:r>
      <w:r w:rsidR="00E82B89" w:rsidRPr="00E55ABE">
        <w:rPr>
          <w:rFonts w:cs="Arial"/>
        </w:rPr>
        <w:t xml:space="preserve"> relevant body</w:t>
      </w:r>
      <w:r w:rsidRPr="00E55ABE">
        <w:rPr>
          <w:rFonts w:cs="Arial"/>
        </w:rPr>
        <w:t xml:space="preserve"> </w:t>
      </w:r>
      <w:r w:rsidR="00E82B89" w:rsidRPr="00E55ABE">
        <w:rPr>
          <w:rFonts w:cs="Arial"/>
        </w:rPr>
        <w:t xml:space="preserve">is a large organisation </w:t>
      </w:r>
    </w:p>
    <w:p w14:paraId="63A9A81A" w14:textId="2825F1F0" w:rsidR="00E55ABE" w:rsidRPr="00E55ABE" w:rsidRDefault="00E55ABE" w:rsidP="00E55ABE">
      <w:pPr>
        <w:pStyle w:val="ListParagraph"/>
        <w:numPr>
          <w:ilvl w:val="3"/>
          <w:numId w:val="2"/>
        </w:numPr>
        <w:tabs>
          <w:tab w:val="left" w:pos="2552"/>
        </w:tabs>
        <w:spacing w:line="360" w:lineRule="auto"/>
        <w:ind w:left="2552" w:hanging="1134"/>
        <w:jc w:val="both"/>
        <w:rPr>
          <w:rFonts w:cs="Arial"/>
        </w:rPr>
      </w:pPr>
      <w:r w:rsidRPr="00E55ABE">
        <w:rPr>
          <w:rFonts w:cs="Arial"/>
        </w:rPr>
        <w:t>an associate of that relevant body commits a fraud offence</w:t>
      </w:r>
    </w:p>
    <w:p w14:paraId="7B734672" w14:textId="77777777" w:rsidR="00E55ABE" w:rsidRPr="00E55ABE" w:rsidRDefault="00E55ABE" w:rsidP="00E55ABE">
      <w:pPr>
        <w:pStyle w:val="ListParagraph"/>
        <w:numPr>
          <w:ilvl w:val="3"/>
          <w:numId w:val="2"/>
        </w:numPr>
        <w:tabs>
          <w:tab w:val="left" w:pos="2552"/>
        </w:tabs>
        <w:spacing w:line="360" w:lineRule="auto"/>
        <w:ind w:left="2552" w:hanging="1134"/>
        <w:jc w:val="both"/>
        <w:rPr>
          <w:rFonts w:cs="Arial"/>
        </w:rPr>
      </w:pPr>
      <w:r w:rsidRPr="00E55ABE">
        <w:rPr>
          <w:rFonts w:cs="Arial"/>
        </w:rPr>
        <w:t>the fraud offence takes place during a financial year of the relevant body</w:t>
      </w:r>
    </w:p>
    <w:p w14:paraId="6283A210" w14:textId="099BF159" w:rsidR="00E55ABE" w:rsidRPr="00E55ABE" w:rsidRDefault="00E55ABE" w:rsidP="00E55ABE">
      <w:pPr>
        <w:pStyle w:val="ListParagraph"/>
        <w:numPr>
          <w:ilvl w:val="3"/>
          <w:numId w:val="2"/>
        </w:numPr>
        <w:tabs>
          <w:tab w:val="left" w:pos="2552"/>
        </w:tabs>
        <w:spacing w:line="360" w:lineRule="auto"/>
        <w:ind w:left="2552" w:hanging="1134"/>
        <w:jc w:val="both"/>
        <w:rPr>
          <w:rFonts w:cs="Arial"/>
        </w:rPr>
      </w:pPr>
      <w:r w:rsidRPr="00E55ABE">
        <w:rPr>
          <w:rFonts w:cs="Arial"/>
        </w:rPr>
        <w:t>the fraud offence is committed with the intention to benefit, either directly or indirectly</w:t>
      </w:r>
      <w:r w:rsidR="00E82B89" w:rsidRPr="00E55ABE">
        <w:rPr>
          <w:rFonts w:cs="Arial"/>
        </w:rPr>
        <w:t xml:space="preserve"> the relevant body or any person to whom, or to whose subsidiary undertaking, the </w:t>
      </w:r>
      <w:r w:rsidR="006F2391" w:rsidRPr="00E55ABE">
        <w:rPr>
          <w:rFonts w:cs="Arial"/>
        </w:rPr>
        <w:t xml:space="preserve">associate </w:t>
      </w:r>
      <w:r w:rsidR="00E82B89" w:rsidRPr="00E55ABE">
        <w:rPr>
          <w:rFonts w:cs="Arial"/>
        </w:rPr>
        <w:t>provides services on behalf of the relevant body.</w:t>
      </w:r>
    </w:p>
    <w:p w14:paraId="3E8697EF" w14:textId="77777777" w:rsidR="00E55ABE" w:rsidRPr="00E55ABE" w:rsidRDefault="00E55ABE" w:rsidP="00E55ABE">
      <w:pPr>
        <w:pStyle w:val="ListParagraph"/>
        <w:tabs>
          <w:tab w:val="left" w:pos="2552"/>
        </w:tabs>
        <w:spacing w:line="360" w:lineRule="auto"/>
        <w:ind w:left="2552"/>
        <w:jc w:val="both"/>
        <w:rPr>
          <w:rFonts w:cs="Arial"/>
          <w:i/>
          <w:iCs/>
        </w:rPr>
      </w:pPr>
    </w:p>
    <w:p w14:paraId="621BCD8A" w14:textId="2B655E73" w:rsidR="00BB15C2" w:rsidRPr="00BB15C2" w:rsidRDefault="000B1189" w:rsidP="000B1189">
      <w:pPr>
        <w:pStyle w:val="ListParagraph"/>
        <w:numPr>
          <w:ilvl w:val="2"/>
          <w:numId w:val="2"/>
        </w:numPr>
        <w:spacing w:line="360" w:lineRule="auto"/>
        <w:ind w:left="1418" w:hanging="709"/>
        <w:jc w:val="both"/>
        <w:rPr>
          <w:rFonts w:cs="Arial"/>
          <w:i/>
          <w:iCs/>
        </w:rPr>
      </w:pPr>
      <w:r>
        <w:rPr>
          <w:rFonts w:cs="Arial"/>
        </w:rPr>
        <w:t>Section  199(2) is aimed at capturing parent companies when employees of their subsidiaries commit fraud</w:t>
      </w:r>
      <w:r w:rsidR="00BB15C2">
        <w:rPr>
          <w:rFonts w:cs="Arial"/>
        </w:rPr>
        <w:t>. It provides that a relevant body will be guilty of failure to prevent fraud where</w:t>
      </w:r>
      <w:r w:rsidR="00EA420A">
        <w:rPr>
          <w:rFonts w:cs="Arial"/>
        </w:rPr>
        <w:t>:-</w:t>
      </w:r>
    </w:p>
    <w:p w14:paraId="32649D1B" w14:textId="77777777" w:rsidR="00390AFA" w:rsidRPr="00390AFA" w:rsidRDefault="00BB15C2" w:rsidP="00390AFA">
      <w:pPr>
        <w:pStyle w:val="ListParagraph"/>
        <w:numPr>
          <w:ilvl w:val="3"/>
          <w:numId w:val="2"/>
        </w:numPr>
        <w:tabs>
          <w:tab w:val="left" w:pos="2552"/>
        </w:tabs>
        <w:spacing w:line="360" w:lineRule="auto"/>
        <w:ind w:left="2552" w:hanging="1134"/>
        <w:jc w:val="both"/>
        <w:rPr>
          <w:rFonts w:cs="Arial"/>
          <w:i/>
          <w:iCs/>
        </w:rPr>
      </w:pPr>
      <w:r>
        <w:rPr>
          <w:rFonts w:cs="Arial"/>
        </w:rPr>
        <w:t xml:space="preserve">an employee of the relevant body commits a fraud offence intending </w:t>
      </w:r>
      <w:r w:rsidR="00390AFA">
        <w:rPr>
          <w:rFonts w:cs="Arial"/>
        </w:rPr>
        <w:t>to benefit, either directly or indirectly, the relevant body</w:t>
      </w:r>
    </w:p>
    <w:p w14:paraId="2D8D833C" w14:textId="77777777" w:rsidR="00390AFA" w:rsidRPr="00390AFA" w:rsidRDefault="00390AFA" w:rsidP="00390AFA">
      <w:pPr>
        <w:pStyle w:val="ListParagraph"/>
        <w:numPr>
          <w:ilvl w:val="3"/>
          <w:numId w:val="2"/>
        </w:numPr>
        <w:tabs>
          <w:tab w:val="left" w:pos="2552"/>
        </w:tabs>
        <w:spacing w:line="360" w:lineRule="auto"/>
        <w:ind w:left="2552" w:hanging="1134"/>
        <w:jc w:val="both"/>
        <w:rPr>
          <w:rFonts w:cs="Arial"/>
          <w:i/>
          <w:iCs/>
        </w:rPr>
      </w:pPr>
      <w:r>
        <w:rPr>
          <w:rFonts w:cs="Arial"/>
        </w:rPr>
        <w:t xml:space="preserve">the fraud offence takes place during a financial year of a parent undertaking of which the relevant body is a subsidiary undertaking, and </w:t>
      </w:r>
    </w:p>
    <w:p w14:paraId="637CFE12" w14:textId="4E4109ED" w:rsidR="008618A6" w:rsidRPr="00940360" w:rsidRDefault="00390AFA" w:rsidP="00940360">
      <w:pPr>
        <w:pStyle w:val="ListParagraph"/>
        <w:numPr>
          <w:ilvl w:val="3"/>
          <w:numId w:val="2"/>
        </w:numPr>
        <w:tabs>
          <w:tab w:val="left" w:pos="2552"/>
        </w:tabs>
        <w:spacing w:line="360" w:lineRule="auto"/>
        <w:ind w:left="1418" w:firstLine="0"/>
        <w:jc w:val="both"/>
        <w:rPr>
          <w:rFonts w:cs="Arial"/>
          <w:i/>
          <w:iCs/>
        </w:rPr>
      </w:pPr>
      <w:r w:rsidRPr="00390AFA">
        <w:rPr>
          <w:rFonts w:cs="Arial"/>
        </w:rPr>
        <w:lastRenderedPageBreak/>
        <w:t>the parent undertaking is a relevant body which is a large organisation</w:t>
      </w:r>
    </w:p>
    <w:p w14:paraId="2927AAEA" w14:textId="0A0337DE" w:rsidR="00B214F5" w:rsidRDefault="00B214F5" w:rsidP="00B214F5">
      <w:pPr>
        <w:pStyle w:val="ListParagraph"/>
        <w:tabs>
          <w:tab w:val="left" w:pos="2552"/>
        </w:tabs>
        <w:spacing w:line="360" w:lineRule="auto"/>
        <w:ind w:left="1418"/>
        <w:jc w:val="both"/>
        <w:rPr>
          <w:rFonts w:cs="Arial"/>
        </w:rPr>
      </w:pPr>
    </w:p>
    <w:p w14:paraId="3882E5F0" w14:textId="535887B7" w:rsidR="00B214F5" w:rsidRDefault="00B214F5" w:rsidP="00B214F5">
      <w:pPr>
        <w:pStyle w:val="ListParagraph"/>
        <w:tabs>
          <w:tab w:val="left" w:pos="2552"/>
        </w:tabs>
        <w:spacing w:line="360" w:lineRule="auto"/>
        <w:ind w:left="0"/>
        <w:jc w:val="center"/>
        <w:rPr>
          <w:rFonts w:cs="Arial"/>
          <w:b/>
          <w:bCs/>
        </w:rPr>
      </w:pPr>
      <w:r w:rsidRPr="00B214F5">
        <w:rPr>
          <w:rFonts w:cs="Arial"/>
          <w:b/>
          <w:bCs/>
        </w:rPr>
        <w:t>Large Organisations</w:t>
      </w:r>
    </w:p>
    <w:p w14:paraId="412D4820" w14:textId="18C75B2A" w:rsidR="00B214F5" w:rsidRDefault="002F6061" w:rsidP="00B214F5">
      <w:pPr>
        <w:pStyle w:val="ListParagraph"/>
        <w:numPr>
          <w:ilvl w:val="1"/>
          <w:numId w:val="2"/>
        </w:numPr>
        <w:tabs>
          <w:tab w:val="left" w:pos="2552"/>
        </w:tabs>
        <w:spacing w:line="360" w:lineRule="auto"/>
        <w:ind w:hanging="792"/>
        <w:jc w:val="both"/>
        <w:rPr>
          <w:rFonts w:cs="Arial"/>
        </w:rPr>
      </w:pPr>
      <w:r>
        <w:rPr>
          <w:rFonts w:cs="Arial"/>
        </w:rPr>
        <w:t xml:space="preserve">The offence is applicable to all sectors but specifically ‘large </w:t>
      </w:r>
      <w:r w:rsidR="00265484">
        <w:rPr>
          <w:rFonts w:cs="Arial"/>
        </w:rPr>
        <w:t>organisations</w:t>
      </w:r>
      <w:r>
        <w:rPr>
          <w:rFonts w:cs="Arial"/>
        </w:rPr>
        <w:t>.</w:t>
      </w:r>
      <w:r w:rsidR="00265484">
        <w:rPr>
          <w:rFonts w:cs="Arial"/>
        </w:rPr>
        <w:t>’</w:t>
      </w:r>
      <w:r>
        <w:rPr>
          <w:rFonts w:cs="Arial"/>
        </w:rPr>
        <w:t xml:space="preserve"> </w:t>
      </w:r>
      <w:r w:rsidR="00B214F5" w:rsidRPr="00B214F5">
        <w:rPr>
          <w:rFonts w:cs="Arial"/>
        </w:rPr>
        <w:t xml:space="preserve">Section </w:t>
      </w:r>
      <w:r w:rsidR="00B214F5">
        <w:rPr>
          <w:rFonts w:cs="Arial"/>
        </w:rPr>
        <w:t xml:space="preserve">201 of ECCTA 2023 </w:t>
      </w:r>
      <w:r w:rsidR="00214E88">
        <w:rPr>
          <w:rFonts w:cs="Arial"/>
        </w:rPr>
        <w:t>defines a large organisation as an organisation that meet</w:t>
      </w:r>
      <w:r w:rsidR="00E93D84">
        <w:rPr>
          <w:rFonts w:cs="Arial"/>
        </w:rPr>
        <w:t xml:space="preserve">s </w:t>
      </w:r>
      <w:r w:rsidR="00C005A2">
        <w:rPr>
          <w:rFonts w:cs="Arial"/>
        </w:rPr>
        <w:t>two</w:t>
      </w:r>
      <w:r w:rsidR="00214E88">
        <w:rPr>
          <w:rFonts w:cs="Arial"/>
        </w:rPr>
        <w:t xml:space="preserve"> or three of the following criteria</w:t>
      </w:r>
    </w:p>
    <w:p w14:paraId="4B487044" w14:textId="44EE90BD" w:rsidR="00214E88" w:rsidRDefault="00214E88" w:rsidP="00C005A2">
      <w:pPr>
        <w:pStyle w:val="ListParagraph"/>
        <w:numPr>
          <w:ilvl w:val="2"/>
          <w:numId w:val="2"/>
        </w:numPr>
        <w:tabs>
          <w:tab w:val="left" w:pos="2552"/>
        </w:tabs>
        <w:spacing w:line="360" w:lineRule="auto"/>
        <w:ind w:hanging="373"/>
        <w:jc w:val="both"/>
        <w:rPr>
          <w:rFonts w:cs="Arial"/>
        </w:rPr>
      </w:pPr>
      <w:r>
        <w:rPr>
          <w:rFonts w:cs="Arial"/>
        </w:rPr>
        <w:t>More than 250 employees</w:t>
      </w:r>
    </w:p>
    <w:p w14:paraId="105E630C" w14:textId="77777777" w:rsidR="00214E88" w:rsidRDefault="00214E88" w:rsidP="00C005A2">
      <w:pPr>
        <w:pStyle w:val="ListParagraph"/>
        <w:numPr>
          <w:ilvl w:val="2"/>
          <w:numId w:val="2"/>
        </w:numPr>
        <w:tabs>
          <w:tab w:val="left" w:pos="2552"/>
        </w:tabs>
        <w:spacing w:line="360" w:lineRule="auto"/>
        <w:ind w:hanging="373"/>
        <w:jc w:val="both"/>
        <w:rPr>
          <w:rFonts w:cs="Arial"/>
        </w:rPr>
      </w:pPr>
      <w:r>
        <w:rPr>
          <w:rFonts w:cs="Arial"/>
        </w:rPr>
        <w:t>More than £36 million in turnover</w:t>
      </w:r>
    </w:p>
    <w:p w14:paraId="3807E166" w14:textId="50F8E4EE" w:rsidR="00B214F5" w:rsidRDefault="00214E88" w:rsidP="00C005A2">
      <w:pPr>
        <w:pStyle w:val="ListParagraph"/>
        <w:numPr>
          <w:ilvl w:val="2"/>
          <w:numId w:val="2"/>
        </w:numPr>
        <w:tabs>
          <w:tab w:val="left" w:pos="2552"/>
        </w:tabs>
        <w:spacing w:line="360" w:lineRule="auto"/>
        <w:ind w:hanging="373"/>
        <w:jc w:val="both"/>
        <w:rPr>
          <w:rFonts w:cs="Arial"/>
        </w:rPr>
      </w:pPr>
      <w:r>
        <w:rPr>
          <w:rFonts w:cs="Arial"/>
        </w:rPr>
        <w:t xml:space="preserve">More than £18 million in total assets </w:t>
      </w:r>
    </w:p>
    <w:p w14:paraId="77736C61" w14:textId="77777777" w:rsidR="00C005A2" w:rsidRDefault="00C005A2" w:rsidP="00C005A2">
      <w:pPr>
        <w:pStyle w:val="ListParagraph"/>
        <w:tabs>
          <w:tab w:val="left" w:pos="2552"/>
        </w:tabs>
        <w:spacing w:line="360" w:lineRule="auto"/>
        <w:ind w:left="1224"/>
        <w:jc w:val="both"/>
        <w:rPr>
          <w:rFonts w:cs="Arial"/>
        </w:rPr>
      </w:pPr>
    </w:p>
    <w:p w14:paraId="5A7431D7" w14:textId="27351167" w:rsidR="00C005A2" w:rsidRDefault="00C005A2" w:rsidP="00C005A2">
      <w:pPr>
        <w:pStyle w:val="ListParagraph"/>
        <w:numPr>
          <w:ilvl w:val="1"/>
          <w:numId w:val="2"/>
        </w:numPr>
        <w:tabs>
          <w:tab w:val="left" w:pos="2552"/>
        </w:tabs>
        <w:spacing w:line="360" w:lineRule="auto"/>
        <w:ind w:left="709" w:hanging="792"/>
        <w:jc w:val="both"/>
        <w:rPr>
          <w:rFonts w:cs="Arial"/>
        </w:rPr>
      </w:pPr>
      <w:r>
        <w:rPr>
          <w:rFonts w:cs="Arial"/>
        </w:rPr>
        <w:t xml:space="preserve">The above criteria </w:t>
      </w:r>
      <w:r w:rsidR="007851BC">
        <w:rPr>
          <w:rFonts w:cs="Arial"/>
        </w:rPr>
        <w:t>appl</w:t>
      </w:r>
      <w:r w:rsidR="00D24FCF">
        <w:rPr>
          <w:rFonts w:cs="Arial"/>
        </w:rPr>
        <w:t>y</w:t>
      </w:r>
      <w:r w:rsidR="00AD3216">
        <w:rPr>
          <w:rFonts w:cs="Arial"/>
        </w:rPr>
        <w:t xml:space="preserve"> </w:t>
      </w:r>
      <w:r>
        <w:rPr>
          <w:rFonts w:cs="Arial"/>
        </w:rPr>
        <w:t>to the whole organisation, including subsidiaries, regardless of where the organisation is headquartered or subsidiaries are located.</w:t>
      </w:r>
    </w:p>
    <w:p w14:paraId="25BA98CC" w14:textId="3FF01BF6" w:rsidR="00C005A2" w:rsidRDefault="00C005A2" w:rsidP="00C005A2">
      <w:pPr>
        <w:pStyle w:val="ListParagraph"/>
        <w:tabs>
          <w:tab w:val="left" w:pos="2552"/>
        </w:tabs>
        <w:spacing w:line="360" w:lineRule="auto"/>
        <w:ind w:left="709"/>
        <w:jc w:val="both"/>
        <w:rPr>
          <w:rFonts w:cs="Arial"/>
        </w:rPr>
      </w:pPr>
    </w:p>
    <w:p w14:paraId="796D7AF7" w14:textId="0E397449" w:rsidR="00C005A2" w:rsidRPr="00C005A2" w:rsidRDefault="00C005A2" w:rsidP="00A734CC">
      <w:pPr>
        <w:pStyle w:val="ListParagraph"/>
        <w:tabs>
          <w:tab w:val="left" w:pos="2552"/>
        </w:tabs>
        <w:spacing w:line="360" w:lineRule="auto"/>
        <w:ind w:left="709"/>
        <w:jc w:val="center"/>
        <w:rPr>
          <w:rFonts w:cs="Arial"/>
          <w:b/>
          <w:bCs/>
        </w:rPr>
      </w:pPr>
      <w:r w:rsidRPr="00C005A2">
        <w:rPr>
          <w:rFonts w:cs="Arial"/>
          <w:b/>
          <w:bCs/>
        </w:rPr>
        <w:t>Fraud</w:t>
      </w:r>
      <w:r w:rsidR="007851BC">
        <w:rPr>
          <w:rFonts w:cs="Arial"/>
          <w:b/>
          <w:bCs/>
        </w:rPr>
        <w:t xml:space="preserve"> Offences</w:t>
      </w:r>
    </w:p>
    <w:p w14:paraId="2014F17B" w14:textId="566441C2" w:rsidR="00C005A2" w:rsidRDefault="002414BE" w:rsidP="006D2186">
      <w:pPr>
        <w:pStyle w:val="ListParagraph"/>
        <w:numPr>
          <w:ilvl w:val="1"/>
          <w:numId w:val="2"/>
        </w:numPr>
        <w:tabs>
          <w:tab w:val="left" w:pos="2552"/>
        </w:tabs>
        <w:spacing w:line="360" w:lineRule="auto"/>
        <w:ind w:left="709" w:hanging="792"/>
        <w:jc w:val="both"/>
        <w:rPr>
          <w:rFonts w:cs="Arial"/>
        </w:rPr>
      </w:pPr>
      <w:r>
        <w:rPr>
          <w:rFonts w:cs="Arial"/>
        </w:rPr>
        <w:t xml:space="preserve">ECCTA 2023 </w:t>
      </w:r>
      <w:r w:rsidR="007851BC">
        <w:rPr>
          <w:rFonts w:cs="Arial"/>
        </w:rPr>
        <w:t xml:space="preserve">refers to ‘fraud offences’ and </w:t>
      </w:r>
      <w:r w:rsidR="00CB1776">
        <w:rPr>
          <w:rFonts w:cs="Arial"/>
        </w:rPr>
        <w:t>these are</w:t>
      </w:r>
      <w:r w:rsidR="007851BC">
        <w:rPr>
          <w:rFonts w:cs="Arial"/>
        </w:rPr>
        <w:t xml:space="preserve"> defined </w:t>
      </w:r>
      <w:r>
        <w:rPr>
          <w:rFonts w:cs="Arial"/>
        </w:rPr>
        <w:t xml:space="preserve">at Section 199(6) </w:t>
      </w:r>
      <w:r w:rsidR="007851BC">
        <w:rPr>
          <w:rFonts w:cs="Arial"/>
        </w:rPr>
        <w:t xml:space="preserve">as any of the fraud and false accounting offences outlined in Schedule 13 </w:t>
      </w:r>
      <w:r>
        <w:rPr>
          <w:rFonts w:cs="Arial"/>
        </w:rPr>
        <w:t xml:space="preserve">of ECCTA 2023 including the aiding, abetting, </w:t>
      </w:r>
      <w:r w:rsidR="00BC3AA1">
        <w:rPr>
          <w:rFonts w:cs="Arial"/>
        </w:rPr>
        <w:t>counselling,</w:t>
      </w:r>
      <w:r>
        <w:rPr>
          <w:rFonts w:cs="Arial"/>
        </w:rPr>
        <w:t xml:space="preserve"> or procuring the commission of any of those offences. </w:t>
      </w:r>
      <w:r w:rsidR="007851BC" w:rsidRPr="006D2186">
        <w:rPr>
          <w:rFonts w:cs="Arial"/>
        </w:rPr>
        <w:t xml:space="preserve">The guidance issued by the government </w:t>
      </w:r>
      <w:r w:rsidRPr="006D2186">
        <w:rPr>
          <w:rFonts w:cs="Arial"/>
        </w:rPr>
        <w:t xml:space="preserve">confirms that </w:t>
      </w:r>
      <w:r w:rsidR="007851BC" w:rsidRPr="006D2186">
        <w:rPr>
          <w:rFonts w:cs="Arial"/>
        </w:rPr>
        <w:t>these</w:t>
      </w:r>
      <w:r w:rsidRPr="006D2186">
        <w:rPr>
          <w:rFonts w:cs="Arial"/>
        </w:rPr>
        <w:t xml:space="preserve"> are known</w:t>
      </w:r>
      <w:r w:rsidR="007851BC" w:rsidRPr="006D2186">
        <w:rPr>
          <w:rFonts w:cs="Arial"/>
        </w:rPr>
        <w:t xml:space="preserve"> as ‘base fraud’ offences</w:t>
      </w:r>
      <w:r w:rsidRPr="006D2186">
        <w:rPr>
          <w:rFonts w:cs="Arial"/>
        </w:rPr>
        <w:t xml:space="preserve"> and include the following</w:t>
      </w:r>
      <w:r w:rsidR="00D24FCF">
        <w:rPr>
          <w:rFonts w:cs="Arial"/>
        </w:rPr>
        <w:t>:-</w:t>
      </w:r>
    </w:p>
    <w:p w14:paraId="47104D49" w14:textId="4564B53D" w:rsidR="006D2186" w:rsidRDefault="006D2186" w:rsidP="006D2186">
      <w:pPr>
        <w:pStyle w:val="ListParagraph"/>
        <w:numPr>
          <w:ilvl w:val="2"/>
          <w:numId w:val="2"/>
        </w:numPr>
        <w:tabs>
          <w:tab w:val="left" w:pos="2552"/>
        </w:tabs>
        <w:spacing w:line="360" w:lineRule="auto"/>
        <w:jc w:val="both"/>
        <w:rPr>
          <w:rFonts w:cs="Arial"/>
        </w:rPr>
      </w:pPr>
      <w:r>
        <w:rPr>
          <w:rFonts w:cs="Arial"/>
        </w:rPr>
        <w:t>Fraud by false representation – Section 2 Fraud Act 2006</w:t>
      </w:r>
    </w:p>
    <w:p w14:paraId="4389B9C1" w14:textId="7604A6F1" w:rsidR="006D2186" w:rsidRDefault="006D2186" w:rsidP="006D2186">
      <w:pPr>
        <w:pStyle w:val="ListParagraph"/>
        <w:numPr>
          <w:ilvl w:val="2"/>
          <w:numId w:val="2"/>
        </w:numPr>
        <w:tabs>
          <w:tab w:val="left" w:pos="2552"/>
        </w:tabs>
        <w:spacing w:line="360" w:lineRule="auto"/>
        <w:jc w:val="both"/>
        <w:rPr>
          <w:rFonts w:cs="Arial"/>
        </w:rPr>
      </w:pPr>
      <w:r>
        <w:rPr>
          <w:rFonts w:cs="Arial"/>
        </w:rPr>
        <w:t>Fraud by failure to disclose – Section 3 Fraud Act 2006</w:t>
      </w:r>
    </w:p>
    <w:p w14:paraId="2B8556C6" w14:textId="467E8B07" w:rsidR="006D2186" w:rsidRDefault="006D2186" w:rsidP="006D2186">
      <w:pPr>
        <w:pStyle w:val="ListParagraph"/>
        <w:numPr>
          <w:ilvl w:val="2"/>
          <w:numId w:val="2"/>
        </w:numPr>
        <w:tabs>
          <w:tab w:val="left" w:pos="2552"/>
        </w:tabs>
        <w:spacing w:line="360" w:lineRule="auto"/>
        <w:jc w:val="both"/>
        <w:rPr>
          <w:rFonts w:cs="Arial"/>
        </w:rPr>
      </w:pPr>
      <w:r>
        <w:rPr>
          <w:rFonts w:cs="Arial"/>
        </w:rPr>
        <w:t>Fraud by abuse of position – Section 4 Fraud Act 2006</w:t>
      </w:r>
    </w:p>
    <w:p w14:paraId="7FA87138" w14:textId="454DCCBF" w:rsidR="006D2186" w:rsidRDefault="006D2186" w:rsidP="006D2186">
      <w:pPr>
        <w:pStyle w:val="ListParagraph"/>
        <w:numPr>
          <w:ilvl w:val="2"/>
          <w:numId w:val="2"/>
        </w:numPr>
        <w:tabs>
          <w:tab w:val="left" w:pos="2552"/>
        </w:tabs>
        <w:spacing w:line="360" w:lineRule="auto"/>
        <w:jc w:val="both"/>
        <w:rPr>
          <w:rFonts w:cs="Arial"/>
        </w:rPr>
      </w:pPr>
      <w:r>
        <w:rPr>
          <w:rFonts w:cs="Arial"/>
        </w:rPr>
        <w:t>Participation in a fraudulent business – Section 9 Fraud Act 2006</w:t>
      </w:r>
    </w:p>
    <w:p w14:paraId="54B4844A" w14:textId="21D8BF26" w:rsidR="006D2186" w:rsidRDefault="006D2186" w:rsidP="006D2186">
      <w:pPr>
        <w:pStyle w:val="ListParagraph"/>
        <w:numPr>
          <w:ilvl w:val="2"/>
          <w:numId w:val="2"/>
        </w:numPr>
        <w:tabs>
          <w:tab w:val="left" w:pos="2552"/>
        </w:tabs>
        <w:spacing w:line="360" w:lineRule="auto"/>
        <w:jc w:val="both"/>
        <w:rPr>
          <w:rFonts w:cs="Arial"/>
        </w:rPr>
      </w:pPr>
      <w:r>
        <w:rPr>
          <w:rFonts w:cs="Arial"/>
        </w:rPr>
        <w:t>Obtaining Services dishonestly – Section 11 Fraud Act 2006</w:t>
      </w:r>
    </w:p>
    <w:p w14:paraId="1329CE6D" w14:textId="526DF31E" w:rsidR="006D2186" w:rsidRDefault="006D2186" w:rsidP="006D2186">
      <w:pPr>
        <w:pStyle w:val="ListParagraph"/>
        <w:numPr>
          <w:ilvl w:val="2"/>
          <w:numId w:val="2"/>
        </w:numPr>
        <w:tabs>
          <w:tab w:val="left" w:pos="2552"/>
        </w:tabs>
        <w:spacing w:line="360" w:lineRule="auto"/>
        <w:jc w:val="both"/>
        <w:rPr>
          <w:rFonts w:cs="Arial"/>
        </w:rPr>
      </w:pPr>
      <w:r>
        <w:rPr>
          <w:rFonts w:cs="Arial"/>
        </w:rPr>
        <w:t>Cheating the Public Revenue</w:t>
      </w:r>
      <w:r w:rsidR="00C2396B">
        <w:rPr>
          <w:rFonts w:cs="Arial"/>
        </w:rPr>
        <w:t xml:space="preserve"> – Common Law</w:t>
      </w:r>
    </w:p>
    <w:p w14:paraId="5F1499E4" w14:textId="2E2D84CB" w:rsidR="00C2396B" w:rsidRDefault="00C2396B" w:rsidP="006D2186">
      <w:pPr>
        <w:pStyle w:val="ListParagraph"/>
        <w:numPr>
          <w:ilvl w:val="2"/>
          <w:numId w:val="2"/>
        </w:numPr>
        <w:tabs>
          <w:tab w:val="left" w:pos="2552"/>
        </w:tabs>
        <w:spacing w:line="360" w:lineRule="auto"/>
        <w:jc w:val="both"/>
        <w:rPr>
          <w:rFonts w:cs="Arial"/>
        </w:rPr>
      </w:pPr>
      <w:r>
        <w:rPr>
          <w:rFonts w:cs="Arial"/>
        </w:rPr>
        <w:t>False Accounting – Section 17 Theft Act 1968</w:t>
      </w:r>
    </w:p>
    <w:p w14:paraId="234C225C" w14:textId="205CFF56" w:rsidR="00C2396B" w:rsidRDefault="00C2396B" w:rsidP="006D2186">
      <w:pPr>
        <w:pStyle w:val="ListParagraph"/>
        <w:numPr>
          <w:ilvl w:val="2"/>
          <w:numId w:val="2"/>
        </w:numPr>
        <w:tabs>
          <w:tab w:val="left" w:pos="2552"/>
        </w:tabs>
        <w:spacing w:line="360" w:lineRule="auto"/>
        <w:jc w:val="both"/>
        <w:rPr>
          <w:rFonts w:cs="Arial"/>
        </w:rPr>
      </w:pPr>
      <w:r>
        <w:rPr>
          <w:rFonts w:cs="Arial"/>
        </w:rPr>
        <w:t>False Statements by Company Directors – Section 19 Theft Act 1968</w:t>
      </w:r>
    </w:p>
    <w:p w14:paraId="0F205BCB" w14:textId="25261D7D" w:rsidR="005A0A05" w:rsidRDefault="00C2396B" w:rsidP="005A0A05">
      <w:pPr>
        <w:pStyle w:val="ListParagraph"/>
        <w:numPr>
          <w:ilvl w:val="2"/>
          <w:numId w:val="2"/>
        </w:numPr>
        <w:tabs>
          <w:tab w:val="left" w:pos="2552"/>
        </w:tabs>
        <w:spacing w:line="360" w:lineRule="auto"/>
        <w:jc w:val="both"/>
        <w:rPr>
          <w:rFonts w:cs="Arial"/>
        </w:rPr>
      </w:pPr>
      <w:r>
        <w:rPr>
          <w:rFonts w:cs="Arial"/>
        </w:rPr>
        <w:t>Fraudulent Trading – Section 993 Companies Act 2006</w:t>
      </w:r>
    </w:p>
    <w:p w14:paraId="42460B5E" w14:textId="77777777" w:rsidR="005A0A05" w:rsidRDefault="005A0A05" w:rsidP="005A0A05">
      <w:pPr>
        <w:pStyle w:val="ListParagraph"/>
        <w:tabs>
          <w:tab w:val="left" w:pos="2552"/>
        </w:tabs>
        <w:spacing w:line="360" w:lineRule="auto"/>
        <w:ind w:left="1224"/>
        <w:jc w:val="both"/>
        <w:rPr>
          <w:rFonts w:cs="Arial"/>
        </w:rPr>
      </w:pPr>
    </w:p>
    <w:p w14:paraId="482EB80A" w14:textId="77777777" w:rsidR="007D70A9" w:rsidRDefault="007D70A9" w:rsidP="007D70A9">
      <w:pPr>
        <w:pStyle w:val="ListParagraph"/>
        <w:tabs>
          <w:tab w:val="left" w:pos="2552"/>
        </w:tabs>
        <w:spacing w:line="360" w:lineRule="auto"/>
        <w:ind w:left="2552"/>
        <w:jc w:val="both"/>
        <w:rPr>
          <w:rFonts w:cs="Arial"/>
        </w:rPr>
      </w:pPr>
    </w:p>
    <w:p w14:paraId="256F9252" w14:textId="442903DC" w:rsidR="00912A47" w:rsidRDefault="00F60F54" w:rsidP="00A734CC">
      <w:pPr>
        <w:pStyle w:val="ListParagraph"/>
        <w:tabs>
          <w:tab w:val="left" w:pos="2552"/>
        </w:tabs>
        <w:spacing w:line="360" w:lineRule="auto"/>
        <w:ind w:left="1224"/>
        <w:jc w:val="center"/>
        <w:rPr>
          <w:rFonts w:cs="Arial"/>
          <w:b/>
          <w:bCs/>
        </w:rPr>
      </w:pPr>
      <w:r>
        <w:rPr>
          <w:rFonts w:cs="Arial"/>
          <w:b/>
          <w:bCs/>
        </w:rPr>
        <w:t>W</w:t>
      </w:r>
      <w:r w:rsidR="00D24FCF" w:rsidRPr="00D24FCF">
        <w:rPr>
          <w:rFonts w:cs="Arial"/>
          <w:b/>
          <w:bCs/>
        </w:rPr>
        <w:t xml:space="preserve">hen </w:t>
      </w:r>
      <w:r w:rsidR="00D24FCF">
        <w:rPr>
          <w:rFonts w:cs="Arial"/>
          <w:b/>
          <w:bCs/>
        </w:rPr>
        <w:t>can</w:t>
      </w:r>
      <w:r w:rsidR="00D24FCF" w:rsidRPr="00D24FCF">
        <w:rPr>
          <w:rFonts w:cs="Arial"/>
          <w:b/>
          <w:bCs/>
        </w:rPr>
        <w:t xml:space="preserve"> </w:t>
      </w:r>
      <w:r w:rsidR="00AB6F56">
        <w:rPr>
          <w:rFonts w:cs="Arial"/>
          <w:b/>
          <w:bCs/>
        </w:rPr>
        <w:t xml:space="preserve">corporate </w:t>
      </w:r>
      <w:r w:rsidR="00912A47">
        <w:rPr>
          <w:rFonts w:cs="Arial"/>
          <w:b/>
          <w:bCs/>
        </w:rPr>
        <w:t>liability arise?</w:t>
      </w:r>
    </w:p>
    <w:p w14:paraId="735F7AF9" w14:textId="60AC2795" w:rsidR="00940360" w:rsidRPr="00E94508" w:rsidRDefault="00E94508" w:rsidP="00E94508">
      <w:pPr>
        <w:pStyle w:val="ListParagraph"/>
        <w:numPr>
          <w:ilvl w:val="1"/>
          <w:numId w:val="2"/>
        </w:numPr>
        <w:tabs>
          <w:tab w:val="left" w:pos="2552"/>
        </w:tabs>
        <w:spacing w:line="480" w:lineRule="auto"/>
        <w:ind w:left="709" w:hanging="709"/>
        <w:jc w:val="both"/>
        <w:rPr>
          <w:rFonts w:cs="Arial"/>
        </w:rPr>
      </w:pPr>
      <w:r>
        <w:rPr>
          <w:rFonts w:cs="Arial"/>
        </w:rPr>
        <w:t xml:space="preserve">The failure to prevent fraud is a strict liability offence which can only be committed by corporations. </w:t>
      </w:r>
      <w:r w:rsidR="00821588" w:rsidRPr="00E94508">
        <w:rPr>
          <w:rFonts w:cs="Arial"/>
        </w:rPr>
        <w:t xml:space="preserve">The key factor in determining whether an organisation should be </w:t>
      </w:r>
      <w:r w:rsidR="00821588" w:rsidRPr="00E94508">
        <w:rPr>
          <w:rFonts w:cs="Arial"/>
        </w:rPr>
        <w:lastRenderedPageBreak/>
        <w:t xml:space="preserve">prosecuted for a failure to prevent fraud is the issue of </w:t>
      </w:r>
      <w:r w:rsidR="00F60F54" w:rsidRPr="00E94508">
        <w:rPr>
          <w:rFonts w:cs="Arial"/>
        </w:rPr>
        <w:t>‘</w:t>
      </w:r>
      <w:r w:rsidR="00821588" w:rsidRPr="00E94508">
        <w:rPr>
          <w:rFonts w:cs="Arial"/>
        </w:rPr>
        <w:t>who was intended to benefit from the fraud</w:t>
      </w:r>
      <w:r w:rsidR="00F60F54" w:rsidRPr="00E94508">
        <w:rPr>
          <w:rFonts w:cs="Arial"/>
        </w:rPr>
        <w:t>’</w:t>
      </w:r>
      <w:r w:rsidR="00821588" w:rsidRPr="00E94508">
        <w:rPr>
          <w:rFonts w:cs="Arial"/>
        </w:rPr>
        <w:t>.  As a fraud offence can be considered complete before any gain is received ECCTA 2023 also applies the same rationale and does not require any evidence that the organisation benefitted from the fraud. This means that corporate liability can arise simply by demonstrating that the organisation was intended to be the beneficiary of the fraud whether directly or indirectly.</w:t>
      </w:r>
      <w:r w:rsidR="00EC3802" w:rsidRPr="00E94508">
        <w:rPr>
          <w:rFonts w:cs="Arial"/>
        </w:rPr>
        <w:t xml:space="preserve"> </w:t>
      </w:r>
    </w:p>
    <w:p w14:paraId="4E28D1C7" w14:textId="02B6A31C" w:rsidR="00157118" w:rsidRDefault="00EC3802" w:rsidP="008877DC">
      <w:pPr>
        <w:pStyle w:val="ListParagraph"/>
        <w:numPr>
          <w:ilvl w:val="1"/>
          <w:numId w:val="2"/>
        </w:numPr>
        <w:tabs>
          <w:tab w:val="left" w:pos="2552"/>
        </w:tabs>
        <w:spacing w:line="480" w:lineRule="auto"/>
        <w:ind w:left="709" w:hanging="709"/>
        <w:jc w:val="both"/>
        <w:rPr>
          <w:rFonts w:cs="Arial"/>
        </w:rPr>
      </w:pPr>
      <w:r>
        <w:rPr>
          <w:rFonts w:cs="Arial"/>
        </w:rPr>
        <w:t>A</w:t>
      </w:r>
      <w:r w:rsidR="00A52F7B">
        <w:rPr>
          <w:rFonts w:cs="Arial"/>
        </w:rPr>
        <w:t>n organisation could</w:t>
      </w:r>
      <w:r w:rsidR="00CB1776">
        <w:rPr>
          <w:rFonts w:cs="Arial"/>
        </w:rPr>
        <w:t xml:space="preserve"> also</w:t>
      </w:r>
      <w:r w:rsidR="00A52F7B">
        <w:rPr>
          <w:rFonts w:cs="Arial"/>
        </w:rPr>
        <w:t xml:space="preserve"> be prosecuted for failing to prevent fraud even in circumstances where the fraud is committed by subsidiary’s employee, for the benefit of the parent </w:t>
      </w:r>
      <w:r w:rsidR="00940360" w:rsidRPr="00940360">
        <w:rPr>
          <w:rFonts w:cs="Arial"/>
        </w:rPr>
        <w:t>organisation</w:t>
      </w:r>
      <w:r w:rsidR="00A52F7B">
        <w:rPr>
          <w:rFonts w:cs="Arial"/>
        </w:rPr>
        <w:t xml:space="preserve"> and the parent organisation did not take reasonable steps </w:t>
      </w:r>
      <w:r w:rsidR="00402B50">
        <w:rPr>
          <w:rFonts w:cs="Arial"/>
        </w:rPr>
        <w:t>to prevent it</w:t>
      </w:r>
      <w:r w:rsidR="008877DC">
        <w:rPr>
          <w:rFonts w:cs="Arial"/>
        </w:rPr>
        <w:t xml:space="preserve">. </w:t>
      </w:r>
    </w:p>
    <w:p w14:paraId="234A06A6" w14:textId="05984536" w:rsidR="00EC3802" w:rsidRDefault="00CB1776" w:rsidP="008877DC">
      <w:pPr>
        <w:pStyle w:val="ListParagraph"/>
        <w:numPr>
          <w:ilvl w:val="1"/>
          <w:numId w:val="2"/>
        </w:numPr>
        <w:tabs>
          <w:tab w:val="left" w:pos="2552"/>
        </w:tabs>
        <w:spacing w:line="480" w:lineRule="auto"/>
        <w:ind w:left="709" w:hanging="709"/>
        <w:jc w:val="both"/>
        <w:rPr>
          <w:rFonts w:cs="Arial"/>
        </w:rPr>
      </w:pPr>
      <w:r>
        <w:rPr>
          <w:rFonts w:cs="Arial"/>
        </w:rPr>
        <w:t>T</w:t>
      </w:r>
      <w:r w:rsidR="00EC3802">
        <w:rPr>
          <w:rFonts w:cs="Arial"/>
        </w:rPr>
        <w:t>here is no requirement for an organisation to be aware of the fraud to be held criminally responsible.</w:t>
      </w:r>
    </w:p>
    <w:p w14:paraId="76432BD0" w14:textId="0B35AA9F" w:rsidR="00157118" w:rsidRDefault="00CB1776" w:rsidP="008877DC">
      <w:pPr>
        <w:pStyle w:val="ListParagraph"/>
        <w:numPr>
          <w:ilvl w:val="1"/>
          <w:numId w:val="2"/>
        </w:numPr>
        <w:tabs>
          <w:tab w:val="left" w:pos="2552"/>
        </w:tabs>
        <w:spacing w:line="480" w:lineRule="auto"/>
        <w:ind w:left="709" w:hanging="709"/>
        <w:jc w:val="both"/>
        <w:rPr>
          <w:rFonts w:cs="Arial"/>
        </w:rPr>
      </w:pPr>
      <w:r>
        <w:rPr>
          <w:rFonts w:cs="Arial"/>
        </w:rPr>
        <w:t xml:space="preserve">It is also important to note that </w:t>
      </w:r>
      <w:r w:rsidR="00F60F54">
        <w:rPr>
          <w:rFonts w:cs="Arial"/>
        </w:rPr>
        <w:t xml:space="preserve">an organisation will not be prosecuted for a failure to prevent fraud  where the </w:t>
      </w:r>
      <w:r w:rsidR="00821588">
        <w:rPr>
          <w:rFonts w:cs="Arial"/>
        </w:rPr>
        <w:t>organisation</w:t>
      </w:r>
      <w:r w:rsidR="00F60F54">
        <w:rPr>
          <w:rFonts w:cs="Arial"/>
        </w:rPr>
        <w:t xml:space="preserve"> is </w:t>
      </w:r>
      <w:r w:rsidR="00821588">
        <w:rPr>
          <w:rFonts w:cs="Arial"/>
        </w:rPr>
        <w:t xml:space="preserve">the victim or </w:t>
      </w:r>
      <w:r w:rsidR="00F60F54">
        <w:rPr>
          <w:rFonts w:cs="Arial"/>
        </w:rPr>
        <w:t xml:space="preserve">the </w:t>
      </w:r>
      <w:r w:rsidR="00821588">
        <w:rPr>
          <w:rFonts w:cs="Arial"/>
        </w:rPr>
        <w:t>intended victim of a fraud that was supposed to benefit the organisations clients.</w:t>
      </w:r>
    </w:p>
    <w:p w14:paraId="7F194DE0" w14:textId="77777777" w:rsidR="008877DC" w:rsidRPr="008877DC" w:rsidRDefault="008877DC" w:rsidP="008877DC">
      <w:pPr>
        <w:pStyle w:val="ListParagraph"/>
        <w:tabs>
          <w:tab w:val="left" w:pos="2552"/>
        </w:tabs>
        <w:spacing w:line="480" w:lineRule="auto"/>
        <w:ind w:left="709"/>
        <w:jc w:val="both"/>
        <w:rPr>
          <w:rFonts w:cs="Arial"/>
        </w:rPr>
      </w:pPr>
    </w:p>
    <w:p w14:paraId="11798FB0" w14:textId="7408567E" w:rsidR="00821588" w:rsidRPr="00A734CC" w:rsidRDefault="00F60F54" w:rsidP="00A734CC">
      <w:pPr>
        <w:pStyle w:val="ListParagraph"/>
        <w:tabs>
          <w:tab w:val="left" w:pos="2552"/>
        </w:tabs>
        <w:spacing w:line="480" w:lineRule="auto"/>
        <w:ind w:left="709"/>
        <w:jc w:val="center"/>
        <w:rPr>
          <w:rFonts w:cs="Arial"/>
          <w:b/>
          <w:bCs/>
        </w:rPr>
      </w:pPr>
      <w:r w:rsidRPr="00A734CC">
        <w:rPr>
          <w:rFonts w:cs="Arial"/>
          <w:b/>
          <w:bCs/>
        </w:rPr>
        <w:t xml:space="preserve">Who commits the </w:t>
      </w:r>
      <w:r w:rsidR="00A734CC" w:rsidRPr="00A734CC">
        <w:rPr>
          <w:rFonts w:cs="Arial"/>
          <w:b/>
          <w:bCs/>
        </w:rPr>
        <w:t>offence</w:t>
      </w:r>
      <w:r w:rsidR="00A734CC">
        <w:rPr>
          <w:rFonts w:cs="Arial"/>
          <w:b/>
          <w:bCs/>
        </w:rPr>
        <w:t xml:space="preserve"> leading to a potential prosecution</w:t>
      </w:r>
      <w:r w:rsidR="00A734CC" w:rsidRPr="00A734CC">
        <w:rPr>
          <w:rFonts w:cs="Arial"/>
          <w:b/>
          <w:bCs/>
        </w:rPr>
        <w:t>?</w:t>
      </w:r>
    </w:p>
    <w:p w14:paraId="10D46642" w14:textId="6D555F24" w:rsidR="009F4777" w:rsidRPr="00E94508" w:rsidRDefault="00A37CDD" w:rsidP="00E94508">
      <w:pPr>
        <w:pStyle w:val="ListParagraph"/>
        <w:numPr>
          <w:ilvl w:val="1"/>
          <w:numId w:val="2"/>
        </w:numPr>
        <w:tabs>
          <w:tab w:val="left" w:pos="2552"/>
        </w:tabs>
        <w:spacing w:line="480" w:lineRule="auto"/>
        <w:ind w:left="709" w:hanging="709"/>
        <w:jc w:val="both"/>
        <w:rPr>
          <w:rFonts w:cs="Arial"/>
        </w:rPr>
      </w:pPr>
      <w:r w:rsidRPr="00E94508">
        <w:rPr>
          <w:rFonts w:cs="Arial"/>
        </w:rPr>
        <w:t xml:space="preserve">ECCTA 2023 confirms that </w:t>
      </w:r>
      <w:r w:rsidR="00157118" w:rsidRPr="00E94508">
        <w:rPr>
          <w:rFonts w:cs="Arial"/>
        </w:rPr>
        <w:t>a</w:t>
      </w:r>
      <w:r w:rsidR="00912A47" w:rsidRPr="00E94508">
        <w:rPr>
          <w:rFonts w:cs="Arial"/>
        </w:rPr>
        <w:t xml:space="preserve"> base fraud offence </w:t>
      </w:r>
      <w:r w:rsidRPr="00E94508">
        <w:rPr>
          <w:rFonts w:cs="Arial"/>
        </w:rPr>
        <w:t xml:space="preserve">must be </w:t>
      </w:r>
      <w:r w:rsidR="00912A47" w:rsidRPr="00E94508">
        <w:rPr>
          <w:rFonts w:cs="Arial"/>
        </w:rPr>
        <w:t>committed by a</w:t>
      </w:r>
      <w:r w:rsidR="001B4D8E" w:rsidRPr="00E94508">
        <w:rPr>
          <w:rFonts w:cs="Arial"/>
        </w:rPr>
        <w:t xml:space="preserve">n ‘associate of that relevant body’. The Government guidance confirms that “an employee, an agent or a subsidiary of the relevant body is automatically </w:t>
      </w:r>
      <w:r w:rsidRPr="00E94508">
        <w:rPr>
          <w:rFonts w:cs="Arial"/>
        </w:rPr>
        <w:t xml:space="preserve">considered </w:t>
      </w:r>
      <w:r w:rsidR="001B4D8E" w:rsidRPr="00E94508">
        <w:rPr>
          <w:rFonts w:cs="Arial"/>
        </w:rPr>
        <w:t>an ‘associated person’ for the purposes of th</w:t>
      </w:r>
      <w:r w:rsidRPr="00E94508">
        <w:rPr>
          <w:rFonts w:cs="Arial"/>
        </w:rPr>
        <w:t>e</w:t>
      </w:r>
      <w:r w:rsidR="001B4D8E" w:rsidRPr="00E94508">
        <w:rPr>
          <w:rFonts w:cs="Arial"/>
        </w:rPr>
        <w:t xml:space="preserve"> offence. It should also be noted that a person who provides services </w:t>
      </w:r>
      <w:r w:rsidR="00AB6F56" w:rsidRPr="00E94508">
        <w:rPr>
          <w:rFonts w:cs="Arial"/>
        </w:rPr>
        <w:t xml:space="preserve">for or on behalf of the relevant body is also an associated person </w:t>
      </w:r>
      <w:r w:rsidRPr="00E94508">
        <w:rPr>
          <w:rFonts w:cs="Arial"/>
        </w:rPr>
        <w:t xml:space="preserve">during the period that </w:t>
      </w:r>
      <w:r w:rsidR="00AB6F56" w:rsidRPr="00E94508">
        <w:rPr>
          <w:rFonts w:cs="Arial"/>
        </w:rPr>
        <w:t>they are providing those services.</w:t>
      </w:r>
      <w:r w:rsidR="009F4777" w:rsidRPr="00E94508">
        <w:rPr>
          <w:rFonts w:cs="Arial"/>
        </w:rPr>
        <w:t xml:space="preserve"> </w:t>
      </w:r>
    </w:p>
    <w:p w14:paraId="60CD321A" w14:textId="469D7CA2" w:rsidR="00C2396B" w:rsidRPr="009F4777" w:rsidRDefault="00AB6F56" w:rsidP="009F4777">
      <w:pPr>
        <w:pStyle w:val="ListParagraph"/>
        <w:numPr>
          <w:ilvl w:val="1"/>
          <w:numId w:val="2"/>
        </w:numPr>
        <w:tabs>
          <w:tab w:val="left" w:pos="2552"/>
        </w:tabs>
        <w:spacing w:line="480" w:lineRule="auto"/>
        <w:ind w:left="709" w:hanging="709"/>
        <w:jc w:val="both"/>
        <w:rPr>
          <w:rFonts w:cs="Arial"/>
        </w:rPr>
      </w:pPr>
      <w:r>
        <w:rPr>
          <w:rFonts w:cs="Arial"/>
        </w:rPr>
        <w:t xml:space="preserve">Corporate liability </w:t>
      </w:r>
      <w:r w:rsidR="00A37CDD">
        <w:rPr>
          <w:rFonts w:cs="Arial"/>
        </w:rPr>
        <w:t xml:space="preserve">will </w:t>
      </w:r>
      <w:r>
        <w:rPr>
          <w:rFonts w:cs="Arial"/>
        </w:rPr>
        <w:t>only</w:t>
      </w:r>
      <w:r w:rsidR="0077128E">
        <w:rPr>
          <w:rFonts w:cs="Arial"/>
        </w:rPr>
        <w:t xml:space="preserve"> arise </w:t>
      </w:r>
      <w:r>
        <w:rPr>
          <w:rFonts w:cs="Arial"/>
        </w:rPr>
        <w:t xml:space="preserve">if an individual commits a base fraud offence </w:t>
      </w:r>
      <w:r w:rsidR="0077128E">
        <w:rPr>
          <w:rFonts w:cs="Arial"/>
        </w:rPr>
        <w:t xml:space="preserve">whilst providing services and </w:t>
      </w:r>
      <w:r w:rsidR="002437B9">
        <w:rPr>
          <w:rFonts w:cs="Arial"/>
        </w:rPr>
        <w:t xml:space="preserve">acting in the capacity of a person associated with the relevant </w:t>
      </w:r>
      <w:r w:rsidR="002437B9">
        <w:rPr>
          <w:rFonts w:cs="Arial"/>
        </w:rPr>
        <w:lastRenderedPageBreak/>
        <w:t xml:space="preserve">body. </w:t>
      </w:r>
      <w:r w:rsidR="003B079F" w:rsidRPr="009F4777">
        <w:rPr>
          <w:rFonts w:cs="Arial"/>
        </w:rPr>
        <w:t>A base f</w:t>
      </w:r>
      <w:r w:rsidR="002437B9" w:rsidRPr="009F4777">
        <w:rPr>
          <w:rFonts w:cs="Arial"/>
        </w:rPr>
        <w:t xml:space="preserve">raud </w:t>
      </w:r>
      <w:r w:rsidR="003B079F" w:rsidRPr="009F4777">
        <w:rPr>
          <w:rFonts w:cs="Arial"/>
        </w:rPr>
        <w:t xml:space="preserve">offence </w:t>
      </w:r>
      <w:r w:rsidR="002437B9" w:rsidRPr="009F4777">
        <w:rPr>
          <w:rFonts w:cs="Arial"/>
        </w:rPr>
        <w:t>that takes place outside this capacity, such as in the person’s private life will not give rise to corporate liability.</w:t>
      </w:r>
    </w:p>
    <w:p w14:paraId="079EAA2F" w14:textId="0BB91DD1" w:rsidR="004367F5" w:rsidRDefault="009F4777" w:rsidP="00A734CC">
      <w:pPr>
        <w:pStyle w:val="ListParagraph"/>
        <w:numPr>
          <w:ilvl w:val="1"/>
          <w:numId w:val="2"/>
        </w:numPr>
        <w:tabs>
          <w:tab w:val="left" w:pos="2552"/>
        </w:tabs>
        <w:spacing w:line="480" w:lineRule="auto"/>
        <w:ind w:left="709" w:hanging="709"/>
        <w:jc w:val="both"/>
        <w:rPr>
          <w:rFonts w:cs="Arial"/>
        </w:rPr>
      </w:pPr>
      <w:r>
        <w:rPr>
          <w:rFonts w:cs="Arial"/>
        </w:rPr>
        <w:t xml:space="preserve">It should also be noted that in establishing if a particular individual is an associated person there is </w:t>
      </w:r>
      <w:r w:rsidR="00F272FE">
        <w:rPr>
          <w:rFonts w:cs="Arial"/>
        </w:rPr>
        <w:t xml:space="preserve">a </w:t>
      </w:r>
      <w:r>
        <w:rPr>
          <w:rFonts w:cs="Arial"/>
        </w:rPr>
        <w:t xml:space="preserve">requirement to consider all relevant circumstances and not simply </w:t>
      </w:r>
      <w:r w:rsidR="00F272FE">
        <w:rPr>
          <w:rFonts w:cs="Arial"/>
        </w:rPr>
        <w:t xml:space="preserve">just </w:t>
      </w:r>
      <w:r>
        <w:rPr>
          <w:rFonts w:cs="Arial"/>
        </w:rPr>
        <w:t xml:space="preserve">the nature of the relationship between that individual and the organisation. This </w:t>
      </w:r>
      <w:r w:rsidR="00F272FE">
        <w:rPr>
          <w:rFonts w:cs="Arial"/>
        </w:rPr>
        <w:t>means that an individual can be considered an associated person under ECCTA 2023 even in circumstances where there is no contractual relationship.</w:t>
      </w:r>
    </w:p>
    <w:p w14:paraId="4E93D393" w14:textId="77777777" w:rsidR="00C17CC6" w:rsidRDefault="00C17CC6" w:rsidP="00AB0DC3">
      <w:pPr>
        <w:pStyle w:val="ListParagraph"/>
        <w:tabs>
          <w:tab w:val="left" w:pos="2552"/>
        </w:tabs>
        <w:spacing w:line="480" w:lineRule="auto"/>
        <w:ind w:left="709"/>
        <w:jc w:val="center"/>
        <w:rPr>
          <w:rFonts w:cs="Arial"/>
          <w:b/>
          <w:bCs/>
        </w:rPr>
      </w:pPr>
    </w:p>
    <w:p w14:paraId="06666036" w14:textId="7A594AB4" w:rsidR="00AB0DC3" w:rsidRDefault="00AB0DC3" w:rsidP="00AB0DC3">
      <w:pPr>
        <w:pStyle w:val="ListParagraph"/>
        <w:tabs>
          <w:tab w:val="left" w:pos="2552"/>
        </w:tabs>
        <w:spacing w:line="480" w:lineRule="auto"/>
        <w:ind w:left="709"/>
        <w:jc w:val="center"/>
        <w:rPr>
          <w:rFonts w:cs="Arial"/>
          <w:b/>
          <w:bCs/>
        </w:rPr>
      </w:pPr>
      <w:r w:rsidRPr="00AB0DC3">
        <w:rPr>
          <w:rFonts w:cs="Arial"/>
          <w:b/>
          <w:bCs/>
        </w:rPr>
        <w:t>Defence</w:t>
      </w:r>
    </w:p>
    <w:p w14:paraId="3C1A5428" w14:textId="4B6DF3A6" w:rsidR="00AB0DC3" w:rsidRDefault="00AB0DC3" w:rsidP="0077128E">
      <w:pPr>
        <w:pStyle w:val="ListParagraph"/>
        <w:numPr>
          <w:ilvl w:val="1"/>
          <w:numId w:val="2"/>
        </w:numPr>
        <w:tabs>
          <w:tab w:val="left" w:pos="2552"/>
        </w:tabs>
        <w:spacing w:line="480" w:lineRule="auto"/>
        <w:ind w:left="709" w:hanging="709"/>
        <w:jc w:val="both"/>
        <w:rPr>
          <w:rFonts w:cs="Arial"/>
        </w:rPr>
      </w:pPr>
      <w:r>
        <w:rPr>
          <w:rFonts w:cs="Arial"/>
        </w:rPr>
        <w:t>To avoid prosecution for a failure to prevent fraud ECCTA 2023 at Sections 199 (4) and 199 (5) stipulates that an organisation will have a defence if they are able to demonstrate</w:t>
      </w:r>
      <w:r w:rsidR="00C40748">
        <w:rPr>
          <w:rFonts w:cs="Arial"/>
        </w:rPr>
        <w:t>:</w:t>
      </w:r>
    </w:p>
    <w:p w14:paraId="23A085B9" w14:textId="77777777" w:rsidR="00C40748" w:rsidRDefault="00C40748" w:rsidP="00C40748">
      <w:pPr>
        <w:tabs>
          <w:tab w:val="left" w:pos="1134"/>
          <w:tab w:val="left" w:pos="1560"/>
          <w:tab w:val="left" w:pos="2552"/>
        </w:tabs>
        <w:spacing w:line="480" w:lineRule="auto"/>
        <w:jc w:val="both"/>
        <w:rPr>
          <w:rFonts w:cs="Arial"/>
        </w:rPr>
      </w:pPr>
      <w:r>
        <w:rPr>
          <w:rFonts w:cs="Arial"/>
        </w:rPr>
        <w:tab/>
      </w:r>
      <w:r w:rsidR="00AB0DC3" w:rsidRPr="00C40748">
        <w:rPr>
          <w:rFonts w:cs="Arial"/>
        </w:rPr>
        <w:t>That they have reasonable procedures in place to prevent fraud, or</w:t>
      </w:r>
    </w:p>
    <w:p w14:paraId="25E2CC7B" w14:textId="6036CC84" w:rsidR="00AB0DC3" w:rsidRPr="00C40748" w:rsidRDefault="00C40748" w:rsidP="00C40748">
      <w:pPr>
        <w:tabs>
          <w:tab w:val="left" w:pos="1134"/>
          <w:tab w:val="left" w:pos="1560"/>
          <w:tab w:val="left" w:pos="2552"/>
        </w:tabs>
        <w:spacing w:line="480" w:lineRule="auto"/>
        <w:ind w:right="-2"/>
        <w:rPr>
          <w:rFonts w:cs="Arial"/>
        </w:rPr>
      </w:pPr>
      <w:r>
        <w:rPr>
          <w:rFonts w:cs="Arial"/>
        </w:rPr>
        <w:tab/>
      </w:r>
      <w:r w:rsidR="00181496" w:rsidRPr="00C40748">
        <w:rPr>
          <w:rFonts w:cs="Arial"/>
        </w:rPr>
        <w:t>That it was not reasonable in all the circumstances to expect the organisation to</w:t>
      </w:r>
      <w:r>
        <w:rPr>
          <w:rFonts w:cs="Arial"/>
        </w:rPr>
        <w:t xml:space="preserve"> </w:t>
      </w:r>
      <w:r w:rsidR="00181496" w:rsidRPr="00C40748">
        <w:rPr>
          <w:rFonts w:cs="Arial"/>
        </w:rPr>
        <w:t>have any fraud prevention procedures in place.</w:t>
      </w:r>
    </w:p>
    <w:p w14:paraId="58205D04" w14:textId="5FA35606" w:rsidR="00EC3802" w:rsidRDefault="00181496" w:rsidP="00EC3802">
      <w:pPr>
        <w:pStyle w:val="ListParagraph"/>
        <w:numPr>
          <w:ilvl w:val="1"/>
          <w:numId w:val="2"/>
        </w:numPr>
        <w:tabs>
          <w:tab w:val="left" w:pos="2552"/>
        </w:tabs>
        <w:spacing w:line="480" w:lineRule="auto"/>
        <w:ind w:hanging="792"/>
        <w:jc w:val="both"/>
        <w:rPr>
          <w:rFonts w:cs="Arial"/>
        </w:rPr>
      </w:pPr>
      <w:r>
        <w:rPr>
          <w:rFonts w:cs="Arial"/>
        </w:rPr>
        <w:t xml:space="preserve">The question of whether an organisation has reasonable procedures in place to prevent fraud </w:t>
      </w:r>
      <w:r w:rsidR="00DE2EC9">
        <w:rPr>
          <w:rFonts w:cs="Arial"/>
        </w:rPr>
        <w:t xml:space="preserve">in the context of a prosecution </w:t>
      </w:r>
      <w:r>
        <w:rPr>
          <w:rFonts w:cs="Arial"/>
        </w:rPr>
        <w:t xml:space="preserve">is something that can only be resolved by a court. If an organisation is prosecuted for a failure to prevent </w:t>
      </w:r>
      <w:r w:rsidR="00DE2EC9">
        <w:rPr>
          <w:rFonts w:cs="Arial"/>
        </w:rPr>
        <w:t>fraud,</w:t>
      </w:r>
      <w:r>
        <w:rPr>
          <w:rFonts w:cs="Arial"/>
        </w:rPr>
        <w:t xml:space="preserve"> then the onus will be on the organisation to prove ‘on a balance of probabilities’ that it had reasonable procedures in place to prevent fraud.</w:t>
      </w:r>
    </w:p>
    <w:p w14:paraId="18B9DE1E" w14:textId="77777777" w:rsidR="00EC3802" w:rsidRPr="00E94508" w:rsidRDefault="00EC3802" w:rsidP="00E94508">
      <w:pPr>
        <w:tabs>
          <w:tab w:val="left" w:pos="2552"/>
        </w:tabs>
        <w:spacing w:line="480" w:lineRule="auto"/>
        <w:jc w:val="both"/>
        <w:rPr>
          <w:rFonts w:cs="Arial"/>
        </w:rPr>
      </w:pPr>
    </w:p>
    <w:p w14:paraId="650FA362" w14:textId="1DA963F0" w:rsidR="00076AD5" w:rsidRDefault="00181496" w:rsidP="00EC3802">
      <w:pPr>
        <w:pStyle w:val="ListParagraph"/>
        <w:tabs>
          <w:tab w:val="left" w:pos="2552"/>
        </w:tabs>
        <w:spacing w:line="480" w:lineRule="auto"/>
        <w:ind w:left="792"/>
        <w:jc w:val="center"/>
        <w:rPr>
          <w:rFonts w:cs="Arial"/>
          <w:b/>
          <w:bCs/>
        </w:rPr>
      </w:pPr>
      <w:r w:rsidRPr="00181496">
        <w:rPr>
          <w:rFonts w:cs="Arial"/>
          <w:b/>
          <w:bCs/>
        </w:rPr>
        <w:t xml:space="preserve">What are reasonable </w:t>
      </w:r>
      <w:r w:rsidR="00346550">
        <w:rPr>
          <w:rFonts w:cs="Arial"/>
          <w:b/>
          <w:bCs/>
        </w:rPr>
        <w:t xml:space="preserve">fraud prevention </w:t>
      </w:r>
      <w:r w:rsidRPr="00181496">
        <w:rPr>
          <w:rFonts w:cs="Arial"/>
          <w:b/>
          <w:bCs/>
        </w:rPr>
        <w:t>procedures</w:t>
      </w:r>
      <w:r w:rsidR="00DE2EC9">
        <w:rPr>
          <w:rFonts w:cs="Arial"/>
          <w:b/>
          <w:bCs/>
        </w:rPr>
        <w:t>?</w:t>
      </w:r>
    </w:p>
    <w:p w14:paraId="2918F96B" w14:textId="43D52F1F" w:rsidR="00AB0DC3" w:rsidRDefault="00DE2EC9" w:rsidP="0077128E">
      <w:pPr>
        <w:pStyle w:val="ListParagraph"/>
        <w:numPr>
          <w:ilvl w:val="1"/>
          <w:numId w:val="2"/>
        </w:numPr>
        <w:tabs>
          <w:tab w:val="left" w:pos="2552"/>
        </w:tabs>
        <w:spacing w:line="480" w:lineRule="auto"/>
        <w:ind w:left="709" w:hanging="709"/>
        <w:jc w:val="both"/>
        <w:rPr>
          <w:rFonts w:cs="Arial"/>
        </w:rPr>
      </w:pPr>
      <w:r>
        <w:rPr>
          <w:rFonts w:cs="Arial"/>
        </w:rPr>
        <w:t>The Government guidance suggests</w:t>
      </w:r>
      <w:r w:rsidR="00346550">
        <w:rPr>
          <w:rFonts w:cs="Arial"/>
        </w:rPr>
        <w:t xml:space="preserve"> that for an organisation to demonstrate that they have reasonable procedures in place </w:t>
      </w:r>
      <w:r w:rsidR="004367F5">
        <w:rPr>
          <w:rFonts w:cs="Arial"/>
        </w:rPr>
        <w:t xml:space="preserve">they need to implement a fraud prevention framework </w:t>
      </w:r>
      <w:r w:rsidR="00F60214">
        <w:rPr>
          <w:rFonts w:cs="Arial"/>
        </w:rPr>
        <w:t>which should be informed by six principles:-</w:t>
      </w:r>
    </w:p>
    <w:p w14:paraId="647DA428" w14:textId="22132C1B" w:rsidR="00F60214" w:rsidRDefault="00F60214" w:rsidP="00C40748">
      <w:pPr>
        <w:pStyle w:val="ListParagraph"/>
        <w:tabs>
          <w:tab w:val="left" w:pos="2552"/>
        </w:tabs>
        <w:spacing w:line="480" w:lineRule="auto"/>
        <w:ind w:left="1224"/>
        <w:jc w:val="both"/>
        <w:rPr>
          <w:rFonts w:cs="Arial"/>
        </w:rPr>
      </w:pPr>
      <w:r>
        <w:rPr>
          <w:rFonts w:cs="Arial"/>
        </w:rPr>
        <w:lastRenderedPageBreak/>
        <w:t>Top Level Commitment</w:t>
      </w:r>
    </w:p>
    <w:p w14:paraId="548FD00A" w14:textId="018B7FB6" w:rsidR="00F60214" w:rsidRDefault="00F60214" w:rsidP="00C40748">
      <w:pPr>
        <w:pStyle w:val="ListParagraph"/>
        <w:tabs>
          <w:tab w:val="left" w:pos="2552"/>
        </w:tabs>
        <w:spacing w:line="480" w:lineRule="auto"/>
        <w:ind w:left="1224"/>
        <w:jc w:val="both"/>
        <w:rPr>
          <w:rFonts w:cs="Arial"/>
        </w:rPr>
      </w:pPr>
      <w:r>
        <w:rPr>
          <w:rFonts w:cs="Arial"/>
        </w:rPr>
        <w:t>Risk Assessment</w:t>
      </w:r>
    </w:p>
    <w:p w14:paraId="5FAF0FDA" w14:textId="52C16CCB" w:rsidR="00F60214" w:rsidRDefault="00F60214" w:rsidP="00C40748">
      <w:pPr>
        <w:pStyle w:val="ListParagraph"/>
        <w:tabs>
          <w:tab w:val="left" w:pos="2552"/>
        </w:tabs>
        <w:spacing w:line="480" w:lineRule="auto"/>
        <w:ind w:left="1224"/>
        <w:jc w:val="both"/>
        <w:rPr>
          <w:rFonts w:cs="Arial"/>
        </w:rPr>
      </w:pPr>
      <w:r>
        <w:rPr>
          <w:rFonts w:cs="Arial"/>
        </w:rPr>
        <w:t>Proportionate risk-based prevention procedures</w:t>
      </w:r>
    </w:p>
    <w:p w14:paraId="61779151" w14:textId="56EDCE2F" w:rsidR="00F60214" w:rsidRDefault="00F60214" w:rsidP="00C40748">
      <w:pPr>
        <w:pStyle w:val="ListParagraph"/>
        <w:tabs>
          <w:tab w:val="left" w:pos="2552"/>
        </w:tabs>
        <w:spacing w:line="480" w:lineRule="auto"/>
        <w:ind w:left="1224"/>
        <w:jc w:val="both"/>
        <w:rPr>
          <w:rFonts w:cs="Arial"/>
        </w:rPr>
      </w:pPr>
      <w:r>
        <w:rPr>
          <w:rFonts w:cs="Arial"/>
        </w:rPr>
        <w:t>Due Diligence</w:t>
      </w:r>
    </w:p>
    <w:p w14:paraId="7C0BC686" w14:textId="3D7B4D61" w:rsidR="00F60214" w:rsidRDefault="00F60214" w:rsidP="00C40748">
      <w:pPr>
        <w:pStyle w:val="ListParagraph"/>
        <w:tabs>
          <w:tab w:val="left" w:pos="2552"/>
        </w:tabs>
        <w:spacing w:line="480" w:lineRule="auto"/>
        <w:ind w:left="1224"/>
        <w:jc w:val="both"/>
        <w:rPr>
          <w:rFonts w:cs="Arial"/>
        </w:rPr>
      </w:pPr>
      <w:r>
        <w:rPr>
          <w:rFonts w:cs="Arial"/>
        </w:rPr>
        <w:t>Communication (Including Training)</w:t>
      </w:r>
    </w:p>
    <w:p w14:paraId="108A8D41" w14:textId="7BD02AA3" w:rsidR="00076AD5" w:rsidRDefault="00F60214" w:rsidP="00C40748">
      <w:pPr>
        <w:pStyle w:val="ListParagraph"/>
        <w:tabs>
          <w:tab w:val="left" w:pos="2552"/>
        </w:tabs>
        <w:spacing w:line="480" w:lineRule="auto"/>
        <w:ind w:left="1224"/>
        <w:jc w:val="both"/>
        <w:rPr>
          <w:rFonts w:cs="Arial"/>
        </w:rPr>
      </w:pPr>
      <w:r>
        <w:rPr>
          <w:rFonts w:cs="Arial"/>
        </w:rPr>
        <w:t>Monitoring and Review</w:t>
      </w:r>
    </w:p>
    <w:p w14:paraId="7C009CFB" w14:textId="77777777" w:rsidR="00C67807" w:rsidRPr="00C67807" w:rsidRDefault="00C67807" w:rsidP="00C67807">
      <w:pPr>
        <w:pStyle w:val="ListParagraph"/>
        <w:tabs>
          <w:tab w:val="left" w:pos="2552"/>
        </w:tabs>
        <w:spacing w:line="480" w:lineRule="auto"/>
        <w:ind w:left="1224"/>
        <w:jc w:val="both"/>
        <w:rPr>
          <w:rFonts w:cs="Arial"/>
        </w:rPr>
      </w:pPr>
    </w:p>
    <w:p w14:paraId="433ADB55" w14:textId="3566C229" w:rsidR="00F60214" w:rsidRPr="00C872E0" w:rsidRDefault="00F60214" w:rsidP="00C872E0">
      <w:pPr>
        <w:pStyle w:val="ListParagraph"/>
        <w:numPr>
          <w:ilvl w:val="1"/>
          <w:numId w:val="2"/>
        </w:numPr>
        <w:tabs>
          <w:tab w:val="left" w:pos="2552"/>
        </w:tabs>
        <w:spacing w:line="480" w:lineRule="auto"/>
        <w:ind w:left="709" w:hanging="709"/>
        <w:jc w:val="both"/>
        <w:rPr>
          <w:rFonts w:cs="Arial"/>
        </w:rPr>
      </w:pPr>
      <w:r w:rsidRPr="00F60214">
        <w:rPr>
          <w:rFonts w:cs="Arial"/>
        </w:rPr>
        <w:t>The</w:t>
      </w:r>
      <w:r>
        <w:rPr>
          <w:rFonts w:cs="Arial"/>
        </w:rPr>
        <w:t xml:space="preserve"> guidance is clear that the principles outlined above are intended to be flexible</w:t>
      </w:r>
      <w:r w:rsidR="00C872E0">
        <w:rPr>
          <w:rFonts w:cs="Arial"/>
        </w:rPr>
        <w:t xml:space="preserve">, </w:t>
      </w:r>
      <w:r>
        <w:rPr>
          <w:rFonts w:cs="Arial"/>
        </w:rPr>
        <w:t xml:space="preserve"> outcome focussed </w:t>
      </w:r>
      <w:r w:rsidR="00C872E0">
        <w:rPr>
          <w:rFonts w:cs="Arial"/>
        </w:rPr>
        <w:t>and proportionate to the risk of fraud faced by the organisation.</w:t>
      </w:r>
    </w:p>
    <w:p w14:paraId="164AFA83" w14:textId="1FA19172" w:rsidR="00476B18" w:rsidRPr="00476B18" w:rsidRDefault="00DE2EC9" w:rsidP="00476B18">
      <w:pPr>
        <w:pStyle w:val="ListParagraph"/>
        <w:numPr>
          <w:ilvl w:val="1"/>
          <w:numId w:val="2"/>
        </w:numPr>
        <w:tabs>
          <w:tab w:val="left" w:pos="2552"/>
        </w:tabs>
        <w:spacing w:line="480" w:lineRule="auto"/>
        <w:ind w:left="709" w:hanging="709"/>
        <w:jc w:val="both"/>
        <w:rPr>
          <w:rFonts w:cs="Arial"/>
        </w:rPr>
      </w:pPr>
      <w:r>
        <w:rPr>
          <w:rFonts w:cs="Arial"/>
        </w:rPr>
        <w:t>It is</w:t>
      </w:r>
      <w:r w:rsidR="00C67807">
        <w:rPr>
          <w:rFonts w:cs="Arial"/>
        </w:rPr>
        <w:t xml:space="preserve"> </w:t>
      </w:r>
      <w:r>
        <w:rPr>
          <w:rFonts w:cs="Arial"/>
        </w:rPr>
        <w:t>important to note that if an organisation chooses to depart from some of the suggested procedures outlined within the government guidance does not automatically mean that, that organisation did not have reasonable fraud prevention procedures in place.</w:t>
      </w:r>
      <w:r w:rsidR="00476B18">
        <w:rPr>
          <w:rFonts w:cs="Arial"/>
        </w:rPr>
        <w:t xml:space="preserve"> </w:t>
      </w:r>
      <w:r w:rsidR="00476B18" w:rsidRPr="00476B18">
        <w:rPr>
          <w:rFonts w:cs="Arial"/>
          <w:bCs/>
        </w:rPr>
        <w:t>Equally even strict compliance with the guidance will not necessarily amount to having reasonable procedures where the relevant body faces particular risks arising from the unique facts of its own business that have not been addressed</w:t>
      </w:r>
    </w:p>
    <w:p w14:paraId="67C2AA01" w14:textId="77777777" w:rsidR="006B5313" w:rsidRDefault="006B5313" w:rsidP="002B5BFC">
      <w:pPr>
        <w:widowControl w:val="0"/>
        <w:spacing w:line="360" w:lineRule="auto"/>
        <w:jc w:val="both"/>
        <w:rPr>
          <w:rFonts w:cs="Arial"/>
        </w:rPr>
      </w:pPr>
    </w:p>
    <w:p w14:paraId="3200DB61" w14:textId="1A70B19D" w:rsidR="00FF6D82" w:rsidRDefault="00CA7E46" w:rsidP="00C6531E">
      <w:pPr>
        <w:pStyle w:val="ListParagraph"/>
        <w:numPr>
          <w:ilvl w:val="0"/>
          <w:numId w:val="2"/>
        </w:numPr>
        <w:spacing w:line="360" w:lineRule="auto"/>
        <w:jc w:val="both"/>
        <w:rPr>
          <w:rFonts w:cs="Arial"/>
          <w:b/>
        </w:rPr>
      </w:pPr>
      <w:r w:rsidRPr="00FF6D82">
        <w:rPr>
          <w:rFonts w:cs="Arial"/>
          <w:b/>
        </w:rPr>
        <w:t>ANALYSIS</w:t>
      </w:r>
    </w:p>
    <w:p w14:paraId="705A9838" w14:textId="77777777" w:rsidR="00A678AB" w:rsidRDefault="00A678AB" w:rsidP="00A678AB">
      <w:pPr>
        <w:pStyle w:val="ListParagraph"/>
        <w:spacing w:line="360" w:lineRule="auto"/>
        <w:ind w:left="360"/>
        <w:jc w:val="both"/>
        <w:rPr>
          <w:rFonts w:cs="Arial"/>
          <w:b/>
        </w:rPr>
      </w:pPr>
    </w:p>
    <w:p w14:paraId="561DC03D" w14:textId="6A318533" w:rsidR="00F656B1" w:rsidRPr="00F656B1" w:rsidRDefault="00F80974" w:rsidP="00F656B1">
      <w:pPr>
        <w:pStyle w:val="ListParagraph"/>
        <w:numPr>
          <w:ilvl w:val="1"/>
          <w:numId w:val="2"/>
        </w:numPr>
        <w:spacing w:line="360" w:lineRule="auto"/>
        <w:ind w:hanging="792"/>
        <w:jc w:val="both"/>
        <w:rPr>
          <w:rFonts w:cs="Arial"/>
          <w:bCs/>
        </w:rPr>
      </w:pPr>
      <w:r>
        <w:rPr>
          <w:rFonts w:cs="Arial"/>
          <w:bCs/>
        </w:rPr>
        <w:t xml:space="preserve">The LCFS has considered the guidance issued by the </w:t>
      </w:r>
      <w:r w:rsidR="00C40748">
        <w:rPr>
          <w:rFonts w:cs="Arial"/>
          <w:bCs/>
        </w:rPr>
        <w:t xml:space="preserve">UK </w:t>
      </w:r>
      <w:r>
        <w:rPr>
          <w:rFonts w:cs="Arial"/>
          <w:bCs/>
        </w:rPr>
        <w:t>Government</w:t>
      </w:r>
      <w:r w:rsidR="00C40748">
        <w:rPr>
          <w:rFonts w:cs="Arial"/>
          <w:bCs/>
        </w:rPr>
        <w:t xml:space="preserve"> and that of NHS Counter Fraud Authority</w:t>
      </w:r>
      <w:r>
        <w:rPr>
          <w:rFonts w:cs="Arial"/>
          <w:bCs/>
        </w:rPr>
        <w:t xml:space="preserve"> and we are of the view that </w:t>
      </w:r>
      <w:r w:rsidR="00C40748">
        <w:rPr>
          <w:rFonts w:cs="Arial"/>
          <w:bCs/>
        </w:rPr>
        <w:t>the</w:t>
      </w:r>
      <w:r>
        <w:rPr>
          <w:rFonts w:cs="Arial"/>
          <w:bCs/>
        </w:rPr>
        <w:t xml:space="preserve"> Health Board would meet the definition of a large organisation for the purposes of ECCTA 2023</w:t>
      </w:r>
      <w:r w:rsidR="005540EE">
        <w:rPr>
          <w:rFonts w:cs="Arial"/>
          <w:bCs/>
        </w:rPr>
        <w:t>,</w:t>
      </w:r>
      <w:r w:rsidR="00F656B1">
        <w:rPr>
          <w:rFonts w:cs="Arial"/>
          <w:bCs/>
        </w:rPr>
        <w:t xml:space="preserve"> therefore we need to consider the question of whether we have reasonable procedures in place to prevent fraud. </w:t>
      </w:r>
    </w:p>
    <w:p w14:paraId="47BD4BE7" w14:textId="4F54F5F1" w:rsidR="008A71AE" w:rsidRPr="00E7435A" w:rsidRDefault="003B11AE" w:rsidP="00E7435A">
      <w:pPr>
        <w:pStyle w:val="ListParagraph"/>
        <w:numPr>
          <w:ilvl w:val="1"/>
          <w:numId w:val="2"/>
        </w:numPr>
        <w:spacing w:line="360" w:lineRule="auto"/>
        <w:ind w:hanging="792"/>
        <w:jc w:val="both"/>
        <w:rPr>
          <w:rFonts w:cs="Arial"/>
          <w:bCs/>
        </w:rPr>
      </w:pPr>
      <w:r>
        <w:rPr>
          <w:rFonts w:cs="Arial"/>
          <w:bCs/>
        </w:rPr>
        <w:t>Swansea Bay University</w:t>
      </w:r>
      <w:r w:rsidR="008C7B21">
        <w:rPr>
          <w:rFonts w:cs="Arial"/>
          <w:bCs/>
        </w:rPr>
        <w:t xml:space="preserve"> Health Board </w:t>
      </w:r>
      <w:r w:rsidR="00965FE7">
        <w:rPr>
          <w:rFonts w:cs="Arial"/>
          <w:bCs/>
        </w:rPr>
        <w:t>is required to comply with the Counter Fraud Government Functional Standards - NHS Requirements</w:t>
      </w:r>
      <w:r w:rsidR="008C7B21">
        <w:rPr>
          <w:rFonts w:cs="Arial"/>
          <w:bCs/>
        </w:rPr>
        <w:t xml:space="preserve">. </w:t>
      </w:r>
      <w:r w:rsidR="005540EE" w:rsidRPr="00E7435A">
        <w:rPr>
          <w:rFonts w:cs="Arial"/>
          <w:bCs/>
        </w:rPr>
        <w:t>T</w:t>
      </w:r>
      <w:r w:rsidR="00265484" w:rsidRPr="00E7435A">
        <w:rPr>
          <w:rFonts w:cs="Arial"/>
          <w:bCs/>
        </w:rPr>
        <w:t xml:space="preserve">he guidance issued by the </w:t>
      </w:r>
      <w:r w:rsidR="00C40748">
        <w:rPr>
          <w:rFonts w:cs="Arial"/>
          <w:bCs/>
        </w:rPr>
        <w:t xml:space="preserve">UK </w:t>
      </w:r>
      <w:r w:rsidR="00265484" w:rsidRPr="00E7435A">
        <w:rPr>
          <w:rFonts w:cs="Arial"/>
          <w:bCs/>
        </w:rPr>
        <w:t xml:space="preserve">Government acknowledges that public sector organisations are likely to have many of the elements of the fraud prevention framework already in place but there may be a need to adapt these procedures to </w:t>
      </w:r>
      <w:r w:rsidR="0090583B" w:rsidRPr="00E7435A">
        <w:rPr>
          <w:rFonts w:cs="Arial"/>
          <w:bCs/>
        </w:rPr>
        <w:t xml:space="preserve">ensure they </w:t>
      </w:r>
      <w:r w:rsidR="00265484" w:rsidRPr="00E7435A">
        <w:rPr>
          <w:rFonts w:cs="Arial"/>
          <w:bCs/>
        </w:rPr>
        <w:t xml:space="preserve">consider </w:t>
      </w:r>
      <w:r w:rsidR="005540EE" w:rsidRPr="00E7435A">
        <w:rPr>
          <w:rFonts w:cs="Arial"/>
          <w:bCs/>
        </w:rPr>
        <w:t>the failure to prevent fraud</w:t>
      </w:r>
      <w:r w:rsidR="00265484" w:rsidRPr="00E7435A">
        <w:rPr>
          <w:rFonts w:cs="Arial"/>
          <w:bCs/>
        </w:rPr>
        <w:t xml:space="preserve"> offence.</w:t>
      </w:r>
    </w:p>
    <w:p w14:paraId="3AF9B319" w14:textId="6767D10E" w:rsidR="0090583B" w:rsidRDefault="00965FE7" w:rsidP="00F656B1">
      <w:pPr>
        <w:pStyle w:val="ListParagraph"/>
        <w:numPr>
          <w:ilvl w:val="1"/>
          <w:numId w:val="2"/>
        </w:numPr>
        <w:spacing w:line="360" w:lineRule="auto"/>
        <w:ind w:hanging="792"/>
        <w:jc w:val="both"/>
        <w:rPr>
          <w:rFonts w:cs="Arial"/>
          <w:bCs/>
        </w:rPr>
      </w:pPr>
      <w:r>
        <w:rPr>
          <w:rFonts w:cs="Arial"/>
          <w:bCs/>
        </w:rPr>
        <w:lastRenderedPageBreak/>
        <w:t>The Health Board currently has measures in place via compliance with the Counter Fraud Standards which map directly to the six principles set out for defence against the new corporate offence</w:t>
      </w:r>
      <w:r w:rsidR="00A8775B">
        <w:rPr>
          <w:rFonts w:cs="Arial"/>
          <w:bCs/>
        </w:rPr>
        <w:t>:-</w:t>
      </w:r>
    </w:p>
    <w:p w14:paraId="0606EA52" w14:textId="77777777" w:rsidR="00965FE7" w:rsidRDefault="00965FE7" w:rsidP="00965FE7">
      <w:pPr>
        <w:pStyle w:val="ListParagraph"/>
        <w:tabs>
          <w:tab w:val="left" w:pos="2552"/>
        </w:tabs>
        <w:spacing w:line="480" w:lineRule="auto"/>
        <w:ind w:left="1224"/>
        <w:jc w:val="both"/>
        <w:rPr>
          <w:rFonts w:cs="Arial"/>
        </w:rPr>
      </w:pPr>
    </w:p>
    <w:p w14:paraId="5DA1DC2B" w14:textId="208E16A1" w:rsidR="00965FE7" w:rsidRDefault="00965FE7" w:rsidP="00965FE7">
      <w:pPr>
        <w:pStyle w:val="ListParagraph"/>
        <w:tabs>
          <w:tab w:val="left" w:pos="2552"/>
        </w:tabs>
        <w:spacing w:line="480" w:lineRule="auto"/>
        <w:ind w:left="1224"/>
        <w:jc w:val="both"/>
        <w:rPr>
          <w:rFonts w:cs="Arial"/>
          <w:b/>
          <w:bCs/>
        </w:rPr>
      </w:pPr>
      <w:r w:rsidRPr="00965FE7">
        <w:rPr>
          <w:rFonts w:cs="Arial"/>
          <w:b/>
          <w:bCs/>
        </w:rPr>
        <w:t>Top Level Commitment</w:t>
      </w:r>
    </w:p>
    <w:p w14:paraId="709BC7C1" w14:textId="24F71A06" w:rsidR="00965FE7" w:rsidRDefault="00965FE7" w:rsidP="00965FE7">
      <w:pPr>
        <w:pStyle w:val="ListParagraph"/>
        <w:tabs>
          <w:tab w:val="left" w:pos="2552"/>
        </w:tabs>
        <w:spacing w:line="480" w:lineRule="auto"/>
        <w:ind w:left="1224"/>
        <w:jc w:val="both"/>
        <w:rPr>
          <w:rFonts w:cs="Arial"/>
        </w:rPr>
      </w:pPr>
      <w:r w:rsidRPr="00965FE7">
        <w:rPr>
          <w:rFonts w:cs="Arial"/>
        </w:rPr>
        <w:t>Links with Standard component 1; to have an accountable individual at board level who is responsible for fraud, bribery and corruption.</w:t>
      </w:r>
      <w:r>
        <w:rPr>
          <w:rFonts w:cs="Arial"/>
        </w:rPr>
        <w:t xml:space="preserve"> The Health Board is currently Green rated for this standard with Director of Finance holding responsibility for counter fraud matters and a nominated Fraud Champion. </w:t>
      </w:r>
    </w:p>
    <w:p w14:paraId="6882CDE7" w14:textId="77777777" w:rsidR="00965FE7" w:rsidRDefault="00965FE7" w:rsidP="00965FE7">
      <w:pPr>
        <w:pStyle w:val="ListParagraph"/>
        <w:tabs>
          <w:tab w:val="left" w:pos="2552"/>
        </w:tabs>
        <w:spacing w:line="480" w:lineRule="auto"/>
        <w:ind w:left="1224"/>
        <w:jc w:val="both"/>
        <w:rPr>
          <w:rFonts w:cs="Arial"/>
        </w:rPr>
      </w:pPr>
    </w:p>
    <w:p w14:paraId="2A59DCD8" w14:textId="547A079C" w:rsidR="00965FE7" w:rsidRPr="00965FE7" w:rsidRDefault="00965FE7" w:rsidP="00965FE7">
      <w:pPr>
        <w:pStyle w:val="ListParagraph"/>
        <w:tabs>
          <w:tab w:val="left" w:pos="2552"/>
        </w:tabs>
        <w:spacing w:line="480" w:lineRule="auto"/>
        <w:ind w:left="1224"/>
        <w:jc w:val="both"/>
        <w:rPr>
          <w:rFonts w:cs="Arial"/>
          <w:b/>
          <w:bCs/>
        </w:rPr>
      </w:pPr>
      <w:r w:rsidRPr="00965FE7">
        <w:rPr>
          <w:rFonts w:cs="Arial"/>
          <w:b/>
          <w:bCs/>
        </w:rPr>
        <w:t>Risk Assessment</w:t>
      </w:r>
    </w:p>
    <w:p w14:paraId="50BF5E26" w14:textId="2ACD7DD7" w:rsidR="00965FE7" w:rsidRDefault="00965FE7" w:rsidP="00965FE7">
      <w:pPr>
        <w:pStyle w:val="ListParagraph"/>
        <w:tabs>
          <w:tab w:val="left" w:pos="2552"/>
        </w:tabs>
        <w:spacing w:line="480" w:lineRule="auto"/>
        <w:ind w:left="1224"/>
        <w:jc w:val="both"/>
        <w:rPr>
          <w:rFonts w:cs="Arial"/>
        </w:rPr>
      </w:pPr>
      <w:r>
        <w:rPr>
          <w:rFonts w:cs="Arial"/>
        </w:rPr>
        <w:t>L</w:t>
      </w:r>
      <w:r w:rsidRPr="00965FE7">
        <w:rPr>
          <w:rFonts w:cs="Arial"/>
        </w:rPr>
        <w:t>inks with</w:t>
      </w:r>
      <w:r>
        <w:rPr>
          <w:rFonts w:cs="Arial"/>
        </w:rPr>
        <w:t xml:space="preserve"> Counter Fraud Standard component 3; </w:t>
      </w:r>
      <w:r w:rsidRPr="00965FE7">
        <w:rPr>
          <w:rFonts w:cs="Arial"/>
        </w:rPr>
        <w:t>to have a fraud, bribery and corruption risk assessment that feeds into the organisational workplan and is managed in line with the organisation</w:t>
      </w:r>
      <w:r>
        <w:rPr>
          <w:rFonts w:cs="Arial"/>
        </w:rPr>
        <w:t>’</w:t>
      </w:r>
      <w:r w:rsidRPr="00965FE7">
        <w:rPr>
          <w:rFonts w:cs="Arial"/>
        </w:rPr>
        <w:t>s local risk management policies</w:t>
      </w:r>
      <w:r>
        <w:rPr>
          <w:rFonts w:cs="Arial"/>
        </w:rPr>
        <w:t xml:space="preserve">. The Health Board is currently Green rated for this standard with a maturing integration with established risk management processes. </w:t>
      </w:r>
    </w:p>
    <w:p w14:paraId="57AD5BFD" w14:textId="77777777" w:rsidR="00965FE7" w:rsidRDefault="00965FE7" w:rsidP="00965FE7">
      <w:pPr>
        <w:pStyle w:val="ListParagraph"/>
        <w:tabs>
          <w:tab w:val="left" w:pos="2552"/>
        </w:tabs>
        <w:spacing w:line="480" w:lineRule="auto"/>
        <w:ind w:left="1224"/>
        <w:jc w:val="both"/>
        <w:rPr>
          <w:rFonts w:cs="Arial"/>
        </w:rPr>
      </w:pPr>
    </w:p>
    <w:p w14:paraId="077571CF" w14:textId="07D6F70C" w:rsidR="00965FE7" w:rsidRPr="00965FE7" w:rsidRDefault="00965FE7" w:rsidP="00965FE7">
      <w:pPr>
        <w:pStyle w:val="ListParagraph"/>
        <w:tabs>
          <w:tab w:val="left" w:pos="2552"/>
        </w:tabs>
        <w:spacing w:line="480" w:lineRule="auto"/>
        <w:ind w:left="1224"/>
        <w:jc w:val="both"/>
        <w:rPr>
          <w:rFonts w:cs="Arial"/>
          <w:b/>
          <w:bCs/>
        </w:rPr>
      </w:pPr>
      <w:r w:rsidRPr="00965FE7">
        <w:rPr>
          <w:rFonts w:cs="Arial"/>
          <w:b/>
          <w:bCs/>
        </w:rPr>
        <w:t>Proportionate Risk-Based Prevention Procedures</w:t>
      </w:r>
    </w:p>
    <w:p w14:paraId="3AA016A9" w14:textId="55FBCBFE" w:rsidR="00965FE7" w:rsidRDefault="0060373D" w:rsidP="00965FE7">
      <w:pPr>
        <w:pStyle w:val="ListParagraph"/>
        <w:tabs>
          <w:tab w:val="left" w:pos="2552"/>
        </w:tabs>
        <w:spacing w:line="480" w:lineRule="auto"/>
        <w:ind w:left="1224"/>
        <w:jc w:val="both"/>
        <w:rPr>
          <w:rFonts w:cs="Arial"/>
        </w:rPr>
      </w:pPr>
      <w:r>
        <w:rPr>
          <w:rFonts w:cs="Arial"/>
        </w:rPr>
        <w:t>L</w:t>
      </w:r>
      <w:r w:rsidRPr="0060373D">
        <w:rPr>
          <w:rFonts w:cs="Arial"/>
        </w:rPr>
        <w:t xml:space="preserve">inks </w:t>
      </w:r>
      <w:r>
        <w:rPr>
          <w:rFonts w:cs="Arial"/>
        </w:rPr>
        <w:t>with Counter Fraud Standard component 5</w:t>
      </w:r>
      <w:r w:rsidRPr="0060373D">
        <w:rPr>
          <w:rFonts w:cs="Arial"/>
        </w:rPr>
        <w:t>; to have an annual action plan that is informed by fraud risk, identifying activities to improve capability and resilience.</w:t>
      </w:r>
      <w:r>
        <w:rPr>
          <w:rFonts w:cs="Arial"/>
        </w:rPr>
        <w:t xml:space="preserve"> The Health Board is currently Green rated for this standard with an annual Counter Fraud Work Plan agreed with the Director of Finance and approved by the Audit Committee. </w:t>
      </w:r>
    </w:p>
    <w:p w14:paraId="72957455" w14:textId="77777777" w:rsidR="0060373D" w:rsidRDefault="0060373D" w:rsidP="00965FE7">
      <w:pPr>
        <w:pStyle w:val="ListParagraph"/>
        <w:tabs>
          <w:tab w:val="left" w:pos="2552"/>
        </w:tabs>
        <w:spacing w:line="480" w:lineRule="auto"/>
        <w:ind w:left="1224"/>
        <w:jc w:val="both"/>
        <w:rPr>
          <w:rFonts w:cs="Arial"/>
        </w:rPr>
      </w:pPr>
    </w:p>
    <w:p w14:paraId="713449CA" w14:textId="77777777" w:rsidR="00C40748" w:rsidRDefault="00C40748" w:rsidP="00965FE7">
      <w:pPr>
        <w:pStyle w:val="ListParagraph"/>
        <w:tabs>
          <w:tab w:val="left" w:pos="2552"/>
        </w:tabs>
        <w:spacing w:line="480" w:lineRule="auto"/>
        <w:ind w:left="1224"/>
        <w:jc w:val="both"/>
        <w:rPr>
          <w:rFonts w:cs="Arial"/>
        </w:rPr>
      </w:pPr>
    </w:p>
    <w:p w14:paraId="564E4DCB" w14:textId="77777777" w:rsidR="00C40748" w:rsidRDefault="00C40748" w:rsidP="00965FE7">
      <w:pPr>
        <w:pStyle w:val="ListParagraph"/>
        <w:tabs>
          <w:tab w:val="left" w:pos="2552"/>
        </w:tabs>
        <w:spacing w:line="480" w:lineRule="auto"/>
        <w:ind w:left="1224"/>
        <w:jc w:val="both"/>
        <w:rPr>
          <w:rFonts w:cs="Arial"/>
        </w:rPr>
      </w:pPr>
    </w:p>
    <w:p w14:paraId="35AE62C6" w14:textId="77777777" w:rsidR="0060373D" w:rsidRDefault="0060373D" w:rsidP="0060373D">
      <w:pPr>
        <w:pStyle w:val="ListParagraph"/>
        <w:tabs>
          <w:tab w:val="left" w:pos="2552"/>
        </w:tabs>
        <w:spacing w:line="480" w:lineRule="auto"/>
        <w:ind w:left="1224"/>
        <w:jc w:val="both"/>
        <w:rPr>
          <w:rFonts w:cs="Arial"/>
          <w:b/>
          <w:bCs/>
        </w:rPr>
      </w:pPr>
      <w:r w:rsidRPr="0060373D">
        <w:rPr>
          <w:rFonts w:cs="Arial"/>
          <w:b/>
          <w:bCs/>
        </w:rPr>
        <w:lastRenderedPageBreak/>
        <w:t>Due Diligence</w:t>
      </w:r>
    </w:p>
    <w:p w14:paraId="47FF2403" w14:textId="335CB7C9" w:rsidR="0060373D" w:rsidRDefault="0060373D" w:rsidP="0060373D">
      <w:pPr>
        <w:pStyle w:val="ListParagraph"/>
        <w:tabs>
          <w:tab w:val="left" w:pos="2552"/>
        </w:tabs>
        <w:spacing w:line="480" w:lineRule="auto"/>
        <w:ind w:left="1224"/>
        <w:jc w:val="both"/>
        <w:rPr>
          <w:rFonts w:cs="Arial"/>
        </w:rPr>
      </w:pPr>
      <w:r w:rsidRPr="0060373D">
        <w:rPr>
          <w:rFonts w:cs="Arial"/>
        </w:rPr>
        <w:t xml:space="preserve">Links to a number of components including </w:t>
      </w:r>
      <w:r>
        <w:rPr>
          <w:rFonts w:cs="Arial"/>
        </w:rPr>
        <w:t>Counter Fraud Standard component</w:t>
      </w:r>
      <w:r w:rsidRPr="0060373D">
        <w:rPr>
          <w:rFonts w:cs="Arial"/>
        </w:rPr>
        <w:t xml:space="preserve"> 2; the organisation should align their counter fraud, bribery and corruption work to the NHSCFA’s central strategy.</w:t>
      </w:r>
      <w:r>
        <w:rPr>
          <w:rFonts w:cs="Arial"/>
        </w:rPr>
        <w:t xml:space="preserve"> The Health Board is currently Green rated for this standard with strategy set out in the Counter Fraud Work Plan and within Health Board policies such as the Counter Fraud Policy and Response Plan. </w:t>
      </w:r>
    </w:p>
    <w:p w14:paraId="27C05048" w14:textId="77777777" w:rsidR="0060373D" w:rsidRDefault="0060373D" w:rsidP="0060373D">
      <w:pPr>
        <w:pStyle w:val="ListParagraph"/>
        <w:tabs>
          <w:tab w:val="left" w:pos="2552"/>
        </w:tabs>
        <w:spacing w:line="480" w:lineRule="auto"/>
        <w:ind w:left="1224"/>
        <w:jc w:val="both"/>
        <w:rPr>
          <w:rFonts w:cs="Arial"/>
        </w:rPr>
      </w:pPr>
    </w:p>
    <w:p w14:paraId="51FBF42A" w14:textId="77777777" w:rsidR="0060373D" w:rsidRDefault="0060373D" w:rsidP="0060373D">
      <w:pPr>
        <w:pStyle w:val="ListParagraph"/>
        <w:tabs>
          <w:tab w:val="left" w:pos="2552"/>
        </w:tabs>
        <w:spacing w:line="480" w:lineRule="auto"/>
        <w:ind w:left="1224"/>
        <w:jc w:val="both"/>
        <w:rPr>
          <w:rFonts w:cs="Arial"/>
          <w:b/>
          <w:bCs/>
        </w:rPr>
      </w:pPr>
      <w:r w:rsidRPr="0060373D">
        <w:rPr>
          <w:rFonts w:cs="Arial"/>
          <w:b/>
          <w:bCs/>
        </w:rPr>
        <w:t>Communication (Including Training)</w:t>
      </w:r>
    </w:p>
    <w:p w14:paraId="6071BDC5" w14:textId="35EC3674" w:rsidR="0060373D" w:rsidRDefault="0060373D" w:rsidP="0060373D">
      <w:pPr>
        <w:pStyle w:val="ListParagraph"/>
        <w:tabs>
          <w:tab w:val="left" w:pos="2552"/>
        </w:tabs>
        <w:spacing w:line="480" w:lineRule="auto"/>
        <w:ind w:left="1224"/>
        <w:jc w:val="both"/>
        <w:rPr>
          <w:rFonts w:cs="Arial"/>
        </w:rPr>
      </w:pPr>
      <w:r>
        <w:rPr>
          <w:rFonts w:cs="Arial"/>
        </w:rPr>
        <w:t>L</w:t>
      </w:r>
      <w:r w:rsidRPr="0060373D">
        <w:rPr>
          <w:rFonts w:cs="Arial"/>
        </w:rPr>
        <w:t xml:space="preserve">inks with </w:t>
      </w:r>
      <w:r>
        <w:rPr>
          <w:rFonts w:cs="Arial"/>
        </w:rPr>
        <w:t>Counter Fraud Standard component</w:t>
      </w:r>
      <w:r w:rsidRPr="0060373D">
        <w:rPr>
          <w:rFonts w:cs="Arial"/>
        </w:rPr>
        <w:t xml:space="preserve"> 7; to have well established and documented reporting routes for staff, contractors and members of the public where necessary to report fraud suspicions.</w:t>
      </w:r>
      <w:r w:rsidR="00277023">
        <w:rPr>
          <w:rFonts w:cs="Arial"/>
        </w:rPr>
        <w:t xml:space="preserve"> The Health Board is currently rated Green for this standard with availability of multi-modal reporting routes for staff which are well established and documented. </w:t>
      </w:r>
      <w:r w:rsidRPr="0060373D">
        <w:rPr>
          <w:rFonts w:cs="Arial"/>
        </w:rPr>
        <w:t xml:space="preserve"> </w:t>
      </w:r>
    </w:p>
    <w:p w14:paraId="34FE26D3" w14:textId="78905D03" w:rsidR="0060373D" w:rsidRPr="0060373D" w:rsidRDefault="0060373D" w:rsidP="0060373D">
      <w:pPr>
        <w:pStyle w:val="ListParagraph"/>
        <w:tabs>
          <w:tab w:val="left" w:pos="2552"/>
        </w:tabs>
        <w:spacing w:line="480" w:lineRule="auto"/>
        <w:ind w:left="1224"/>
        <w:jc w:val="both"/>
        <w:rPr>
          <w:rFonts w:cs="Arial"/>
        </w:rPr>
      </w:pPr>
      <w:r w:rsidRPr="0060373D">
        <w:rPr>
          <w:rFonts w:cs="Arial"/>
        </w:rPr>
        <w:t xml:space="preserve">This also links with </w:t>
      </w:r>
      <w:r>
        <w:rPr>
          <w:rFonts w:cs="Arial"/>
        </w:rPr>
        <w:t>Counter Fraud Standard component</w:t>
      </w:r>
      <w:r w:rsidRPr="0060373D">
        <w:rPr>
          <w:rFonts w:cs="Arial"/>
        </w:rPr>
        <w:t xml:space="preserve"> 11; ensuring that all staff have access to and undertake fraud awareness, bribery and corruption training as appropriate to their role.</w:t>
      </w:r>
      <w:r>
        <w:rPr>
          <w:rFonts w:cs="Arial"/>
        </w:rPr>
        <w:t xml:space="preserve"> The Health Board is currently Green rated </w:t>
      </w:r>
      <w:r w:rsidR="00AE1150">
        <w:rPr>
          <w:rFonts w:cs="Arial"/>
        </w:rPr>
        <w:t xml:space="preserve">for this standard </w:t>
      </w:r>
      <w:r w:rsidR="00C40748">
        <w:rPr>
          <w:rFonts w:cs="Arial"/>
        </w:rPr>
        <w:t xml:space="preserve">but continued compliance is always looking to improve this area. </w:t>
      </w:r>
    </w:p>
    <w:p w14:paraId="520D9D38" w14:textId="77777777" w:rsidR="0060373D" w:rsidRDefault="0060373D" w:rsidP="0060373D">
      <w:pPr>
        <w:pStyle w:val="ListParagraph"/>
        <w:tabs>
          <w:tab w:val="left" w:pos="2552"/>
        </w:tabs>
        <w:spacing w:line="480" w:lineRule="auto"/>
        <w:ind w:left="1224"/>
        <w:jc w:val="both"/>
        <w:rPr>
          <w:rFonts w:cs="Arial"/>
        </w:rPr>
      </w:pPr>
    </w:p>
    <w:p w14:paraId="5890F079" w14:textId="2D5F981B" w:rsidR="00277023" w:rsidRPr="00277023" w:rsidRDefault="00277023" w:rsidP="0060373D">
      <w:pPr>
        <w:pStyle w:val="ListParagraph"/>
        <w:tabs>
          <w:tab w:val="left" w:pos="2552"/>
        </w:tabs>
        <w:spacing w:line="480" w:lineRule="auto"/>
        <w:ind w:left="1224"/>
        <w:jc w:val="both"/>
        <w:rPr>
          <w:rFonts w:cs="Arial"/>
          <w:b/>
          <w:bCs/>
        </w:rPr>
      </w:pPr>
      <w:r w:rsidRPr="00277023">
        <w:rPr>
          <w:rFonts w:cs="Arial"/>
          <w:b/>
          <w:bCs/>
        </w:rPr>
        <w:t xml:space="preserve">Monitoring and Review </w:t>
      </w:r>
    </w:p>
    <w:p w14:paraId="60FBC5BC" w14:textId="25ACAEE7" w:rsidR="00C40748" w:rsidRDefault="00277023" w:rsidP="00C40748">
      <w:pPr>
        <w:pStyle w:val="ListParagraph"/>
        <w:tabs>
          <w:tab w:val="left" w:pos="2552"/>
        </w:tabs>
        <w:spacing w:line="480" w:lineRule="auto"/>
        <w:ind w:left="1224"/>
        <w:jc w:val="both"/>
        <w:rPr>
          <w:rFonts w:cs="Arial"/>
        </w:rPr>
      </w:pPr>
      <w:r>
        <w:rPr>
          <w:rFonts w:cs="Arial"/>
        </w:rPr>
        <w:t>L</w:t>
      </w:r>
      <w:r w:rsidRPr="00277023">
        <w:rPr>
          <w:rFonts w:cs="Arial"/>
        </w:rPr>
        <w:t xml:space="preserve">inks with </w:t>
      </w:r>
      <w:r>
        <w:rPr>
          <w:rFonts w:cs="Arial"/>
        </w:rPr>
        <w:t>Counter Fraud Standard component</w:t>
      </w:r>
      <w:r w:rsidRPr="0060373D">
        <w:rPr>
          <w:rFonts w:cs="Arial"/>
        </w:rPr>
        <w:t xml:space="preserve"> </w:t>
      </w:r>
      <w:r>
        <w:rPr>
          <w:rFonts w:cs="Arial"/>
        </w:rPr>
        <w:t>6</w:t>
      </w:r>
      <w:r w:rsidRPr="00277023">
        <w:rPr>
          <w:rFonts w:cs="Arial"/>
        </w:rPr>
        <w:t>; to identify and report upon annual outcome-based metrics to support improvement in performance.</w:t>
      </w:r>
      <w:r>
        <w:rPr>
          <w:rFonts w:cs="Arial"/>
        </w:rPr>
        <w:t xml:space="preserve"> </w:t>
      </w:r>
      <w:r w:rsidR="00B412E4">
        <w:rPr>
          <w:rFonts w:cs="Arial"/>
        </w:rPr>
        <w:t>The Health Board is currently rated Green in this area with KPIs set and measured on a quarterly basis</w:t>
      </w:r>
      <w:r w:rsidR="00A35BE7">
        <w:rPr>
          <w:rFonts w:cs="Arial"/>
        </w:rPr>
        <w:t xml:space="preserve"> which are</w:t>
      </w:r>
      <w:r w:rsidR="00B412E4">
        <w:rPr>
          <w:rFonts w:cs="Arial"/>
        </w:rPr>
        <w:t xml:space="preserve"> submitted to Welsh Government </w:t>
      </w:r>
      <w:r w:rsidR="00A35BE7">
        <w:rPr>
          <w:rFonts w:cs="Arial"/>
        </w:rPr>
        <w:t xml:space="preserve">and presented to the Health Board’s Audit Committee for review. </w:t>
      </w:r>
    </w:p>
    <w:p w14:paraId="57595547" w14:textId="77777777" w:rsidR="00B412E4" w:rsidRDefault="00B412E4" w:rsidP="00C40748">
      <w:pPr>
        <w:pStyle w:val="ListParagraph"/>
        <w:tabs>
          <w:tab w:val="left" w:pos="2552"/>
        </w:tabs>
        <w:spacing w:line="480" w:lineRule="auto"/>
        <w:ind w:left="1224"/>
        <w:jc w:val="both"/>
        <w:rPr>
          <w:rFonts w:cs="Arial"/>
        </w:rPr>
      </w:pPr>
    </w:p>
    <w:p w14:paraId="6450F0D0" w14:textId="77777777" w:rsidR="00B412E4" w:rsidRDefault="00B412E4" w:rsidP="00C40748">
      <w:pPr>
        <w:pStyle w:val="ListParagraph"/>
        <w:tabs>
          <w:tab w:val="left" w:pos="2552"/>
        </w:tabs>
        <w:spacing w:line="480" w:lineRule="auto"/>
        <w:ind w:left="1224"/>
        <w:jc w:val="both"/>
        <w:rPr>
          <w:rFonts w:cs="Arial"/>
        </w:rPr>
      </w:pPr>
    </w:p>
    <w:p w14:paraId="0A808CEB" w14:textId="77777777" w:rsidR="0063516A" w:rsidRDefault="0063516A" w:rsidP="007D70A9">
      <w:pPr>
        <w:widowControl w:val="0"/>
        <w:spacing w:line="360" w:lineRule="auto"/>
        <w:jc w:val="both"/>
      </w:pPr>
    </w:p>
    <w:p w14:paraId="578ACDD4" w14:textId="417C7B21" w:rsidR="00DB11BA" w:rsidRDefault="00596A7D" w:rsidP="00DB11BA">
      <w:pPr>
        <w:pStyle w:val="ListParagraph"/>
        <w:widowControl w:val="0"/>
        <w:numPr>
          <w:ilvl w:val="0"/>
          <w:numId w:val="2"/>
        </w:numPr>
        <w:spacing w:line="360" w:lineRule="auto"/>
        <w:jc w:val="both"/>
        <w:rPr>
          <w:rFonts w:cs="Arial"/>
          <w:b/>
        </w:rPr>
      </w:pPr>
      <w:r>
        <w:rPr>
          <w:rFonts w:cs="Arial"/>
          <w:b/>
        </w:rPr>
        <w:t>R</w:t>
      </w:r>
      <w:r w:rsidR="00A678AB">
        <w:rPr>
          <w:rFonts w:cs="Arial"/>
          <w:b/>
        </w:rPr>
        <w:t>ECOMMENDATIONS</w:t>
      </w:r>
    </w:p>
    <w:p w14:paraId="5F8C7FD9" w14:textId="77777777" w:rsidR="0063516A" w:rsidRDefault="0063516A" w:rsidP="0063516A">
      <w:pPr>
        <w:pStyle w:val="ListParagraph"/>
        <w:widowControl w:val="0"/>
        <w:spacing w:line="360" w:lineRule="auto"/>
        <w:ind w:left="360"/>
        <w:jc w:val="both"/>
        <w:rPr>
          <w:rFonts w:cs="Arial"/>
          <w:b/>
        </w:rPr>
      </w:pPr>
    </w:p>
    <w:p w14:paraId="79D8FF9E" w14:textId="4C77DF7F" w:rsidR="0063516A" w:rsidRDefault="0063516A" w:rsidP="0063516A">
      <w:pPr>
        <w:pStyle w:val="ListParagraph"/>
        <w:numPr>
          <w:ilvl w:val="1"/>
          <w:numId w:val="2"/>
        </w:numPr>
        <w:spacing w:line="360" w:lineRule="auto"/>
        <w:ind w:hanging="792"/>
        <w:jc w:val="both"/>
        <w:rPr>
          <w:rFonts w:cs="Arial"/>
          <w:bCs/>
        </w:rPr>
      </w:pPr>
      <w:r>
        <w:rPr>
          <w:rFonts w:cs="Arial"/>
          <w:bCs/>
        </w:rPr>
        <w:t>ECCTA 2023 can only strengthen our collective fraud prevention efforts by enabling us to create an environment with an increased anti-fraud culture. This will continue to evolve once the offence comes into force and organisations are prosecuted for a failure to prevent fraud.</w:t>
      </w:r>
    </w:p>
    <w:p w14:paraId="2F12370D" w14:textId="1FBECF95" w:rsidR="0063516A" w:rsidRPr="00324149" w:rsidRDefault="00324149" w:rsidP="0063516A">
      <w:pPr>
        <w:pStyle w:val="ListParagraph"/>
        <w:widowControl w:val="0"/>
        <w:numPr>
          <w:ilvl w:val="1"/>
          <w:numId w:val="2"/>
        </w:numPr>
        <w:spacing w:line="360" w:lineRule="auto"/>
        <w:ind w:hanging="792"/>
        <w:jc w:val="both"/>
        <w:rPr>
          <w:rFonts w:cs="Arial"/>
          <w:bCs/>
        </w:rPr>
      </w:pPr>
      <w:r>
        <w:rPr>
          <w:rFonts w:cs="Arial"/>
          <w:bCs/>
        </w:rPr>
        <w:t>Currently t</w:t>
      </w:r>
      <w:r w:rsidR="0063516A" w:rsidRPr="00324149">
        <w:rPr>
          <w:rFonts w:cs="Arial"/>
          <w:bCs/>
        </w:rPr>
        <w:t>he LCFS would make the following suggestions to help strengthen our position in demonstrating that we have reasonable procedures in place</w:t>
      </w:r>
    </w:p>
    <w:p w14:paraId="0E7404B0" w14:textId="3BF393DF" w:rsidR="00324149" w:rsidRDefault="00324149" w:rsidP="0063516A">
      <w:pPr>
        <w:pStyle w:val="ListParagraph"/>
        <w:widowControl w:val="0"/>
        <w:numPr>
          <w:ilvl w:val="2"/>
          <w:numId w:val="2"/>
        </w:numPr>
        <w:spacing w:line="360" w:lineRule="auto"/>
        <w:ind w:left="1418" w:hanging="698"/>
        <w:jc w:val="both"/>
        <w:rPr>
          <w:rFonts w:cs="Arial"/>
          <w:bCs/>
        </w:rPr>
      </w:pPr>
      <w:r w:rsidRPr="00324149">
        <w:rPr>
          <w:rFonts w:cs="Arial"/>
          <w:bCs/>
        </w:rPr>
        <w:t xml:space="preserve">Conduct a </w:t>
      </w:r>
      <w:r>
        <w:rPr>
          <w:rFonts w:cs="Arial"/>
          <w:bCs/>
        </w:rPr>
        <w:t>formal Risk Assessment</w:t>
      </w:r>
      <w:r w:rsidR="00277023">
        <w:rPr>
          <w:rFonts w:cs="Arial"/>
          <w:bCs/>
        </w:rPr>
        <w:t>, to incorporate the NHS Counter Fraud Authority Advisory Checklist,</w:t>
      </w:r>
      <w:r>
        <w:rPr>
          <w:rFonts w:cs="Arial"/>
          <w:bCs/>
        </w:rPr>
        <w:t xml:space="preserve"> on the potential risk to the Health Board of them being prosecuted for a failure to prevent fraud. This will enable us to formalise where we currently are, identify any weaknesses and log the risk for future review. </w:t>
      </w:r>
    </w:p>
    <w:p w14:paraId="7ABD51BC" w14:textId="086BDC4F" w:rsidR="005A0A05" w:rsidRPr="00324149" w:rsidRDefault="005A0A05" w:rsidP="0063516A">
      <w:pPr>
        <w:pStyle w:val="ListParagraph"/>
        <w:widowControl w:val="0"/>
        <w:numPr>
          <w:ilvl w:val="2"/>
          <w:numId w:val="2"/>
        </w:numPr>
        <w:spacing w:line="360" w:lineRule="auto"/>
        <w:ind w:left="1418" w:hanging="698"/>
        <w:jc w:val="both"/>
        <w:rPr>
          <w:rFonts w:cs="Arial"/>
          <w:bCs/>
        </w:rPr>
      </w:pPr>
      <w:r>
        <w:rPr>
          <w:rFonts w:cs="Arial"/>
          <w:bCs/>
        </w:rPr>
        <w:t>Engage with Procurement and Finance to ensure that all policies, procedures and contracts are in compliance with ECCTA 2023 and that documentation is updated to include reference to the new offence.</w:t>
      </w:r>
    </w:p>
    <w:p w14:paraId="79BB4842" w14:textId="0FC681FF" w:rsidR="003427B8" w:rsidRPr="0063516A" w:rsidRDefault="006A7045" w:rsidP="0063516A">
      <w:pPr>
        <w:pStyle w:val="ListParagraph"/>
        <w:widowControl w:val="0"/>
        <w:numPr>
          <w:ilvl w:val="2"/>
          <w:numId w:val="2"/>
        </w:numPr>
        <w:spacing w:line="360" w:lineRule="auto"/>
        <w:ind w:left="1418" w:hanging="698"/>
        <w:jc w:val="both"/>
        <w:rPr>
          <w:rFonts w:cs="Arial"/>
          <w:b/>
        </w:rPr>
      </w:pPr>
      <w:r>
        <w:t xml:space="preserve">Counter Fraud should be </w:t>
      </w:r>
      <w:r w:rsidR="00324149">
        <w:t xml:space="preserve">included </w:t>
      </w:r>
      <w:r>
        <w:t>as a Risk Domain and as a Specialist Advisor in the</w:t>
      </w:r>
      <w:r w:rsidR="0063516A">
        <w:t xml:space="preserve"> Health Boards overarching</w:t>
      </w:r>
      <w:r>
        <w:t xml:space="preserve"> Risk Management Policy. </w:t>
      </w:r>
    </w:p>
    <w:p w14:paraId="3F38B0B9" w14:textId="6F527A5D" w:rsidR="00A678AB" w:rsidRPr="00C17CC6" w:rsidRDefault="00C40748" w:rsidP="00A678AB">
      <w:pPr>
        <w:pStyle w:val="ListParagraph"/>
        <w:widowControl w:val="0"/>
        <w:numPr>
          <w:ilvl w:val="2"/>
          <w:numId w:val="2"/>
        </w:numPr>
        <w:spacing w:line="360" w:lineRule="auto"/>
        <w:ind w:left="1418" w:hanging="698"/>
        <w:jc w:val="both"/>
        <w:rPr>
          <w:rFonts w:cs="Arial"/>
          <w:b/>
        </w:rPr>
      </w:pPr>
      <w:r>
        <w:t>Consider m</w:t>
      </w:r>
      <w:r w:rsidR="00324149">
        <w:t>ak</w:t>
      </w:r>
      <w:r>
        <w:t>ing</w:t>
      </w:r>
      <w:r w:rsidR="00324149">
        <w:t xml:space="preserve"> Counter Fraud Awareness training a mandatory requirement for all staff</w:t>
      </w:r>
      <w:r w:rsidR="008E02C3">
        <w:t>.</w:t>
      </w:r>
      <w:r w:rsidR="00324149">
        <w:t xml:space="preserve"> </w:t>
      </w:r>
      <w:r w:rsidR="0063516A">
        <w:t xml:space="preserve">This will be </w:t>
      </w:r>
      <w:r w:rsidR="00324149">
        <w:t>a</w:t>
      </w:r>
      <w:r w:rsidR="0063516A">
        <w:t xml:space="preserve"> key element to any defence the Health Board is required to raise should an employee go rogue</w:t>
      </w:r>
      <w:r w:rsidR="005A0A05">
        <w:t xml:space="preserve"> which results in the Health Board benefitting</w:t>
      </w:r>
      <w:r w:rsidR="00324149">
        <w:t>.</w:t>
      </w:r>
    </w:p>
    <w:p w14:paraId="4DE6DE47" w14:textId="564B298E" w:rsidR="00277023" w:rsidRDefault="00277023">
      <w:pPr>
        <w:rPr>
          <w:rFonts w:cs="Arial"/>
          <w:b/>
        </w:rPr>
      </w:pPr>
      <w:r>
        <w:rPr>
          <w:rFonts w:cs="Arial"/>
          <w:b/>
        </w:rPr>
        <w:br w:type="page"/>
      </w:r>
    </w:p>
    <w:p w14:paraId="6B9F4E59" w14:textId="77777777" w:rsidR="00277023" w:rsidRDefault="00277023" w:rsidP="00C17CC6">
      <w:pPr>
        <w:widowControl w:val="0"/>
        <w:spacing w:line="360" w:lineRule="auto"/>
        <w:jc w:val="both"/>
        <w:rPr>
          <w:rFonts w:cs="Arial"/>
          <w:b/>
        </w:rPr>
      </w:pPr>
    </w:p>
    <w:p w14:paraId="1C86218D" w14:textId="598D8E7D" w:rsidR="00C17CC6" w:rsidRDefault="00277023" w:rsidP="00C17CC6">
      <w:pPr>
        <w:widowControl w:val="0"/>
        <w:spacing w:line="360" w:lineRule="auto"/>
        <w:jc w:val="both"/>
        <w:rPr>
          <w:rFonts w:cs="Arial"/>
          <w:b/>
        </w:rPr>
      </w:pPr>
      <w:r>
        <w:rPr>
          <w:rFonts w:cs="Arial"/>
          <w:b/>
        </w:rPr>
        <w:t>Appendix 1 – Useful Links for Further Reading</w:t>
      </w:r>
    </w:p>
    <w:p w14:paraId="7F8693D4" w14:textId="77777777" w:rsidR="00C17CC6" w:rsidRDefault="00C17CC6" w:rsidP="00C17CC6">
      <w:pPr>
        <w:widowControl w:val="0"/>
        <w:spacing w:line="360" w:lineRule="auto"/>
        <w:jc w:val="both"/>
        <w:rPr>
          <w:rFonts w:cs="Arial"/>
          <w:b/>
        </w:rPr>
      </w:pPr>
    </w:p>
    <w:p w14:paraId="476E1606" w14:textId="6637F115" w:rsidR="00C17CC6" w:rsidRPr="00C17CC6" w:rsidRDefault="00C17CC6" w:rsidP="00C17CC6">
      <w:pPr>
        <w:widowControl w:val="0"/>
        <w:spacing w:line="360" w:lineRule="auto"/>
        <w:jc w:val="both"/>
        <w:rPr>
          <w:rFonts w:cs="Arial"/>
          <w:b/>
        </w:rPr>
      </w:pPr>
      <w:hyperlink r:id="rId11" w:history="1">
        <w:r w:rsidRPr="00C17CC6">
          <w:rPr>
            <w:rStyle w:val="Hyperlink"/>
            <w:rFonts w:cs="Arial"/>
            <w:b/>
          </w:rPr>
          <w:t>Failure to prevent fraud offence | NHS Counter Fraud Authority</w:t>
        </w:r>
      </w:hyperlink>
    </w:p>
    <w:p w14:paraId="49FF4CD4" w14:textId="62333190" w:rsidR="00A678AB" w:rsidRDefault="00A678AB" w:rsidP="00A678AB">
      <w:pPr>
        <w:spacing w:line="360" w:lineRule="auto"/>
        <w:jc w:val="both"/>
      </w:pPr>
    </w:p>
    <w:p w14:paraId="7A0E87E7" w14:textId="72ECAA4F" w:rsidR="00D54C66" w:rsidRDefault="00C17CC6" w:rsidP="00A678AB">
      <w:pPr>
        <w:spacing w:line="360" w:lineRule="auto"/>
        <w:jc w:val="both"/>
        <w:rPr>
          <w:b/>
          <w:bCs/>
        </w:rPr>
      </w:pPr>
      <w:hyperlink r:id="rId12" w:history="1">
        <w:r w:rsidRPr="00C17CC6">
          <w:rPr>
            <w:rStyle w:val="Hyperlink"/>
            <w:b/>
            <w:bCs/>
          </w:rPr>
          <w:t>Offence of 'failure to prevent fraud' introduced by ECCTA - GOV.UK</w:t>
        </w:r>
      </w:hyperlink>
    </w:p>
    <w:p w14:paraId="6380B388" w14:textId="77777777" w:rsidR="00277023" w:rsidRDefault="00277023" w:rsidP="00A678AB">
      <w:pPr>
        <w:spacing w:line="360" w:lineRule="auto"/>
        <w:jc w:val="both"/>
        <w:rPr>
          <w:b/>
          <w:bCs/>
        </w:rPr>
      </w:pPr>
    </w:p>
    <w:p w14:paraId="5638067F" w14:textId="77777777" w:rsidR="00277023" w:rsidRDefault="00277023" w:rsidP="00A678AB">
      <w:pPr>
        <w:spacing w:line="360" w:lineRule="auto"/>
        <w:jc w:val="both"/>
        <w:rPr>
          <w:b/>
          <w:bCs/>
        </w:rPr>
      </w:pPr>
    </w:p>
    <w:p w14:paraId="39ABDA96" w14:textId="64D5988F" w:rsidR="00277023" w:rsidRDefault="00277023">
      <w:pPr>
        <w:rPr>
          <w:b/>
          <w:bCs/>
        </w:rPr>
      </w:pPr>
      <w:r>
        <w:rPr>
          <w:b/>
          <w:bCs/>
        </w:rPr>
        <w:br w:type="page"/>
      </w:r>
    </w:p>
    <w:p w14:paraId="714A9BE2" w14:textId="77777777" w:rsidR="00277023" w:rsidRDefault="00277023" w:rsidP="00A678AB">
      <w:pPr>
        <w:spacing w:line="360" w:lineRule="auto"/>
        <w:jc w:val="both"/>
        <w:rPr>
          <w:b/>
          <w:bCs/>
        </w:rPr>
      </w:pPr>
    </w:p>
    <w:p w14:paraId="04A30CE8" w14:textId="2CC6E1EA" w:rsidR="00277023" w:rsidRDefault="00277023" w:rsidP="00A678AB">
      <w:pPr>
        <w:spacing w:line="360" w:lineRule="auto"/>
        <w:jc w:val="both"/>
        <w:rPr>
          <w:b/>
          <w:bCs/>
        </w:rPr>
      </w:pPr>
      <w:r>
        <w:rPr>
          <w:b/>
          <w:bCs/>
        </w:rPr>
        <w:t>Appendix 2 – NHS Counter Fraud Authority Advisory Checklist</w:t>
      </w:r>
    </w:p>
    <w:tbl>
      <w:tblPr>
        <w:tblW w:w="9351" w:type="dxa"/>
        <w:tblLook w:val="04A0" w:firstRow="1" w:lastRow="0" w:firstColumn="1" w:lastColumn="0" w:noHBand="0" w:noVBand="1"/>
      </w:tblPr>
      <w:tblGrid>
        <w:gridCol w:w="8200"/>
        <w:gridCol w:w="1577"/>
      </w:tblGrid>
      <w:tr w:rsidR="00277023" w:rsidRPr="00277023" w14:paraId="429BECA7" w14:textId="77777777" w:rsidTr="00277023">
        <w:trPr>
          <w:trHeight w:val="315"/>
          <w:tblHeader/>
        </w:trPr>
        <w:tc>
          <w:tcPr>
            <w:tcW w:w="8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774938" w14:textId="77777777" w:rsidR="00277023" w:rsidRPr="00277023" w:rsidRDefault="00277023" w:rsidP="00277023">
            <w:pPr>
              <w:jc w:val="center"/>
              <w:rPr>
                <w:rFonts w:cs="Arial"/>
                <w:b/>
                <w:bCs/>
                <w:color w:val="000000"/>
                <w:lang w:eastAsia="en-GB"/>
              </w:rPr>
            </w:pPr>
            <w:r w:rsidRPr="00277023">
              <w:rPr>
                <w:rFonts w:cs="Arial"/>
                <w:b/>
                <w:bCs/>
                <w:color w:val="000000"/>
                <w:lang w:eastAsia="en-GB"/>
              </w:rPr>
              <w:t>Principle</w:t>
            </w:r>
          </w:p>
        </w:tc>
        <w:tc>
          <w:tcPr>
            <w:tcW w:w="1151" w:type="dxa"/>
            <w:tcBorders>
              <w:top w:val="single" w:sz="4" w:space="0" w:color="auto"/>
              <w:left w:val="nil"/>
              <w:bottom w:val="single" w:sz="4" w:space="0" w:color="auto"/>
              <w:right w:val="single" w:sz="4" w:space="0" w:color="auto"/>
            </w:tcBorders>
            <w:shd w:val="clear" w:color="auto" w:fill="auto"/>
            <w:noWrap/>
            <w:vAlign w:val="center"/>
            <w:hideMark/>
          </w:tcPr>
          <w:p w14:paraId="5840A237" w14:textId="77777777" w:rsidR="00277023" w:rsidRPr="00277023" w:rsidRDefault="00277023" w:rsidP="00277023">
            <w:pPr>
              <w:jc w:val="center"/>
              <w:rPr>
                <w:rFonts w:cs="Arial"/>
                <w:b/>
                <w:bCs/>
                <w:color w:val="000000"/>
                <w:lang w:eastAsia="en-GB"/>
              </w:rPr>
            </w:pPr>
            <w:r w:rsidRPr="00277023">
              <w:rPr>
                <w:rFonts w:cs="Arial"/>
                <w:b/>
                <w:bCs/>
                <w:color w:val="000000"/>
                <w:lang w:eastAsia="en-GB"/>
              </w:rPr>
              <w:t>Compliance</w:t>
            </w:r>
          </w:p>
        </w:tc>
      </w:tr>
      <w:tr w:rsidR="00277023" w:rsidRPr="00277023" w14:paraId="1238B684" w14:textId="77777777" w:rsidTr="00277023">
        <w:trPr>
          <w:trHeight w:val="300"/>
        </w:trPr>
        <w:tc>
          <w:tcPr>
            <w:tcW w:w="9351"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2D28B58" w14:textId="77777777" w:rsidR="00277023" w:rsidRPr="00277023" w:rsidRDefault="00277023" w:rsidP="00277023">
            <w:pPr>
              <w:jc w:val="center"/>
              <w:rPr>
                <w:rFonts w:cs="Arial"/>
                <w:b/>
                <w:bCs/>
                <w:lang w:eastAsia="en-GB"/>
              </w:rPr>
            </w:pPr>
            <w:r w:rsidRPr="00277023">
              <w:rPr>
                <w:rFonts w:cs="Arial"/>
                <w:b/>
                <w:bCs/>
                <w:lang w:eastAsia="en-GB"/>
              </w:rPr>
              <w:t>Top Level Commitment</w:t>
            </w:r>
          </w:p>
        </w:tc>
      </w:tr>
      <w:tr w:rsidR="00277023" w:rsidRPr="00277023" w14:paraId="1CE42539"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4BEB00F" w14:textId="77777777" w:rsidR="00277023" w:rsidRPr="00277023" w:rsidRDefault="00277023" w:rsidP="00277023">
            <w:pPr>
              <w:rPr>
                <w:rFonts w:cs="Arial"/>
                <w:color w:val="000000"/>
                <w:lang w:eastAsia="en-GB"/>
              </w:rPr>
            </w:pPr>
            <w:r w:rsidRPr="00277023">
              <w:rPr>
                <w:rFonts w:cs="Arial"/>
                <w:color w:val="000000"/>
                <w:lang w:eastAsia="en-GB"/>
              </w:rPr>
              <w:t>Having an accountable individual at board level who is responsible for fraud, bribery and corruption.</w:t>
            </w:r>
          </w:p>
        </w:tc>
        <w:tc>
          <w:tcPr>
            <w:tcW w:w="1151" w:type="dxa"/>
            <w:tcBorders>
              <w:top w:val="nil"/>
              <w:left w:val="nil"/>
              <w:bottom w:val="single" w:sz="4" w:space="0" w:color="auto"/>
              <w:right w:val="single" w:sz="4" w:space="0" w:color="auto"/>
            </w:tcBorders>
            <w:shd w:val="clear" w:color="auto" w:fill="auto"/>
            <w:noWrap/>
            <w:vAlign w:val="bottom"/>
            <w:hideMark/>
          </w:tcPr>
          <w:p w14:paraId="4274FB94"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79E3B5A8"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7774C7FB" w14:textId="77777777" w:rsidR="00277023" w:rsidRPr="00277023" w:rsidRDefault="00277023" w:rsidP="00277023">
            <w:pPr>
              <w:rPr>
                <w:rFonts w:cs="Arial"/>
                <w:color w:val="000000"/>
                <w:lang w:eastAsia="en-GB"/>
              </w:rPr>
            </w:pPr>
            <w:r w:rsidRPr="00277023">
              <w:rPr>
                <w:rFonts w:cs="Arial"/>
                <w:color w:val="000000"/>
                <w:lang w:eastAsia="en-GB"/>
              </w:rPr>
              <w:t>The board of directors, partners and or relevant senior management of a relevant organisation committing to preventing fraud and fostering a culture in which fraud is never acceptable.</w:t>
            </w:r>
          </w:p>
        </w:tc>
        <w:tc>
          <w:tcPr>
            <w:tcW w:w="1151" w:type="dxa"/>
            <w:tcBorders>
              <w:top w:val="nil"/>
              <w:left w:val="nil"/>
              <w:bottom w:val="single" w:sz="4" w:space="0" w:color="auto"/>
              <w:right w:val="single" w:sz="4" w:space="0" w:color="auto"/>
            </w:tcBorders>
            <w:shd w:val="clear" w:color="auto" w:fill="auto"/>
            <w:noWrap/>
            <w:vAlign w:val="bottom"/>
            <w:hideMark/>
          </w:tcPr>
          <w:p w14:paraId="5628E4F0"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457F79C0"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FBCF281" w14:textId="77777777" w:rsidR="00277023" w:rsidRPr="00277023" w:rsidRDefault="00277023" w:rsidP="00277023">
            <w:pPr>
              <w:rPr>
                <w:rFonts w:cs="Arial"/>
                <w:color w:val="000000"/>
                <w:lang w:eastAsia="en-GB"/>
              </w:rPr>
            </w:pPr>
            <w:r w:rsidRPr="00277023">
              <w:rPr>
                <w:rFonts w:cs="Arial"/>
                <w:color w:val="000000"/>
                <w:lang w:eastAsia="en-GB"/>
              </w:rPr>
              <w:t>The chief executive officer (or equivalent) making a statement about the organisation’s fraud prevention approach and measures.</w:t>
            </w:r>
          </w:p>
        </w:tc>
        <w:tc>
          <w:tcPr>
            <w:tcW w:w="1151" w:type="dxa"/>
            <w:tcBorders>
              <w:top w:val="nil"/>
              <w:left w:val="nil"/>
              <w:bottom w:val="single" w:sz="4" w:space="0" w:color="auto"/>
              <w:right w:val="single" w:sz="4" w:space="0" w:color="auto"/>
            </w:tcBorders>
            <w:shd w:val="clear" w:color="auto" w:fill="auto"/>
            <w:noWrap/>
            <w:vAlign w:val="bottom"/>
            <w:hideMark/>
          </w:tcPr>
          <w:p w14:paraId="7EB01E18"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72524BFF"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466E9E7B" w14:textId="77777777" w:rsidR="00277023" w:rsidRPr="00277023" w:rsidRDefault="00277023" w:rsidP="00277023">
            <w:pPr>
              <w:rPr>
                <w:rFonts w:cs="Arial"/>
                <w:color w:val="000000"/>
                <w:lang w:eastAsia="en-GB"/>
              </w:rPr>
            </w:pPr>
            <w:r w:rsidRPr="00277023">
              <w:rPr>
                <w:rFonts w:cs="Arial"/>
                <w:color w:val="000000"/>
                <w:lang w:eastAsia="en-GB"/>
              </w:rPr>
              <w:t>Ensuring that an effective whistleblowing facility is in place to facilitate the reporting of allegations or suspicions of fraud and other criminal conduct, and ensuring that there is board-level oversight of whistleblowing.</w:t>
            </w:r>
          </w:p>
        </w:tc>
        <w:tc>
          <w:tcPr>
            <w:tcW w:w="1151" w:type="dxa"/>
            <w:tcBorders>
              <w:top w:val="nil"/>
              <w:left w:val="nil"/>
              <w:bottom w:val="single" w:sz="4" w:space="0" w:color="auto"/>
              <w:right w:val="single" w:sz="4" w:space="0" w:color="auto"/>
            </w:tcBorders>
            <w:shd w:val="clear" w:color="auto" w:fill="auto"/>
            <w:noWrap/>
            <w:vAlign w:val="bottom"/>
            <w:hideMark/>
          </w:tcPr>
          <w:p w14:paraId="1CC2A575"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7136E872" w14:textId="77777777" w:rsidTr="00277023">
        <w:trPr>
          <w:trHeight w:val="12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5A3A7550" w14:textId="77777777" w:rsidR="00277023" w:rsidRPr="00277023" w:rsidRDefault="00277023" w:rsidP="00277023">
            <w:pPr>
              <w:rPr>
                <w:rFonts w:cs="Arial"/>
                <w:color w:val="000000"/>
                <w:lang w:eastAsia="en-GB"/>
              </w:rPr>
            </w:pPr>
            <w:r w:rsidRPr="00277023">
              <w:rPr>
                <w:rFonts w:cs="Arial"/>
                <w:color w:val="000000"/>
                <w:lang w:eastAsia="en-GB"/>
              </w:rPr>
              <w:t>Discussion of key issues amongst senior management, thinking about key milestones between now and implementation date and if appropriate and necessary, taking professional legal advice on how the offence applies to the organisation.</w:t>
            </w:r>
          </w:p>
        </w:tc>
        <w:tc>
          <w:tcPr>
            <w:tcW w:w="1151" w:type="dxa"/>
            <w:tcBorders>
              <w:top w:val="nil"/>
              <w:left w:val="nil"/>
              <w:bottom w:val="single" w:sz="4" w:space="0" w:color="auto"/>
              <w:right w:val="single" w:sz="4" w:space="0" w:color="auto"/>
            </w:tcBorders>
            <w:shd w:val="clear" w:color="auto" w:fill="auto"/>
            <w:noWrap/>
            <w:vAlign w:val="bottom"/>
            <w:hideMark/>
          </w:tcPr>
          <w:p w14:paraId="0FB36BB0"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085DFC94"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62804F61" w14:textId="77777777" w:rsidR="00277023" w:rsidRPr="00277023" w:rsidRDefault="00277023" w:rsidP="00277023">
            <w:pPr>
              <w:rPr>
                <w:rFonts w:cs="Arial"/>
                <w:color w:val="000000"/>
                <w:lang w:eastAsia="en-GB"/>
              </w:rPr>
            </w:pPr>
            <w:r w:rsidRPr="00277023">
              <w:rPr>
                <w:rFonts w:cs="Arial"/>
                <w:color w:val="000000"/>
                <w:lang w:eastAsia="en-GB"/>
              </w:rPr>
              <w:t>Senior management should be aware of and accept the initiatives and ensure that they are embedded in corporate culture.</w:t>
            </w:r>
          </w:p>
        </w:tc>
        <w:tc>
          <w:tcPr>
            <w:tcW w:w="1151" w:type="dxa"/>
            <w:tcBorders>
              <w:top w:val="nil"/>
              <w:left w:val="nil"/>
              <w:bottom w:val="single" w:sz="4" w:space="0" w:color="auto"/>
              <w:right w:val="single" w:sz="4" w:space="0" w:color="auto"/>
            </w:tcBorders>
            <w:shd w:val="clear" w:color="auto" w:fill="auto"/>
            <w:noWrap/>
            <w:vAlign w:val="bottom"/>
            <w:hideMark/>
          </w:tcPr>
          <w:p w14:paraId="6F7220B7"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5D11D76C"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18AF630E" w14:textId="77777777" w:rsidR="00277023" w:rsidRPr="00277023" w:rsidRDefault="00277023" w:rsidP="00277023">
            <w:pPr>
              <w:rPr>
                <w:rFonts w:cs="Arial"/>
                <w:color w:val="000000"/>
                <w:lang w:eastAsia="en-GB"/>
              </w:rPr>
            </w:pPr>
            <w:r w:rsidRPr="00277023">
              <w:rPr>
                <w:rFonts w:cs="Arial"/>
                <w:color w:val="000000"/>
                <w:lang w:eastAsia="en-GB"/>
              </w:rPr>
              <w:t>Monitoring the progress of measures to mitigate identified risks at a senior level.</w:t>
            </w:r>
          </w:p>
        </w:tc>
        <w:tc>
          <w:tcPr>
            <w:tcW w:w="1151" w:type="dxa"/>
            <w:tcBorders>
              <w:top w:val="nil"/>
              <w:left w:val="nil"/>
              <w:bottom w:val="single" w:sz="4" w:space="0" w:color="auto"/>
              <w:right w:val="single" w:sz="4" w:space="0" w:color="auto"/>
            </w:tcBorders>
            <w:shd w:val="clear" w:color="auto" w:fill="auto"/>
            <w:noWrap/>
            <w:vAlign w:val="bottom"/>
            <w:hideMark/>
          </w:tcPr>
          <w:p w14:paraId="1B77C6C9"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6DCE0621" w14:textId="77777777" w:rsidTr="00277023">
        <w:trPr>
          <w:trHeight w:val="315"/>
        </w:trPr>
        <w:tc>
          <w:tcPr>
            <w:tcW w:w="935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1082323D" w14:textId="77777777" w:rsidR="00277023" w:rsidRPr="00277023" w:rsidRDefault="00277023" w:rsidP="00277023">
            <w:pPr>
              <w:jc w:val="center"/>
              <w:rPr>
                <w:rFonts w:cs="Arial"/>
                <w:b/>
                <w:bCs/>
                <w:color w:val="000000"/>
                <w:lang w:eastAsia="en-GB"/>
              </w:rPr>
            </w:pPr>
            <w:r w:rsidRPr="00277023">
              <w:rPr>
                <w:rFonts w:cs="Arial"/>
                <w:b/>
                <w:bCs/>
                <w:color w:val="000000"/>
                <w:lang w:eastAsia="en-GB"/>
              </w:rPr>
              <w:t>Fraud Risk Assessment</w:t>
            </w:r>
          </w:p>
        </w:tc>
      </w:tr>
      <w:tr w:rsidR="00277023" w:rsidRPr="00277023" w14:paraId="2FBC27B1" w14:textId="77777777" w:rsidTr="00277023">
        <w:trPr>
          <w:trHeight w:val="12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13CE1421" w14:textId="77777777" w:rsidR="00277023" w:rsidRPr="00277023" w:rsidRDefault="00277023" w:rsidP="00277023">
            <w:pPr>
              <w:rPr>
                <w:rFonts w:cs="Arial"/>
                <w:color w:val="000000"/>
                <w:lang w:eastAsia="en-GB"/>
              </w:rPr>
            </w:pPr>
            <w:r w:rsidRPr="00277023">
              <w:rPr>
                <w:rFonts w:cs="Arial"/>
                <w:color w:val="000000"/>
                <w:lang w:eastAsia="en-GB"/>
              </w:rPr>
              <w:t>Having a fraud, bribery and corruption risk assessment that feeds into the organisational work plan and is managed in line with the organisations local risk management policies (GovS 013 Component 3: Fraud, bribery and corruption risk assessment).</w:t>
            </w:r>
          </w:p>
        </w:tc>
        <w:tc>
          <w:tcPr>
            <w:tcW w:w="1151" w:type="dxa"/>
            <w:tcBorders>
              <w:top w:val="nil"/>
              <w:left w:val="nil"/>
              <w:bottom w:val="single" w:sz="4" w:space="0" w:color="auto"/>
              <w:right w:val="single" w:sz="4" w:space="0" w:color="auto"/>
            </w:tcBorders>
            <w:shd w:val="clear" w:color="auto" w:fill="auto"/>
            <w:noWrap/>
            <w:vAlign w:val="bottom"/>
            <w:hideMark/>
          </w:tcPr>
          <w:p w14:paraId="63E6FE71"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6A13592B"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604B87B1" w14:textId="77777777" w:rsidR="00277023" w:rsidRPr="00277023" w:rsidRDefault="00277023" w:rsidP="00277023">
            <w:pPr>
              <w:rPr>
                <w:rFonts w:cs="Arial"/>
                <w:color w:val="000000"/>
                <w:lang w:eastAsia="en-GB"/>
              </w:rPr>
            </w:pPr>
            <w:r w:rsidRPr="00277023">
              <w:rPr>
                <w:rFonts w:cs="Arial"/>
                <w:color w:val="000000"/>
                <w:lang w:eastAsia="en-GB"/>
              </w:rPr>
              <w:t>Undertaking risk analysis in line with Government Counter Fraud Profession fraud risk assessment methodology and recording this on the appropriate risk registers.</w:t>
            </w:r>
          </w:p>
        </w:tc>
        <w:tc>
          <w:tcPr>
            <w:tcW w:w="1151" w:type="dxa"/>
            <w:tcBorders>
              <w:top w:val="nil"/>
              <w:left w:val="nil"/>
              <w:bottom w:val="single" w:sz="4" w:space="0" w:color="auto"/>
              <w:right w:val="single" w:sz="4" w:space="0" w:color="auto"/>
            </w:tcBorders>
            <w:shd w:val="clear" w:color="auto" w:fill="auto"/>
            <w:noWrap/>
            <w:vAlign w:val="bottom"/>
            <w:hideMark/>
          </w:tcPr>
          <w:p w14:paraId="4CA17BB3"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31922FA4"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0350A9FB" w14:textId="77777777" w:rsidR="00277023" w:rsidRPr="00277023" w:rsidRDefault="00277023" w:rsidP="00277023">
            <w:pPr>
              <w:rPr>
                <w:rFonts w:cs="Arial"/>
                <w:color w:val="000000"/>
                <w:lang w:eastAsia="en-GB"/>
              </w:rPr>
            </w:pPr>
            <w:r w:rsidRPr="00277023">
              <w:rPr>
                <w:rFonts w:cs="Arial"/>
                <w:color w:val="000000"/>
                <w:lang w:eastAsia="en-GB"/>
              </w:rPr>
              <w:t>Consideration of fraud risks within any associated subsidiary of the NHS organisation.</w:t>
            </w:r>
          </w:p>
        </w:tc>
        <w:tc>
          <w:tcPr>
            <w:tcW w:w="1151" w:type="dxa"/>
            <w:tcBorders>
              <w:top w:val="nil"/>
              <w:left w:val="nil"/>
              <w:bottom w:val="single" w:sz="4" w:space="0" w:color="auto"/>
              <w:right w:val="single" w:sz="4" w:space="0" w:color="auto"/>
            </w:tcBorders>
            <w:shd w:val="clear" w:color="auto" w:fill="auto"/>
            <w:noWrap/>
            <w:vAlign w:val="bottom"/>
            <w:hideMark/>
          </w:tcPr>
          <w:p w14:paraId="4895B01D"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543757CC" w14:textId="77777777" w:rsidTr="00277023">
        <w:trPr>
          <w:trHeight w:val="15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503A6EA9" w14:textId="77777777" w:rsidR="00277023" w:rsidRPr="00277023" w:rsidRDefault="00277023" w:rsidP="00277023">
            <w:pPr>
              <w:rPr>
                <w:rFonts w:cs="Arial"/>
                <w:color w:val="000000"/>
                <w:lang w:eastAsia="en-GB"/>
              </w:rPr>
            </w:pPr>
            <w:r w:rsidRPr="00277023">
              <w:rPr>
                <w:rFonts w:cs="Arial"/>
                <w:color w:val="000000"/>
                <w:lang w:eastAsia="en-GB"/>
              </w:rPr>
              <w:t>Taking legal advice where appropriate and necessary on the identification of associated persons (employees, agents, subsidiaries or other person who provides services for or on behalf behalf of the organisation). For example, contractors may be associated persons when they are providing services for or on behalf of the organisation.</w:t>
            </w:r>
          </w:p>
        </w:tc>
        <w:tc>
          <w:tcPr>
            <w:tcW w:w="1151" w:type="dxa"/>
            <w:tcBorders>
              <w:top w:val="nil"/>
              <w:left w:val="nil"/>
              <w:bottom w:val="single" w:sz="4" w:space="0" w:color="auto"/>
              <w:right w:val="single" w:sz="4" w:space="0" w:color="auto"/>
            </w:tcBorders>
            <w:shd w:val="clear" w:color="auto" w:fill="auto"/>
            <w:noWrap/>
            <w:vAlign w:val="bottom"/>
            <w:hideMark/>
          </w:tcPr>
          <w:p w14:paraId="6CB41931"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06E17B3E"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6A3015A2" w14:textId="77777777" w:rsidR="00277023" w:rsidRPr="00277023" w:rsidRDefault="00277023" w:rsidP="00277023">
            <w:pPr>
              <w:rPr>
                <w:rFonts w:cs="Arial"/>
                <w:color w:val="000000"/>
                <w:lang w:eastAsia="en-GB"/>
              </w:rPr>
            </w:pPr>
            <w:r w:rsidRPr="00277023">
              <w:rPr>
                <w:rFonts w:cs="Arial"/>
                <w:color w:val="000000"/>
                <w:lang w:eastAsia="en-GB"/>
              </w:rPr>
              <w:t>Undertaking effective fraud risk assessments which will inform proportionate fraud prevention controls</w:t>
            </w:r>
          </w:p>
        </w:tc>
        <w:tc>
          <w:tcPr>
            <w:tcW w:w="1151" w:type="dxa"/>
            <w:tcBorders>
              <w:top w:val="nil"/>
              <w:left w:val="nil"/>
              <w:bottom w:val="single" w:sz="4" w:space="0" w:color="auto"/>
              <w:right w:val="single" w:sz="4" w:space="0" w:color="auto"/>
            </w:tcBorders>
            <w:shd w:val="clear" w:color="auto" w:fill="auto"/>
            <w:noWrap/>
            <w:vAlign w:val="bottom"/>
            <w:hideMark/>
          </w:tcPr>
          <w:p w14:paraId="51BAD09A"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4B6211A2" w14:textId="77777777" w:rsidTr="00277023">
        <w:trPr>
          <w:trHeight w:val="12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13419E17" w14:textId="77777777" w:rsidR="00277023" w:rsidRPr="00277023" w:rsidRDefault="00277023" w:rsidP="00277023">
            <w:pPr>
              <w:rPr>
                <w:rFonts w:cs="Arial"/>
                <w:color w:val="000000"/>
                <w:lang w:eastAsia="en-GB"/>
              </w:rPr>
            </w:pPr>
            <w:r w:rsidRPr="00277023">
              <w:rPr>
                <w:rFonts w:cs="Arial"/>
                <w:color w:val="000000"/>
                <w:lang w:eastAsia="en-GB"/>
              </w:rPr>
              <w:t>Consideration of whether current risk assessments cover the risk of fraud that is in scope of this offence (fraud that is intended to benefit the organisation, or in some circumstances, it’s clients and fraud committed by ‘associated’ persons).</w:t>
            </w:r>
          </w:p>
        </w:tc>
        <w:tc>
          <w:tcPr>
            <w:tcW w:w="1151" w:type="dxa"/>
            <w:tcBorders>
              <w:top w:val="nil"/>
              <w:left w:val="nil"/>
              <w:bottom w:val="single" w:sz="4" w:space="0" w:color="auto"/>
              <w:right w:val="single" w:sz="4" w:space="0" w:color="auto"/>
            </w:tcBorders>
            <w:shd w:val="clear" w:color="auto" w:fill="auto"/>
            <w:noWrap/>
            <w:vAlign w:val="bottom"/>
            <w:hideMark/>
          </w:tcPr>
          <w:p w14:paraId="575AA468"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3AB71BA0"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0C4B4441" w14:textId="77777777" w:rsidR="00277023" w:rsidRPr="00277023" w:rsidRDefault="00277023" w:rsidP="00277023">
            <w:pPr>
              <w:rPr>
                <w:rFonts w:cs="Arial"/>
                <w:color w:val="000000"/>
                <w:lang w:eastAsia="en-GB"/>
              </w:rPr>
            </w:pPr>
            <w:r w:rsidRPr="00277023">
              <w:rPr>
                <w:rFonts w:cs="Arial"/>
                <w:color w:val="000000"/>
                <w:lang w:eastAsia="en-GB"/>
              </w:rPr>
              <w:t>Adaptation of current risk assessments to include fraud risks in scope of this offence.</w:t>
            </w:r>
          </w:p>
        </w:tc>
        <w:tc>
          <w:tcPr>
            <w:tcW w:w="1151" w:type="dxa"/>
            <w:tcBorders>
              <w:top w:val="nil"/>
              <w:left w:val="nil"/>
              <w:bottom w:val="single" w:sz="4" w:space="0" w:color="auto"/>
              <w:right w:val="single" w:sz="4" w:space="0" w:color="auto"/>
            </w:tcBorders>
            <w:shd w:val="clear" w:color="auto" w:fill="auto"/>
            <w:noWrap/>
            <w:vAlign w:val="bottom"/>
            <w:hideMark/>
          </w:tcPr>
          <w:p w14:paraId="3E862145"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919EFA8" w14:textId="77777777" w:rsidTr="00277023">
        <w:trPr>
          <w:trHeight w:val="12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1DAB8E83" w14:textId="77777777" w:rsidR="00277023" w:rsidRPr="00277023" w:rsidRDefault="00277023" w:rsidP="00277023">
            <w:pPr>
              <w:rPr>
                <w:rFonts w:cs="Arial"/>
                <w:color w:val="000000"/>
                <w:lang w:eastAsia="en-GB"/>
              </w:rPr>
            </w:pPr>
            <w:r w:rsidRPr="00277023">
              <w:rPr>
                <w:rFonts w:cs="Arial"/>
                <w:color w:val="000000"/>
                <w:lang w:eastAsia="en-GB"/>
              </w:rPr>
              <w:lastRenderedPageBreak/>
              <w:t>If appropriate, responsibility for conducting a documented risk assessment which is kept under regular review, assessing the nature and extent of the organisations exposure to the risks of associated persons committing fraud in scope of this offence.</w:t>
            </w:r>
          </w:p>
        </w:tc>
        <w:tc>
          <w:tcPr>
            <w:tcW w:w="1151" w:type="dxa"/>
            <w:tcBorders>
              <w:top w:val="nil"/>
              <w:left w:val="nil"/>
              <w:bottom w:val="single" w:sz="4" w:space="0" w:color="auto"/>
              <w:right w:val="single" w:sz="4" w:space="0" w:color="auto"/>
            </w:tcBorders>
            <w:shd w:val="clear" w:color="auto" w:fill="auto"/>
            <w:noWrap/>
            <w:vAlign w:val="bottom"/>
            <w:hideMark/>
          </w:tcPr>
          <w:p w14:paraId="5986F2B5"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6C3DE37" w14:textId="77777777" w:rsidTr="00277023">
        <w:trPr>
          <w:trHeight w:val="12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630BDB11" w14:textId="77777777" w:rsidR="00277023" w:rsidRPr="00277023" w:rsidRDefault="00277023" w:rsidP="00277023">
            <w:pPr>
              <w:rPr>
                <w:rFonts w:cs="Arial"/>
                <w:color w:val="000000"/>
                <w:lang w:eastAsia="en-GB"/>
              </w:rPr>
            </w:pPr>
            <w:r w:rsidRPr="00277023">
              <w:rPr>
                <w:rFonts w:cs="Arial"/>
                <w:color w:val="000000"/>
                <w:lang w:eastAsia="en-GB"/>
              </w:rPr>
              <w:t>Consideration of the changes made to the ‘identification doctrine’ under ECCTA and whether current risk assessments cover ‘senior manager’ risk (see section on The ECCTA for guidance on the identification doctrine and the definition of ‘senior manager’).</w:t>
            </w:r>
          </w:p>
        </w:tc>
        <w:tc>
          <w:tcPr>
            <w:tcW w:w="1151" w:type="dxa"/>
            <w:tcBorders>
              <w:top w:val="nil"/>
              <w:left w:val="nil"/>
              <w:bottom w:val="single" w:sz="4" w:space="0" w:color="auto"/>
              <w:right w:val="single" w:sz="4" w:space="0" w:color="auto"/>
            </w:tcBorders>
            <w:shd w:val="clear" w:color="auto" w:fill="auto"/>
            <w:noWrap/>
            <w:vAlign w:val="bottom"/>
            <w:hideMark/>
          </w:tcPr>
          <w:p w14:paraId="58E00F9D"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3F175CA9" w14:textId="77777777" w:rsidTr="00277023">
        <w:trPr>
          <w:trHeight w:val="315"/>
        </w:trPr>
        <w:tc>
          <w:tcPr>
            <w:tcW w:w="935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330B833" w14:textId="77777777" w:rsidR="00277023" w:rsidRPr="00277023" w:rsidRDefault="00277023" w:rsidP="00277023">
            <w:pPr>
              <w:jc w:val="center"/>
              <w:rPr>
                <w:rFonts w:cs="Arial"/>
                <w:b/>
                <w:bCs/>
                <w:color w:val="000000"/>
                <w:lang w:eastAsia="en-GB"/>
              </w:rPr>
            </w:pPr>
            <w:r w:rsidRPr="00277023">
              <w:rPr>
                <w:rFonts w:cs="Arial"/>
                <w:b/>
                <w:bCs/>
                <w:color w:val="000000"/>
                <w:lang w:eastAsia="en-GB"/>
              </w:rPr>
              <w:t>Proportionate Risk Based Prevention Procedures</w:t>
            </w:r>
          </w:p>
        </w:tc>
      </w:tr>
      <w:tr w:rsidR="00277023" w:rsidRPr="00277023" w14:paraId="799FAC8A"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7E4A9AF4" w14:textId="77777777" w:rsidR="00277023" w:rsidRPr="00277023" w:rsidRDefault="00277023" w:rsidP="00277023">
            <w:pPr>
              <w:rPr>
                <w:rFonts w:cs="Arial"/>
                <w:color w:val="000000"/>
                <w:lang w:eastAsia="en-GB"/>
              </w:rPr>
            </w:pPr>
            <w:r w:rsidRPr="00277023">
              <w:rPr>
                <w:rFonts w:cs="Arial"/>
                <w:color w:val="000000"/>
                <w:lang w:eastAsia="en-GB"/>
              </w:rPr>
              <w:t>Having an annual action plan that is informed by fraud risk, identifying activities to improve capability and resilience (GovS 013 Component 5: Annual action plan).</w:t>
            </w:r>
          </w:p>
        </w:tc>
        <w:tc>
          <w:tcPr>
            <w:tcW w:w="1151" w:type="dxa"/>
            <w:tcBorders>
              <w:top w:val="nil"/>
              <w:left w:val="nil"/>
              <w:bottom w:val="single" w:sz="4" w:space="0" w:color="auto"/>
              <w:right w:val="single" w:sz="4" w:space="0" w:color="auto"/>
            </w:tcBorders>
            <w:shd w:val="clear" w:color="auto" w:fill="auto"/>
            <w:noWrap/>
            <w:vAlign w:val="bottom"/>
            <w:hideMark/>
          </w:tcPr>
          <w:p w14:paraId="0F27817F"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783834AD"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7DAB2E4E" w14:textId="77777777" w:rsidR="00277023" w:rsidRPr="00277023" w:rsidRDefault="00277023" w:rsidP="00277023">
            <w:pPr>
              <w:rPr>
                <w:rFonts w:cs="Arial"/>
                <w:color w:val="000000"/>
                <w:lang w:eastAsia="en-GB"/>
              </w:rPr>
            </w:pPr>
            <w:r w:rsidRPr="00277023">
              <w:rPr>
                <w:rFonts w:cs="Arial"/>
                <w:color w:val="000000"/>
                <w:lang w:eastAsia="en-GB"/>
              </w:rPr>
              <w:t>Using the fraud prevention information, guidance and resources provided by NHSCFA, ensuring that clear, practical and enforced procedures are in place to prevent fraud by associated persons.</w:t>
            </w:r>
          </w:p>
        </w:tc>
        <w:tc>
          <w:tcPr>
            <w:tcW w:w="1151" w:type="dxa"/>
            <w:tcBorders>
              <w:top w:val="nil"/>
              <w:left w:val="nil"/>
              <w:bottom w:val="single" w:sz="4" w:space="0" w:color="auto"/>
              <w:right w:val="single" w:sz="4" w:space="0" w:color="auto"/>
            </w:tcBorders>
            <w:shd w:val="clear" w:color="auto" w:fill="auto"/>
            <w:noWrap/>
            <w:vAlign w:val="bottom"/>
            <w:hideMark/>
          </w:tcPr>
          <w:p w14:paraId="2B1C5010"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04DB389C"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1F49B9E6" w14:textId="77777777" w:rsidR="00277023" w:rsidRPr="00277023" w:rsidRDefault="00277023" w:rsidP="00277023">
            <w:pPr>
              <w:rPr>
                <w:rFonts w:cs="Arial"/>
                <w:color w:val="000000"/>
                <w:lang w:eastAsia="en-GB"/>
              </w:rPr>
            </w:pPr>
            <w:r w:rsidRPr="00277023">
              <w:rPr>
                <w:rFonts w:cs="Arial"/>
                <w:color w:val="000000"/>
                <w:lang w:eastAsia="en-GB"/>
              </w:rPr>
              <w:t>Ensuring that these procedures are proportionate to the fraud risks it faces and to the nature, scale and complexity of the organisation’s advice.</w:t>
            </w:r>
          </w:p>
        </w:tc>
        <w:tc>
          <w:tcPr>
            <w:tcW w:w="1151" w:type="dxa"/>
            <w:tcBorders>
              <w:top w:val="nil"/>
              <w:left w:val="nil"/>
              <w:bottom w:val="single" w:sz="4" w:space="0" w:color="auto"/>
              <w:right w:val="single" w:sz="4" w:space="0" w:color="auto"/>
            </w:tcBorders>
            <w:shd w:val="clear" w:color="auto" w:fill="auto"/>
            <w:noWrap/>
            <w:vAlign w:val="bottom"/>
            <w:hideMark/>
          </w:tcPr>
          <w:p w14:paraId="6A6D7981"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17E0F6B1"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69177DFA" w14:textId="77777777" w:rsidR="00277023" w:rsidRPr="00277023" w:rsidRDefault="00277023" w:rsidP="00277023">
            <w:pPr>
              <w:rPr>
                <w:rFonts w:cs="Arial"/>
                <w:color w:val="000000"/>
                <w:lang w:eastAsia="en-GB"/>
              </w:rPr>
            </w:pPr>
            <w:r w:rsidRPr="00277023">
              <w:rPr>
                <w:rFonts w:cs="Arial"/>
                <w:color w:val="000000"/>
                <w:lang w:eastAsia="en-GB"/>
              </w:rPr>
              <w:t>Thinking about what a fraud prevention plan/framework will look like (i.e. what the proportionate, risk-based, fraud prevention procedures will be).</w:t>
            </w:r>
          </w:p>
        </w:tc>
        <w:tc>
          <w:tcPr>
            <w:tcW w:w="1151" w:type="dxa"/>
            <w:tcBorders>
              <w:top w:val="nil"/>
              <w:left w:val="nil"/>
              <w:bottom w:val="single" w:sz="4" w:space="0" w:color="auto"/>
              <w:right w:val="single" w:sz="4" w:space="0" w:color="auto"/>
            </w:tcBorders>
            <w:shd w:val="clear" w:color="auto" w:fill="auto"/>
            <w:noWrap/>
            <w:vAlign w:val="bottom"/>
            <w:hideMark/>
          </w:tcPr>
          <w:p w14:paraId="4548E0B2"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525D2FEB"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C64989A" w14:textId="77777777" w:rsidR="00277023" w:rsidRPr="00277023" w:rsidRDefault="00277023" w:rsidP="00277023">
            <w:pPr>
              <w:rPr>
                <w:rFonts w:cs="Arial"/>
                <w:color w:val="000000"/>
                <w:lang w:eastAsia="en-GB"/>
              </w:rPr>
            </w:pPr>
            <w:r w:rsidRPr="00277023">
              <w:rPr>
                <w:rFonts w:cs="Arial"/>
                <w:color w:val="000000"/>
                <w:lang w:eastAsia="en-GB"/>
              </w:rPr>
              <w:t>Checking what anti-fraud procedures are currently in place and assessing whether they are sufficient to counter the risks identified in the risk assessment.</w:t>
            </w:r>
          </w:p>
        </w:tc>
        <w:tc>
          <w:tcPr>
            <w:tcW w:w="1151" w:type="dxa"/>
            <w:tcBorders>
              <w:top w:val="nil"/>
              <w:left w:val="nil"/>
              <w:bottom w:val="single" w:sz="4" w:space="0" w:color="auto"/>
              <w:right w:val="single" w:sz="4" w:space="0" w:color="auto"/>
            </w:tcBorders>
            <w:shd w:val="clear" w:color="auto" w:fill="auto"/>
            <w:noWrap/>
            <w:vAlign w:val="bottom"/>
            <w:hideMark/>
          </w:tcPr>
          <w:p w14:paraId="2A3F1D8B"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2997C35" w14:textId="77777777" w:rsidTr="00277023">
        <w:trPr>
          <w:trHeight w:val="15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5C041CB7" w14:textId="77777777" w:rsidR="00277023" w:rsidRPr="00277023" w:rsidRDefault="00277023" w:rsidP="00277023">
            <w:pPr>
              <w:rPr>
                <w:rFonts w:cs="Arial"/>
                <w:color w:val="000000"/>
                <w:lang w:eastAsia="en-GB"/>
              </w:rPr>
            </w:pPr>
            <w:r w:rsidRPr="00277023">
              <w:rPr>
                <w:rFonts w:cs="Arial"/>
                <w:color w:val="000000"/>
                <w:lang w:eastAsia="en-GB"/>
              </w:rPr>
              <w:t>Using NHSCFA’s fraud prevention guidance documents to develop or adapt local fraud prevention policies, procedures and systems (see guidance on procurement fraud, payroll fraud, invoice and mandate fraud, pre-contract procurement fraud, management and control of prescription forms, employment agency fraud).</w:t>
            </w:r>
          </w:p>
        </w:tc>
        <w:tc>
          <w:tcPr>
            <w:tcW w:w="1151" w:type="dxa"/>
            <w:tcBorders>
              <w:top w:val="nil"/>
              <w:left w:val="nil"/>
              <w:bottom w:val="single" w:sz="4" w:space="0" w:color="auto"/>
              <w:right w:val="single" w:sz="4" w:space="0" w:color="auto"/>
            </w:tcBorders>
            <w:shd w:val="clear" w:color="auto" w:fill="auto"/>
            <w:noWrap/>
            <w:vAlign w:val="bottom"/>
            <w:hideMark/>
          </w:tcPr>
          <w:p w14:paraId="24CE8A39"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28B006E"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753ECC60" w14:textId="77777777" w:rsidR="00277023" w:rsidRPr="00277023" w:rsidRDefault="00277023" w:rsidP="00277023">
            <w:pPr>
              <w:rPr>
                <w:rFonts w:cs="Arial"/>
                <w:color w:val="000000"/>
                <w:lang w:eastAsia="en-GB"/>
              </w:rPr>
            </w:pPr>
            <w:r w:rsidRPr="00277023">
              <w:rPr>
                <w:rFonts w:cs="Arial"/>
                <w:color w:val="000000"/>
                <w:lang w:eastAsia="en-GB"/>
              </w:rPr>
              <w:t>Having a proportionate fraud prevention policy which may form part of a general code of conduct or which may be a stand-alone policy.</w:t>
            </w:r>
          </w:p>
        </w:tc>
        <w:tc>
          <w:tcPr>
            <w:tcW w:w="1151" w:type="dxa"/>
            <w:tcBorders>
              <w:top w:val="nil"/>
              <w:left w:val="nil"/>
              <w:bottom w:val="single" w:sz="4" w:space="0" w:color="auto"/>
              <w:right w:val="single" w:sz="4" w:space="0" w:color="auto"/>
            </w:tcBorders>
            <w:shd w:val="clear" w:color="auto" w:fill="auto"/>
            <w:noWrap/>
            <w:vAlign w:val="bottom"/>
            <w:hideMark/>
          </w:tcPr>
          <w:p w14:paraId="053377E3"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6AFBA6CE"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499C41F2" w14:textId="77777777" w:rsidR="00277023" w:rsidRPr="00277023" w:rsidRDefault="00277023" w:rsidP="00277023">
            <w:pPr>
              <w:rPr>
                <w:rFonts w:cs="Arial"/>
                <w:color w:val="000000"/>
                <w:lang w:eastAsia="en-GB"/>
              </w:rPr>
            </w:pPr>
            <w:r w:rsidRPr="00277023">
              <w:rPr>
                <w:rFonts w:cs="Arial"/>
                <w:color w:val="000000"/>
                <w:lang w:eastAsia="en-GB"/>
              </w:rPr>
              <w:t>Deciding what resources and governance structures are needed to adapt to this change in the law.</w:t>
            </w:r>
          </w:p>
        </w:tc>
        <w:tc>
          <w:tcPr>
            <w:tcW w:w="1151" w:type="dxa"/>
            <w:tcBorders>
              <w:top w:val="nil"/>
              <w:left w:val="nil"/>
              <w:bottom w:val="single" w:sz="4" w:space="0" w:color="auto"/>
              <w:right w:val="single" w:sz="4" w:space="0" w:color="auto"/>
            </w:tcBorders>
            <w:shd w:val="clear" w:color="auto" w:fill="auto"/>
            <w:noWrap/>
            <w:vAlign w:val="bottom"/>
            <w:hideMark/>
          </w:tcPr>
          <w:p w14:paraId="0A9AAD6B"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3E978D74"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533B0ADF" w14:textId="77777777" w:rsidR="00277023" w:rsidRPr="00277023" w:rsidRDefault="00277023" w:rsidP="00277023">
            <w:pPr>
              <w:rPr>
                <w:rFonts w:cs="Arial"/>
                <w:color w:val="000000"/>
                <w:lang w:eastAsia="en-GB"/>
              </w:rPr>
            </w:pPr>
            <w:r w:rsidRPr="00277023">
              <w:rPr>
                <w:rFonts w:cs="Arial"/>
                <w:color w:val="000000"/>
                <w:lang w:eastAsia="en-GB"/>
              </w:rPr>
              <w:t>Being able to demonstrate a strong anti-fraud culture within the organisation.</w:t>
            </w:r>
          </w:p>
        </w:tc>
        <w:tc>
          <w:tcPr>
            <w:tcW w:w="1151" w:type="dxa"/>
            <w:tcBorders>
              <w:top w:val="nil"/>
              <w:left w:val="nil"/>
              <w:bottom w:val="single" w:sz="4" w:space="0" w:color="auto"/>
              <w:right w:val="single" w:sz="4" w:space="0" w:color="auto"/>
            </w:tcBorders>
            <w:shd w:val="clear" w:color="auto" w:fill="auto"/>
            <w:noWrap/>
            <w:vAlign w:val="bottom"/>
            <w:hideMark/>
          </w:tcPr>
          <w:p w14:paraId="1B1CE55B"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177DA94C"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571A7A39" w14:textId="77777777" w:rsidR="00277023" w:rsidRPr="00277023" w:rsidRDefault="00277023" w:rsidP="00277023">
            <w:pPr>
              <w:rPr>
                <w:rFonts w:cs="Arial"/>
                <w:color w:val="000000"/>
                <w:lang w:eastAsia="en-GB"/>
              </w:rPr>
            </w:pPr>
            <w:r w:rsidRPr="00277023">
              <w:rPr>
                <w:rFonts w:cs="Arial"/>
                <w:color w:val="000000"/>
                <w:lang w:eastAsia="en-GB"/>
              </w:rPr>
              <w:t>Ensuring that an effective whistleblowing facility is in place to facilitate the reporting of allegations or suspicions of fraud and other criminal conduct and ensuring that there is board-level oversight of whistleblowing.</w:t>
            </w:r>
          </w:p>
        </w:tc>
        <w:tc>
          <w:tcPr>
            <w:tcW w:w="1151" w:type="dxa"/>
            <w:tcBorders>
              <w:top w:val="nil"/>
              <w:left w:val="nil"/>
              <w:bottom w:val="single" w:sz="4" w:space="0" w:color="auto"/>
              <w:right w:val="single" w:sz="4" w:space="0" w:color="auto"/>
            </w:tcBorders>
            <w:shd w:val="clear" w:color="auto" w:fill="auto"/>
            <w:noWrap/>
            <w:vAlign w:val="bottom"/>
            <w:hideMark/>
          </w:tcPr>
          <w:p w14:paraId="2DCFC9CE"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7852E0D3"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4AD48AB2" w14:textId="77777777" w:rsidR="00277023" w:rsidRPr="00277023" w:rsidRDefault="00277023" w:rsidP="00277023">
            <w:pPr>
              <w:rPr>
                <w:rFonts w:cs="Arial"/>
                <w:color w:val="000000"/>
                <w:lang w:eastAsia="en-GB"/>
              </w:rPr>
            </w:pPr>
            <w:r w:rsidRPr="00277023">
              <w:rPr>
                <w:rFonts w:cs="Arial"/>
                <w:color w:val="000000"/>
                <w:lang w:eastAsia="en-GB"/>
              </w:rPr>
              <w:t>Having disciplinary procedures in place, which enable the organisation to take appropriate disciplinary action against an employee who commits a fraudulent act.</w:t>
            </w:r>
          </w:p>
        </w:tc>
        <w:tc>
          <w:tcPr>
            <w:tcW w:w="1151" w:type="dxa"/>
            <w:tcBorders>
              <w:top w:val="nil"/>
              <w:left w:val="nil"/>
              <w:bottom w:val="single" w:sz="4" w:space="0" w:color="auto"/>
              <w:right w:val="single" w:sz="4" w:space="0" w:color="auto"/>
            </w:tcBorders>
            <w:shd w:val="clear" w:color="auto" w:fill="auto"/>
            <w:noWrap/>
            <w:vAlign w:val="bottom"/>
            <w:hideMark/>
          </w:tcPr>
          <w:p w14:paraId="56D9B072"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420ED400"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1E87EF92" w14:textId="77777777" w:rsidR="00277023" w:rsidRPr="00277023" w:rsidRDefault="00277023" w:rsidP="00277023">
            <w:pPr>
              <w:rPr>
                <w:rFonts w:cs="Arial"/>
                <w:color w:val="000000"/>
                <w:lang w:eastAsia="en-GB"/>
              </w:rPr>
            </w:pPr>
            <w:r w:rsidRPr="00277023">
              <w:rPr>
                <w:rFonts w:cs="Arial"/>
                <w:color w:val="000000"/>
                <w:lang w:eastAsia="en-GB"/>
              </w:rPr>
              <w:t>Establishing clear reporting pathways in place for reporting suspected fraud.</w:t>
            </w:r>
          </w:p>
        </w:tc>
        <w:tc>
          <w:tcPr>
            <w:tcW w:w="1151" w:type="dxa"/>
            <w:tcBorders>
              <w:top w:val="nil"/>
              <w:left w:val="nil"/>
              <w:bottom w:val="single" w:sz="4" w:space="0" w:color="auto"/>
              <w:right w:val="single" w:sz="4" w:space="0" w:color="auto"/>
            </w:tcBorders>
            <w:shd w:val="clear" w:color="auto" w:fill="auto"/>
            <w:noWrap/>
            <w:vAlign w:val="bottom"/>
            <w:hideMark/>
          </w:tcPr>
          <w:p w14:paraId="5FFE83B0"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9694035"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4DE7CE67" w14:textId="77777777" w:rsidR="00277023" w:rsidRPr="00277023" w:rsidRDefault="00277023" w:rsidP="00277023">
            <w:pPr>
              <w:rPr>
                <w:rFonts w:cs="Arial"/>
                <w:color w:val="000000"/>
                <w:lang w:eastAsia="en-GB"/>
              </w:rPr>
            </w:pPr>
            <w:r w:rsidRPr="00277023">
              <w:rPr>
                <w:rFonts w:cs="Arial"/>
                <w:color w:val="000000"/>
                <w:lang w:eastAsia="en-GB"/>
              </w:rPr>
              <w:t>Adaptation of existing policies to include the failure to prevent offence (for example, whistleblowing, HR, fraud, external communications, media etc).</w:t>
            </w:r>
          </w:p>
        </w:tc>
        <w:tc>
          <w:tcPr>
            <w:tcW w:w="1151" w:type="dxa"/>
            <w:tcBorders>
              <w:top w:val="nil"/>
              <w:left w:val="nil"/>
              <w:bottom w:val="single" w:sz="4" w:space="0" w:color="auto"/>
              <w:right w:val="single" w:sz="4" w:space="0" w:color="auto"/>
            </w:tcBorders>
            <w:shd w:val="clear" w:color="auto" w:fill="auto"/>
            <w:noWrap/>
            <w:vAlign w:val="bottom"/>
            <w:hideMark/>
          </w:tcPr>
          <w:p w14:paraId="50E62D6B"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60C66252"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45D0FF08" w14:textId="77777777" w:rsidR="00277023" w:rsidRPr="00277023" w:rsidRDefault="00277023" w:rsidP="00277023">
            <w:pPr>
              <w:rPr>
                <w:rFonts w:cs="Arial"/>
                <w:color w:val="000000"/>
                <w:lang w:eastAsia="en-GB"/>
              </w:rPr>
            </w:pPr>
            <w:r w:rsidRPr="00277023">
              <w:rPr>
                <w:rFonts w:cs="Arial"/>
                <w:color w:val="000000"/>
                <w:lang w:eastAsia="en-GB"/>
              </w:rPr>
              <w:lastRenderedPageBreak/>
              <w:t>Ensuring that sub-contractors are within the scope of fraud prevention procedures.</w:t>
            </w:r>
          </w:p>
        </w:tc>
        <w:tc>
          <w:tcPr>
            <w:tcW w:w="1151" w:type="dxa"/>
            <w:tcBorders>
              <w:top w:val="nil"/>
              <w:left w:val="nil"/>
              <w:bottom w:val="single" w:sz="4" w:space="0" w:color="auto"/>
              <w:right w:val="single" w:sz="4" w:space="0" w:color="auto"/>
            </w:tcBorders>
            <w:shd w:val="clear" w:color="auto" w:fill="auto"/>
            <w:noWrap/>
            <w:vAlign w:val="bottom"/>
            <w:hideMark/>
          </w:tcPr>
          <w:p w14:paraId="7DD49E35"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1E08C64A"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35B6C26D" w14:textId="77777777" w:rsidR="00277023" w:rsidRPr="00277023" w:rsidRDefault="00277023" w:rsidP="00277023">
            <w:pPr>
              <w:rPr>
                <w:rFonts w:cs="Arial"/>
                <w:color w:val="000000"/>
                <w:lang w:eastAsia="en-GB"/>
              </w:rPr>
            </w:pPr>
            <w:r w:rsidRPr="00277023">
              <w:rPr>
                <w:rFonts w:cs="Arial"/>
                <w:color w:val="000000"/>
                <w:lang w:eastAsia="en-GB"/>
              </w:rPr>
              <w:t>Ensuring that fraud prevention procedures address how the relevant measures will prevent fraud by service provision.</w:t>
            </w:r>
          </w:p>
        </w:tc>
        <w:tc>
          <w:tcPr>
            <w:tcW w:w="1151" w:type="dxa"/>
            <w:tcBorders>
              <w:top w:val="nil"/>
              <w:left w:val="nil"/>
              <w:bottom w:val="single" w:sz="4" w:space="0" w:color="auto"/>
              <w:right w:val="single" w:sz="4" w:space="0" w:color="auto"/>
            </w:tcBorders>
            <w:shd w:val="clear" w:color="auto" w:fill="auto"/>
            <w:noWrap/>
            <w:vAlign w:val="bottom"/>
            <w:hideMark/>
          </w:tcPr>
          <w:p w14:paraId="3F4D92E2"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8CA7912"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51ABC4B9" w14:textId="77777777" w:rsidR="00277023" w:rsidRPr="00277023" w:rsidRDefault="00277023" w:rsidP="00277023">
            <w:pPr>
              <w:rPr>
                <w:rFonts w:cs="Arial"/>
                <w:color w:val="000000"/>
                <w:lang w:eastAsia="en-GB"/>
              </w:rPr>
            </w:pPr>
            <w:r w:rsidRPr="00277023">
              <w:rPr>
                <w:rFonts w:cs="Arial"/>
                <w:color w:val="000000"/>
                <w:lang w:eastAsia="en-GB"/>
              </w:rPr>
              <w:t>For contracting relationships, updating standard wording to require compliance with fraud prevention policies.</w:t>
            </w:r>
          </w:p>
        </w:tc>
        <w:tc>
          <w:tcPr>
            <w:tcW w:w="1151" w:type="dxa"/>
            <w:tcBorders>
              <w:top w:val="nil"/>
              <w:left w:val="nil"/>
              <w:bottom w:val="single" w:sz="4" w:space="0" w:color="auto"/>
              <w:right w:val="single" w:sz="4" w:space="0" w:color="auto"/>
            </w:tcBorders>
            <w:shd w:val="clear" w:color="auto" w:fill="auto"/>
            <w:noWrap/>
            <w:vAlign w:val="bottom"/>
            <w:hideMark/>
          </w:tcPr>
          <w:p w14:paraId="45A6BDC1"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03DDA5B2" w14:textId="77777777" w:rsidTr="00277023">
        <w:trPr>
          <w:trHeight w:val="315"/>
        </w:trPr>
        <w:tc>
          <w:tcPr>
            <w:tcW w:w="9351"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A9366DA" w14:textId="77777777" w:rsidR="00277023" w:rsidRPr="00277023" w:rsidRDefault="00277023" w:rsidP="00277023">
            <w:pPr>
              <w:jc w:val="center"/>
              <w:rPr>
                <w:rFonts w:cs="Arial"/>
                <w:b/>
                <w:bCs/>
                <w:color w:val="000000"/>
                <w:lang w:eastAsia="en-GB"/>
              </w:rPr>
            </w:pPr>
            <w:r w:rsidRPr="00277023">
              <w:rPr>
                <w:rFonts w:cs="Arial"/>
                <w:b/>
                <w:bCs/>
                <w:color w:val="000000"/>
                <w:lang w:eastAsia="en-GB"/>
              </w:rPr>
              <w:t>Due Diligence</w:t>
            </w:r>
          </w:p>
        </w:tc>
      </w:tr>
      <w:tr w:rsidR="00277023" w:rsidRPr="00277023" w14:paraId="56052544"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692A51BD" w14:textId="77777777" w:rsidR="00277023" w:rsidRPr="00277023" w:rsidRDefault="00277023" w:rsidP="00277023">
            <w:pPr>
              <w:rPr>
                <w:rFonts w:cs="Arial"/>
                <w:color w:val="000000"/>
                <w:lang w:eastAsia="en-GB"/>
              </w:rPr>
            </w:pPr>
            <w:r w:rsidRPr="00277023">
              <w:rPr>
                <w:rFonts w:cs="Arial"/>
                <w:color w:val="000000"/>
                <w:lang w:eastAsia="en-GB"/>
              </w:rPr>
              <w:t>Ensuring alignment of the organisation’s counter fraud, bribery and corruption work to the NHSCFA’s central strategy (GovS 013 Component 2: Counter fraud, bribery and corruption strategy).</w:t>
            </w:r>
          </w:p>
        </w:tc>
        <w:tc>
          <w:tcPr>
            <w:tcW w:w="1151" w:type="dxa"/>
            <w:tcBorders>
              <w:top w:val="nil"/>
              <w:left w:val="nil"/>
              <w:bottom w:val="single" w:sz="4" w:space="0" w:color="auto"/>
              <w:right w:val="single" w:sz="4" w:space="0" w:color="auto"/>
            </w:tcBorders>
            <w:shd w:val="clear" w:color="auto" w:fill="auto"/>
            <w:noWrap/>
            <w:vAlign w:val="bottom"/>
            <w:hideMark/>
          </w:tcPr>
          <w:p w14:paraId="178EA2B8"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5AC99A95"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1E7372EE" w14:textId="77777777" w:rsidR="00277023" w:rsidRPr="00277023" w:rsidRDefault="00277023" w:rsidP="00277023">
            <w:pPr>
              <w:rPr>
                <w:rFonts w:cs="Arial"/>
                <w:color w:val="000000"/>
                <w:lang w:eastAsia="en-GB"/>
              </w:rPr>
            </w:pPr>
            <w:r w:rsidRPr="00277023">
              <w:rPr>
                <w:rFonts w:cs="Arial"/>
                <w:color w:val="000000"/>
                <w:lang w:eastAsia="en-GB"/>
              </w:rPr>
              <w:t>Application of proportionate and risk based due diligence procedures in respect of persons who perform or will perform services for or on its behalf to mitigate identified fraud risks.</w:t>
            </w:r>
          </w:p>
        </w:tc>
        <w:tc>
          <w:tcPr>
            <w:tcW w:w="1151" w:type="dxa"/>
            <w:tcBorders>
              <w:top w:val="nil"/>
              <w:left w:val="nil"/>
              <w:bottom w:val="single" w:sz="4" w:space="0" w:color="auto"/>
              <w:right w:val="single" w:sz="4" w:space="0" w:color="auto"/>
            </w:tcBorders>
            <w:shd w:val="clear" w:color="auto" w:fill="auto"/>
            <w:noWrap/>
            <w:vAlign w:val="bottom"/>
            <w:hideMark/>
          </w:tcPr>
          <w:p w14:paraId="4E0CC40A"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1A895A74" w14:textId="77777777" w:rsidTr="00277023">
        <w:trPr>
          <w:trHeight w:val="12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033C3600" w14:textId="77777777" w:rsidR="00277023" w:rsidRPr="00277023" w:rsidRDefault="00277023" w:rsidP="00277023">
            <w:pPr>
              <w:rPr>
                <w:rFonts w:cs="Arial"/>
                <w:color w:val="000000"/>
                <w:lang w:eastAsia="en-GB"/>
              </w:rPr>
            </w:pPr>
            <w:r w:rsidRPr="00277023">
              <w:rPr>
                <w:rFonts w:cs="Arial"/>
                <w:color w:val="000000"/>
                <w:lang w:eastAsia="en-GB"/>
              </w:rPr>
              <w:t>Ensuring due diligence procedures are in place and considering the organisation’s existing due diligence checks in relation to such parties and whether they are sufficiently robust to identify previous allegations or suspicions of fraud against a third party.</w:t>
            </w:r>
          </w:p>
        </w:tc>
        <w:tc>
          <w:tcPr>
            <w:tcW w:w="1151" w:type="dxa"/>
            <w:tcBorders>
              <w:top w:val="nil"/>
              <w:left w:val="nil"/>
              <w:bottom w:val="single" w:sz="4" w:space="0" w:color="auto"/>
              <w:right w:val="single" w:sz="4" w:space="0" w:color="auto"/>
            </w:tcBorders>
            <w:shd w:val="clear" w:color="auto" w:fill="auto"/>
            <w:noWrap/>
            <w:vAlign w:val="bottom"/>
            <w:hideMark/>
          </w:tcPr>
          <w:p w14:paraId="37F058BF"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19F18087"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25FCE10" w14:textId="77777777" w:rsidR="00277023" w:rsidRPr="00277023" w:rsidRDefault="00277023" w:rsidP="00277023">
            <w:pPr>
              <w:rPr>
                <w:rFonts w:cs="Arial"/>
                <w:color w:val="000000"/>
                <w:lang w:eastAsia="en-GB"/>
              </w:rPr>
            </w:pPr>
            <w:r w:rsidRPr="00277023">
              <w:rPr>
                <w:rFonts w:cs="Arial"/>
                <w:color w:val="000000"/>
                <w:lang w:eastAsia="en-GB"/>
              </w:rPr>
              <w:t>Reviewing agreements with any agents, distributors, representatives, and other third-party intermediaries to ensure they contain appropriate contract terms in relation to fraud.</w:t>
            </w:r>
          </w:p>
        </w:tc>
        <w:tc>
          <w:tcPr>
            <w:tcW w:w="1151" w:type="dxa"/>
            <w:tcBorders>
              <w:top w:val="nil"/>
              <w:left w:val="nil"/>
              <w:bottom w:val="single" w:sz="4" w:space="0" w:color="auto"/>
              <w:right w:val="single" w:sz="4" w:space="0" w:color="auto"/>
            </w:tcBorders>
            <w:shd w:val="clear" w:color="auto" w:fill="auto"/>
            <w:noWrap/>
            <w:vAlign w:val="bottom"/>
            <w:hideMark/>
          </w:tcPr>
          <w:p w14:paraId="5070FEF3"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45E443C" w14:textId="77777777" w:rsidTr="00277023">
        <w:trPr>
          <w:trHeight w:val="3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60DC831F" w14:textId="77777777" w:rsidR="00277023" w:rsidRPr="00277023" w:rsidRDefault="00277023" w:rsidP="00277023">
            <w:pPr>
              <w:rPr>
                <w:rFonts w:cs="Arial"/>
                <w:color w:val="000000"/>
                <w:lang w:eastAsia="en-GB"/>
              </w:rPr>
            </w:pPr>
            <w:r w:rsidRPr="00277023">
              <w:rPr>
                <w:rFonts w:cs="Arial"/>
                <w:color w:val="000000"/>
                <w:lang w:eastAsia="en-GB"/>
              </w:rPr>
              <w:t>Ensuring pre-employment checks and procedures are in place.</w:t>
            </w:r>
          </w:p>
        </w:tc>
        <w:tc>
          <w:tcPr>
            <w:tcW w:w="1151" w:type="dxa"/>
            <w:tcBorders>
              <w:top w:val="nil"/>
              <w:left w:val="nil"/>
              <w:bottom w:val="single" w:sz="4" w:space="0" w:color="auto"/>
              <w:right w:val="single" w:sz="4" w:space="0" w:color="auto"/>
            </w:tcBorders>
            <w:shd w:val="clear" w:color="auto" w:fill="auto"/>
            <w:noWrap/>
            <w:vAlign w:val="bottom"/>
            <w:hideMark/>
          </w:tcPr>
          <w:p w14:paraId="069F326D"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13D7D168"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4F6C73F5" w14:textId="77777777" w:rsidR="00277023" w:rsidRPr="00277023" w:rsidRDefault="00277023" w:rsidP="00277023">
            <w:pPr>
              <w:rPr>
                <w:rFonts w:cs="Arial"/>
                <w:color w:val="000000"/>
                <w:lang w:eastAsia="en-GB"/>
              </w:rPr>
            </w:pPr>
            <w:r w:rsidRPr="00277023">
              <w:rPr>
                <w:rFonts w:cs="Arial"/>
                <w:color w:val="000000"/>
                <w:lang w:eastAsia="en-GB"/>
              </w:rPr>
              <w:t>Implementing the actions within the Due Diligence Quick Guide to assist NHS procurement teams in making informed risk management decisions on whether to engage with suppliers.</w:t>
            </w:r>
          </w:p>
        </w:tc>
        <w:tc>
          <w:tcPr>
            <w:tcW w:w="1151" w:type="dxa"/>
            <w:tcBorders>
              <w:top w:val="nil"/>
              <w:left w:val="nil"/>
              <w:bottom w:val="single" w:sz="4" w:space="0" w:color="auto"/>
              <w:right w:val="single" w:sz="4" w:space="0" w:color="auto"/>
            </w:tcBorders>
            <w:shd w:val="clear" w:color="auto" w:fill="auto"/>
            <w:noWrap/>
            <w:vAlign w:val="bottom"/>
            <w:hideMark/>
          </w:tcPr>
          <w:p w14:paraId="0EA966C2"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03770B2C" w14:textId="77777777" w:rsidTr="00277023">
        <w:trPr>
          <w:trHeight w:val="315"/>
        </w:trPr>
        <w:tc>
          <w:tcPr>
            <w:tcW w:w="935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9894DB5" w14:textId="77777777" w:rsidR="00277023" w:rsidRPr="00277023" w:rsidRDefault="00277023" w:rsidP="00277023">
            <w:pPr>
              <w:jc w:val="center"/>
              <w:rPr>
                <w:rFonts w:cs="Arial"/>
                <w:b/>
                <w:bCs/>
                <w:lang w:eastAsia="en-GB"/>
              </w:rPr>
            </w:pPr>
            <w:r w:rsidRPr="00277023">
              <w:rPr>
                <w:rFonts w:cs="Arial"/>
                <w:b/>
                <w:bCs/>
                <w:lang w:eastAsia="en-GB"/>
              </w:rPr>
              <w:t>Communication (including training)</w:t>
            </w:r>
          </w:p>
        </w:tc>
      </w:tr>
      <w:tr w:rsidR="00277023" w:rsidRPr="00277023" w14:paraId="22157B14" w14:textId="77777777" w:rsidTr="00277023">
        <w:trPr>
          <w:trHeight w:val="12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08F4587A" w14:textId="77777777" w:rsidR="00277023" w:rsidRPr="00277023" w:rsidRDefault="00277023" w:rsidP="00277023">
            <w:pPr>
              <w:rPr>
                <w:rFonts w:cs="Arial"/>
                <w:color w:val="000000"/>
                <w:lang w:eastAsia="en-GB"/>
              </w:rPr>
            </w:pPr>
            <w:r w:rsidRPr="00277023">
              <w:rPr>
                <w:rFonts w:cs="Arial"/>
                <w:color w:val="000000"/>
                <w:lang w:eastAsia="en-GB"/>
              </w:rPr>
              <w:t>Having well established and documented reporting routes for staff, contractors and members of the public where necessary to report fraud suspicions (GovS 013 Component 7: Reporting routes for staff, contractors and members of the public).</w:t>
            </w:r>
          </w:p>
        </w:tc>
        <w:tc>
          <w:tcPr>
            <w:tcW w:w="1151" w:type="dxa"/>
            <w:tcBorders>
              <w:top w:val="nil"/>
              <w:left w:val="nil"/>
              <w:bottom w:val="single" w:sz="4" w:space="0" w:color="auto"/>
              <w:right w:val="single" w:sz="4" w:space="0" w:color="auto"/>
            </w:tcBorders>
            <w:shd w:val="clear" w:color="auto" w:fill="auto"/>
            <w:noWrap/>
            <w:vAlign w:val="bottom"/>
            <w:hideMark/>
          </w:tcPr>
          <w:p w14:paraId="20F2EA5B"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031A6BC1"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D1F75D3" w14:textId="77777777" w:rsidR="00277023" w:rsidRPr="00277023" w:rsidRDefault="00277023" w:rsidP="00277023">
            <w:pPr>
              <w:rPr>
                <w:rFonts w:cs="Arial"/>
                <w:color w:val="000000"/>
                <w:lang w:eastAsia="en-GB"/>
              </w:rPr>
            </w:pPr>
            <w:r w:rsidRPr="00277023">
              <w:rPr>
                <w:rFonts w:cs="Arial"/>
                <w:color w:val="000000"/>
                <w:lang w:eastAsia="en-GB"/>
              </w:rPr>
              <w:t>Ensuring all staff have access to and undertake fraud awareness, bribery and corruption training as appropriate to their role (GovS 013 Component 11: Access to and completion of training).</w:t>
            </w:r>
          </w:p>
        </w:tc>
        <w:tc>
          <w:tcPr>
            <w:tcW w:w="1151" w:type="dxa"/>
            <w:tcBorders>
              <w:top w:val="nil"/>
              <w:left w:val="nil"/>
              <w:bottom w:val="single" w:sz="4" w:space="0" w:color="auto"/>
              <w:right w:val="single" w:sz="4" w:space="0" w:color="auto"/>
            </w:tcBorders>
            <w:shd w:val="clear" w:color="auto" w:fill="auto"/>
            <w:noWrap/>
            <w:vAlign w:val="bottom"/>
            <w:hideMark/>
          </w:tcPr>
          <w:p w14:paraId="2AF7E50A"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7631BD6" w14:textId="77777777" w:rsidTr="00277023">
        <w:trPr>
          <w:trHeight w:val="3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7A48AA7" w14:textId="77777777" w:rsidR="00277023" w:rsidRPr="00277023" w:rsidRDefault="00277023" w:rsidP="00277023">
            <w:pPr>
              <w:rPr>
                <w:rFonts w:cs="Arial"/>
                <w:color w:val="000000"/>
                <w:lang w:eastAsia="en-GB"/>
              </w:rPr>
            </w:pPr>
            <w:r w:rsidRPr="00277023">
              <w:rPr>
                <w:rFonts w:cs="Arial"/>
                <w:color w:val="000000"/>
                <w:lang w:eastAsia="en-GB"/>
              </w:rPr>
              <w:t>Regular measurement of staff awareness levels.</w:t>
            </w:r>
          </w:p>
        </w:tc>
        <w:tc>
          <w:tcPr>
            <w:tcW w:w="1151" w:type="dxa"/>
            <w:tcBorders>
              <w:top w:val="nil"/>
              <w:left w:val="nil"/>
              <w:bottom w:val="single" w:sz="4" w:space="0" w:color="auto"/>
              <w:right w:val="single" w:sz="4" w:space="0" w:color="auto"/>
            </w:tcBorders>
            <w:shd w:val="clear" w:color="auto" w:fill="auto"/>
            <w:noWrap/>
            <w:vAlign w:val="bottom"/>
            <w:hideMark/>
          </w:tcPr>
          <w:p w14:paraId="6E6803B5"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A58B6E0"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02F9592" w14:textId="77777777" w:rsidR="00277023" w:rsidRPr="00277023" w:rsidRDefault="00277023" w:rsidP="00277023">
            <w:pPr>
              <w:rPr>
                <w:rFonts w:cs="Arial"/>
                <w:color w:val="000000"/>
                <w:lang w:eastAsia="en-GB"/>
              </w:rPr>
            </w:pPr>
            <w:r w:rsidRPr="00277023">
              <w:rPr>
                <w:rFonts w:cs="Arial"/>
                <w:color w:val="000000"/>
                <w:lang w:eastAsia="en-GB"/>
              </w:rPr>
              <w:t>Reviewing and delivering appropriate training to ensure awareness of coming changes.</w:t>
            </w:r>
          </w:p>
        </w:tc>
        <w:tc>
          <w:tcPr>
            <w:tcW w:w="1151" w:type="dxa"/>
            <w:tcBorders>
              <w:top w:val="nil"/>
              <w:left w:val="nil"/>
              <w:bottom w:val="single" w:sz="4" w:space="0" w:color="auto"/>
              <w:right w:val="single" w:sz="4" w:space="0" w:color="auto"/>
            </w:tcBorders>
            <w:shd w:val="clear" w:color="auto" w:fill="auto"/>
            <w:noWrap/>
            <w:vAlign w:val="bottom"/>
            <w:hideMark/>
          </w:tcPr>
          <w:p w14:paraId="5C89B7B0"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782012B"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86C8458" w14:textId="77777777" w:rsidR="00277023" w:rsidRPr="00277023" w:rsidRDefault="00277023" w:rsidP="00277023">
            <w:pPr>
              <w:rPr>
                <w:rFonts w:cs="Arial"/>
                <w:color w:val="000000"/>
                <w:lang w:eastAsia="en-GB"/>
              </w:rPr>
            </w:pPr>
            <w:r w:rsidRPr="00277023">
              <w:rPr>
                <w:rFonts w:cs="Arial"/>
                <w:color w:val="000000"/>
                <w:lang w:eastAsia="en-GB"/>
              </w:rPr>
              <w:t>Ensuring that the fraud prevention policy or code of conduct is proactively communicated to all staff, fully implemented, and demonstrably effective.</w:t>
            </w:r>
          </w:p>
        </w:tc>
        <w:tc>
          <w:tcPr>
            <w:tcW w:w="1151" w:type="dxa"/>
            <w:tcBorders>
              <w:top w:val="nil"/>
              <w:left w:val="nil"/>
              <w:bottom w:val="single" w:sz="4" w:space="0" w:color="auto"/>
              <w:right w:val="single" w:sz="4" w:space="0" w:color="auto"/>
            </w:tcBorders>
            <w:shd w:val="clear" w:color="auto" w:fill="auto"/>
            <w:noWrap/>
            <w:vAlign w:val="bottom"/>
            <w:hideMark/>
          </w:tcPr>
          <w:p w14:paraId="661DFD0E"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57066401" w14:textId="77777777" w:rsidTr="00277023">
        <w:trPr>
          <w:trHeight w:val="3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4173847F" w14:textId="77777777" w:rsidR="00277023" w:rsidRPr="00277023" w:rsidRDefault="00277023" w:rsidP="00277023">
            <w:pPr>
              <w:rPr>
                <w:rFonts w:cs="Arial"/>
                <w:color w:val="000000"/>
                <w:lang w:eastAsia="en-GB"/>
              </w:rPr>
            </w:pPr>
            <w:r w:rsidRPr="00277023">
              <w:rPr>
                <w:rFonts w:cs="Arial"/>
                <w:color w:val="000000"/>
                <w:lang w:eastAsia="en-GB"/>
              </w:rPr>
              <w:t>Measuring levels of awareness of the code of conduct among staff.</w:t>
            </w:r>
          </w:p>
        </w:tc>
        <w:tc>
          <w:tcPr>
            <w:tcW w:w="1151" w:type="dxa"/>
            <w:tcBorders>
              <w:top w:val="nil"/>
              <w:left w:val="nil"/>
              <w:bottom w:val="single" w:sz="4" w:space="0" w:color="auto"/>
              <w:right w:val="single" w:sz="4" w:space="0" w:color="auto"/>
            </w:tcBorders>
            <w:shd w:val="clear" w:color="auto" w:fill="auto"/>
            <w:noWrap/>
            <w:vAlign w:val="bottom"/>
            <w:hideMark/>
          </w:tcPr>
          <w:p w14:paraId="07AEC69F"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1B9C1F28"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B375494" w14:textId="77777777" w:rsidR="00277023" w:rsidRPr="00277023" w:rsidRDefault="00277023" w:rsidP="00277023">
            <w:pPr>
              <w:rPr>
                <w:rFonts w:cs="Arial"/>
                <w:color w:val="000000"/>
                <w:lang w:eastAsia="en-GB"/>
              </w:rPr>
            </w:pPr>
            <w:r w:rsidRPr="00277023">
              <w:rPr>
                <w:rFonts w:cs="Arial"/>
                <w:color w:val="000000"/>
                <w:lang w:eastAsia="en-GB"/>
              </w:rPr>
              <w:t>Being able to demonstrate a strong anti-fraud culture within the organisation.</w:t>
            </w:r>
          </w:p>
        </w:tc>
        <w:tc>
          <w:tcPr>
            <w:tcW w:w="1151" w:type="dxa"/>
            <w:tcBorders>
              <w:top w:val="nil"/>
              <w:left w:val="nil"/>
              <w:bottom w:val="single" w:sz="4" w:space="0" w:color="auto"/>
              <w:right w:val="single" w:sz="4" w:space="0" w:color="auto"/>
            </w:tcBorders>
            <w:shd w:val="clear" w:color="auto" w:fill="auto"/>
            <w:noWrap/>
            <w:vAlign w:val="bottom"/>
            <w:hideMark/>
          </w:tcPr>
          <w:p w14:paraId="04B47FEB"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5AC267AD"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4F6411A1" w14:textId="77777777" w:rsidR="00277023" w:rsidRPr="00277023" w:rsidRDefault="00277023" w:rsidP="00277023">
            <w:pPr>
              <w:rPr>
                <w:rFonts w:cs="Arial"/>
                <w:color w:val="000000"/>
                <w:lang w:eastAsia="en-GB"/>
              </w:rPr>
            </w:pPr>
            <w:r w:rsidRPr="00277023">
              <w:rPr>
                <w:rFonts w:cs="Arial"/>
                <w:color w:val="000000"/>
                <w:lang w:eastAsia="en-GB"/>
              </w:rPr>
              <w:t>Ensuring that an effective whistleblowing facility is in place to facilitate the reporting of allegations or suspicions of fraud and other criminal conduct.</w:t>
            </w:r>
          </w:p>
        </w:tc>
        <w:tc>
          <w:tcPr>
            <w:tcW w:w="1151" w:type="dxa"/>
            <w:tcBorders>
              <w:top w:val="nil"/>
              <w:left w:val="nil"/>
              <w:bottom w:val="single" w:sz="4" w:space="0" w:color="auto"/>
              <w:right w:val="single" w:sz="4" w:space="0" w:color="auto"/>
            </w:tcBorders>
            <w:shd w:val="clear" w:color="auto" w:fill="auto"/>
            <w:noWrap/>
            <w:vAlign w:val="bottom"/>
            <w:hideMark/>
          </w:tcPr>
          <w:p w14:paraId="4D052DFF"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56C71631"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6F104218" w14:textId="77777777" w:rsidR="00277023" w:rsidRPr="00277023" w:rsidRDefault="00277023" w:rsidP="00277023">
            <w:pPr>
              <w:rPr>
                <w:rFonts w:cs="Arial"/>
                <w:color w:val="000000"/>
                <w:lang w:eastAsia="en-GB"/>
              </w:rPr>
            </w:pPr>
            <w:r w:rsidRPr="00277023">
              <w:rPr>
                <w:rFonts w:cs="Arial"/>
                <w:color w:val="000000"/>
                <w:lang w:eastAsia="en-GB"/>
              </w:rPr>
              <w:t>Ensuring that the NHS Fraud and Corruption Reporting Line (telephone hotline and online reporting tool) is publicised.</w:t>
            </w:r>
          </w:p>
        </w:tc>
        <w:tc>
          <w:tcPr>
            <w:tcW w:w="1151" w:type="dxa"/>
            <w:tcBorders>
              <w:top w:val="nil"/>
              <w:left w:val="nil"/>
              <w:bottom w:val="single" w:sz="4" w:space="0" w:color="auto"/>
              <w:right w:val="single" w:sz="4" w:space="0" w:color="auto"/>
            </w:tcBorders>
            <w:shd w:val="clear" w:color="auto" w:fill="auto"/>
            <w:noWrap/>
            <w:vAlign w:val="bottom"/>
            <w:hideMark/>
          </w:tcPr>
          <w:p w14:paraId="5DC48249"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7C3EC1A7"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EAB3051" w14:textId="77777777" w:rsidR="00277023" w:rsidRPr="00277023" w:rsidRDefault="00277023" w:rsidP="00277023">
            <w:pPr>
              <w:rPr>
                <w:rFonts w:cs="Arial"/>
                <w:color w:val="000000"/>
                <w:lang w:eastAsia="en-GB"/>
              </w:rPr>
            </w:pPr>
            <w:r w:rsidRPr="00277023">
              <w:rPr>
                <w:rFonts w:cs="Arial"/>
                <w:color w:val="000000"/>
                <w:lang w:eastAsia="en-GB"/>
              </w:rPr>
              <w:lastRenderedPageBreak/>
              <w:t>Having a mechanism for recording referrals and allegations of suspected fraud, bribery and corruption.</w:t>
            </w:r>
          </w:p>
        </w:tc>
        <w:tc>
          <w:tcPr>
            <w:tcW w:w="1151" w:type="dxa"/>
            <w:tcBorders>
              <w:top w:val="nil"/>
              <w:left w:val="nil"/>
              <w:bottom w:val="single" w:sz="4" w:space="0" w:color="auto"/>
              <w:right w:val="single" w:sz="4" w:space="0" w:color="auto"/>
            </w:tcBorders>
            <w:shd w:val="clear" w:color="auto" w:fill="auto"/>
            <w:noWrap/>
            <w:vAlign w:val="bottom"/>
            <w:hideMark/>
          </w:tcPr>
          <w:p w14:paraId="78695715"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36738DA5" w14:textId="77777777" w:rsidTr="00277023">
        <w:trPr>
          <w:trHeight w:val="3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0E981BC8" w14:textId="77777777" w:rsidR="00277023" w:rsidRPr="00277023" w:rsidRDefault="00277023" w:rsidP="00277023">
            <w:pPr>
              <w:rPr>
                <w:rFonts w:cs="Arial"/>
                <w:color w:val="000000"/>
                <w:lang w:eastAsia="en-GB"/>
              </w:rPr>
            </w:pPr>
            <w:r w:rsidRPr="00277023">
              <w:rPr>
                <w:rFonts w:cs="Arial"/>
                <w:color w:val="000000"/>
                <w:lang w:eastAsia="en-GB"/>
              </w:rPr>
              <w:t>Using NHSCFA’s fraud awareness toolkit to raise awareness of NHS fraud.</w:t>
            </w:r>
          </w:p>
        </w:tc>
        <w:tc>
          <w:tcPr>
            <w:tcW w:w="1151" w:type="dxa"/>
            <w:tcBorders>
              <w:top w:val="nil"/>
              <w:left w:val="nil"/>
              <w:bottom w:val="single" w:sz="4" w:space="0" w:color="auto"/>
              <w:right w:val="single" w:sz="4" w:space="0" w:color="auto"/>
            </w:tcBorders>
            <w:shd w:val="clear" w:color="auto" w:fill="auto"/>
            <w:noWrap/>
            <w:vAlign w:val="bottom"/>
            <w:hideMark/>
          </w:tcPr>
          <w:p w14:paraId="7C6E81B9"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73285FB5" w14:textId="77777777" w:rsidTr="00277023">
        <w:trPr>
          <w:trHeight w:val="3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0A0DBB1A" w14:textId="77777777" w:rsidR="00277023" w:rsidRPr="00277023" w:rsidRDefault="00277023" w:rsidP="00277023">
            <w:pPr>
              <w:rPr>
                <w:rFonts w:cs="Arial"/>
                <w:color w:val="000000"/>
                <w:lang w:eastAsia="en-GB"/>
              </w:rPr>
            </w:pPr>
            <w:r w:rsidRPr="00277023">
              <w:rPr>
                <w:rFonts w:cs="Arial"/>
                <w:color w:val="000000"/>
                <w:lang w:eastAsia="en-GB"/>
              </w:rPr>
              <w:t>Using communication as a fraud fighting tool.</w:t>
            </w:r>
          </w:p>
        </w:tc>
        <w:tc>
          <w:tcPr>
            <w:tcW w:w="1151" w:type="dxa"/>
            <w:tcBorders>
              <w:top w:val="nil"/>
              <w:left w:val="nil"/>
              <w:bottom w:val="single" w:sz="4" w:space="0" w:color="auto"/>
              <w:right w:val="single" w:sz="4" w:space="0" w:color="auto"/>
            </w:tcBorders>
            <w:shd w:val="clear" w:color="auto" w:fill="auto"/>
            <w:noWrap/>
            <w:vAlign w:val="bottom"/>
            <w:hideMark/>
          </w:tcPr>
          <w:p w14:paraId="4BCF84D9"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082FBC52"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6EEC8BA7" w14:textId="77777777" w:rsidR="00277023" w:rsidRPr="00277023" w:rsidRDefault="00277023" w:rsidP="00277023">
            <w:pPr>
              <w:rPr>
                <w:rFonts w:cs="Arial"/>
                <w:color w:val="000000"/>
                <w:lang w:eastAsia="en-GB"/>
              </w:rPr>
            </w:pPr>
            <w:r w:rsidRPr="00277023">
              <w:rPr>
                <w:rFonts w:cs="Arial"/>
                <w:color w:val="000000"/>
                <w:lang w:eastAsia="en-GB"/>
              </w:rPr>
              <w:t>Using the NHS Fraud Reference Guide to raise awareness of types of NHS fraud.</w:t>
            </w:r>
          </w:p>
        </w:tc>
        <w:tc>
          <w:tcPr>
            <w:tcW w:w="1151" w:type="dxa"/>
            <w:tcBorders>
              <w:top w:val="nil"/>
              <w:left w:val="nil"/>
              <w:bottom w:val="single" w:sz="4" w:space="0" w:color="auto"/>
              <w:right w:val="single" w:sz="4" w:space="0" w:color="auto"/>
            </w:tcBorders>
            <w:shd w:val="clear" w:color="auto" w:fill="auto"/>
            <w:noWrap/>
            <w:vAlign w:val="bottom"/>
            <w:hideMark/>
          </w:tcPr>
          <w:p w14:paraId="03B66AE6"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5CB1C61F"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A584332" w14:textId="77777777" w:rsidR="00277023" w:rsidRPr="00277023" w:rsidRDefault="00277023" w:rsidP="00277023">
            <w:pPr>
              <w:rPr>
                <w:rFonts w:cs="Arial"/>
                <w:color w:val="000000"/>
                <w:lang w:eastAsia="en-GB"/>
              </w:rPr>
            </w:pPr>
            <w:r w:rsidRPr="00277023">
              <w:rPr>
                <w:rFonts w:cs="Arial"/>
                <w:color w:val="000000"/>
                <w:lang w:eastAsia="en-GB"/>
              </w:rPr>
              <w:t>Seeking to ensure that it’s prevention policies and procedures are communicated, embedded and understood throughout the organisation, through internal and external communication.</w:t>
            </w:r>
          </w:p>
        </w:tc>
        <w:tc>
          <w:tcPr>
            <w:tcW w:w="1151" w:type="dxa"/>
            <w:tcBorders>
              <w:top w:val="nil"/>
              <w:left w:val="nil"/>
              <w:bottom w:val="single" w:sz="4" w:space="0" w:color="auto"/>
              <w:right w:val="single" w:sz="4" w:space="0" w:color="auto"/>
            </w:tcBorders>
            <w:shd w:val="clear" w:color="auto" w:fill="auto"/>
            <w:noWrap/>
            <w:vAlign w:val="bottom"/>
            <w:hideMark/>
          </w:tcPr>
          <w:p w14:paraId="1716B1DA"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497E5653" w14:textId="77777777" w:rsidTr="00277023">
        <w:trPr>
          <w:trHeight w:val="315"/>
        </w:trPr>
        <w:tc>
          <w:tcPr>
            <w:tcW w:w="935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B0A6981" w14:textId="77777777" w:rsidR="00277023" w:rsidRPr="00277023" w:rsidRDefault="00277023" w:rsidP="00277023">
            <w:pPr>
              <w:jc w:val="center"/>
              <w:rPr>
                <w:rFonts w:cs="Arial"/>
                <w:b/>
                <w:bCs/>
                <w:color w:val="000000"/>
                <w:lang w:eastAsia="en-GB"/>
              </w:rPr>
            </w:pPr>
            <w:r w:rsidRPr="00277023">
              <w:rPr>
                <w:rFonts w:cs="Arial"/>
                <w:b/>
                <w:bCs/>
                <w:color w:val="000000"/>
                <w:lang w:eastAsia="en-GB"/>
              </w:rPr>
              <w:t>Monitoring and Review</w:t>
            </w:r>
          </w:p>
        </w:tc>
      </w:tr>
      <w:tr w:rsidR="00277023" w:rsidRPr="00277023" w14:paraId="57D47536" w14:textId="77777777" w:rsidTr="00277023">
        <w:trPr>
          <w:trHeight w:val="9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0EC28D8A" w14:textId="77777777" w:rsidR="00277023" w:rsidRPr="00277023" w:rsidRDefault="00277023" w:rsidP="00277023">
            <w:pPr>
              <w:rPr>
                <w:rFonts w:cs="Arial"/>
                <w:color w:val="000000"/>
                <w:lang w:eastAsia="en-GB"/>
              </w:rPr>
            </w:pPr>
            <w:r w:rsidRPr="00277023">
              <w:rPr>
                <w:rFonts w:cs="Arial"/>
                <w:color w:val="000000"/>
                <w:lang w:eastAsia="en-GB"/>
              </w:rPr>
              <w:t>Identifying and reporting upon annual outcome-based metrics to support improvement in performance (GovS 013: Component 6: Outcome based metrics).</w:t>
            </w:r>
          </w:p>
        </w:tc>
        <w:tc>
          <w:tcPr>
            <w:tcW w:w="1151" w:type="dxa"/>
            <w:tcBorders>
              <w:top w:val="nil"/>
              <w:left w:val="nil"/>
              <w:bottom w:val="single" w:sz="4" w:space="0" w:color="auto"/>
              <w:right w:val="single" w:sz="4" w:space="0" w:color="auto"/>
            </w:tcBorders>
            <w:shd w:val="clear" w:color="auto" w:fill="auto"/>
            <w:noWrap/>
            <w:vAlign w:val="bottom"/>
            <w:hideMark/>
          </w:tcPr>
          <w:p w14:paraId="58BCA360"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3D85BA3B"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0CA18292" w14:textId="77777777" w:rsidR="00277023" w:rsidRPr="00277023" w:rsidRDefault="00277023" w:rsidP="00277023">
            <w:pPr>
              <w:rPr>
                <w:rFonts w:cs="Arial"/>
                <w:color w:val="000000"/>
                <w:lang w:eastAsia="en-GB"/>
              </w:rPr>
            </w:pPr>
            <w:r w:rsidRPr="00277023">
              <w:rPr>
                <w:rFonts w:cs="Arial"/>
                <w:color w:val="000000"/>
                <w:lang w:eastAsia="en-GB"/>
              </w:rPr>
              <w:t>Monitoring and reviewing its fraud prevention procedures and making improvements where necessary.</w:t>
            </w:r>
          </w:p>
        </w:tc>
        <w:tc>
          <w:tcPr>
            <w:tcW w:w="1151" w:type="dxa"/>
            <w:tcBorders>
              <w:top w:val="nil"/>
              <w:left w:val="nil"/>
              <w:bottom w:val="single" w:sz="4" w:space="0" w:color="auto"/>
              <w:right w:val="single" w:sz="4" w:space="0" w:color="auto"/>
            </w:tcBorders>
            <w:shd w:val="clear" w:color="auto" w:fill="auto"/>
            <w:noWrap/>
            <w:vAlign w:val="bottom"/>
            <w:hideMark/>
          </w:tcPr>
          <w:p w14:paraId="2B1AC85F"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6D490834"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4E463B7B" w14:textId="77777777" w:rsidR="00277023" w:rsidRPr="00277023" w:rsidRDefault="00277023" w:rsidP="00277023">
            <w:pPr>
              <w:rPr>
                <w:rFonts w:cs="Arial"/>
                <w:color w:val="000000"/>
                <w:lang w:eastAsia="en-GB"/>
              </w:rPr>
            </w:pPr>
            <w:r w:rsidRPr="00277023">
              <w:rPr>
                <w:rFonts w:cs="Arial"/>
                <w:color w:val="000000"/>
                <w:lang w:eastAsia="en-GB"/>
              </w:rPr>
              <w:t>Learning from investigations and whistleblowing incidents and reviewing information from its own sector.</w:t>
            </w:r>
          </w:p>
        </w:tc>
        <w:tc>
          <w:tcPr>
            <w:tcW w:w="1151" w:type="dxa"/>
            <w:tcBorders>
              <w:top w:val="nil"/>
              <w:left w:val="nil"/>
              <w:bottom w:val="single" w:sz="4" w:space="0" w:color="auto"/>
              <w:right w:val="single" w:sz="4" w:space="0" w:color="auto"/>
            </w:tcBorders>
            <w:shd w:val="clear" w:color="auto" w:fill="auto"/>
            <w:noWrap/>
            <w:vAlign w:val="bottom"/>
            <w:hideMark/>
          </w:tcPr>
          <w:p w14:paraId="7764B38C"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7221C04C" w14:textId="77777777" w:rsidTr="00277023">
        <w:trPr>
          <w:trHeight w:val="3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5CCA6F5" w14:textId="77777777" w:rsidR="00277023" w:rsidRPr="00277023" w:rsidRDefault="00277023" w:rsidP="00277023">
            <w:pPr>
              <w:rPr>
                <w:rFonts w:cs="Arial"/>
                <w:color w:val="000000"/>
                <w:lang w:eastAsia="en-GB"/>
              </w:rPr>
            </w:pPr>
            <w:r w:rsidRPr="00277023">
              <w:rPr>
                <w:rFonts w:cs="Arial"/>
                <w:color w:val="000000"/>
                <w:lang w:eastAsia="en-GB"/>
              </w:rPr>
              <w:t>Reviewing and updating policies and procedures.</w:t>
            </w:r>
          </w:p>
        </w:tc>
        <w:tc>
          <w:tcPr>
            <w:tcW w:w="1151" w:type="dxa"/>
            <w:tcBorders>
              <w:top w:val="nil"/>
              <w:left w:val="nil"/>
              <w:bottom w:val="single" w:sz="4" w:space="0" w:color="auto"/>
              <w:right w:val="single" w:sz="4" w:space="0" w:color="auto"/>
            </w:tcBorders>
            <w:shd w:val="clear" w:color="auto" w:fill="auto"/>
            <w:noWrap/>
            <w:vAlign w:val="bottom"/>
            <w:hideMark/>
          </w:tcPr>
          <w:p w14:paraId="372DC66B"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37A0C29F" w14:textId="77777777" w:rsidTr="00277023">
        <w:trPr>
          <w:trHeight w:val="3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13DB241D" w14:textId="77777777" w:rsidR="00277023" w:rsidRPr="00277023" w:rsidRDefault="00277023" w:rsidP="00277023">
            <w:pPr>
              <w:rPr>
                <w:rFonts w:cs="Arial"/>
                <w:color w:val="000000"/>
                <w:lang w:eastAsia="en-GB"/>
              </w:rPr>
            </w:pPr>
            <w:r w:rsidRPr="00277023">
              <w:rPr>
                <w:rFonts w:cs="Arial"/>
                <w:color w:val="000000"/>
                <w:lang w:eastAsia="en-GB"/>
              </w:rPr>
              <w:t>Ascertaining what anti-fraud procedures are currently in place.</w:t>
            </w:r>
          </w:p>
        </w:tc>
        <w:tc>
          <w:tcPr>
            <w:tcW w:w="1151" w:type="dxa"/>
            <w:tcBorders>
              <w:top w:val="nil"/>
              <w:left w:val="nil"/>
              <w:bottom w:val="single" w:sz="4" w:space="0" w:color="auto"/>
              <w:right w:val="single" w:sz="4" w:space="0" w:color="auto"/>
            </w:tcBorders>
            <w:shd w:val="clear" w:color="auto" w:fill="auto"/>
            <w:noWrap/>
            <w:vAlign w:val="bottom"/>
            <w:hideMark/>
          </w:tcPr>
          <w:p w14:paraId="590533CA"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7D22BF8F" w14:textId="77777777" w:rsidTr="00277023">
        <w:trPr>
          <w:trHeight w:val="3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2D57195E" w14:textId="77777777" w:rsidR="00277023" w:rsidRPr="00277023" w:rsidRDefault="00277023" w:rsidP="00277023">
            <w:pPr>
              <w:rPr>
                <w:rFonts w:cs="Arial"/>
                <w:color w:val="000000"/>
                <w:lang w:eastAsia="en-GB"/>
              </w:rPr>
            </w:pPr>
            <w:r w:rsidRPr="00277023">
              <w:rPr>
                <w:rFonts w:cs="Arial"/>
                <w:color w:val="000000"/>
                <w:lang w:eastAsia="en-GB"/>
              </w:rPr>
              <w:t>‘Testing’ procedures.</w:t>
            </w:r>
          </w:p>
        </w:tc>
        <w:tc>
          <w:tcPr>
            <w:tcW w:w="1151" w:type="dxa"/>
            <w:tcBorders>
              <w:top w:val="nil"/>
              <w:left w:val="nil"/>
              <w:bottom w:val="single" w:sz="4" w:space="0" w:color="auto"/>
              <w:right w:val="single" w:sz="4" w:space="0" w:color="auto"/>
            </w:tcBorders>
            <w:shd w:val="clear" w:color="auto" w:fill="auto"/>
            <w:noWrap/>
            <w:vAlign w:val="bottom"/>
            <w:hideMark/>
          </w:tcPr>
          <w:p w14:paraId="0174E931"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2A1BA70" w14:textId="77777777" w:rsidTr="00277023">
        <w:trPr>
          <w:trHeight w:val="3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391BCB16" w14:textId="77777777" w:rsidR="00277023" w:rsidRPr="00277023" w:rsidRDefault="00277023" w:rsidP="00277023">
            <w:pPr>
              <w:rPr>
                <w:rFonts w:cs="Arial"/>
                <w:color w:val="000000"/>
                <w:lang w:eastAsia="en-GB"/>
              </w:rPr>
            </w:pPr>
            <w:r w:rsidRPr="00277023">
              <w:rPr>
                <w:rFonts w:cs="Arial"/>
                <w:color w:val="000000"/>
                <w:lang w:eastAsia="en-GB"/>
              </w:rPr>
              <w:t>Reviewing internal systems and controls.</w:t>
            </w:r>
          </w:p>
        </w:tc>
        <w:tc>
          <w:tcPr>
            <w:tcW w:w="1151" w:type="dxa"/>
            <w:tcBorders>
              <w:top w:val="nil"/>
              <w:left w:val="nil"/>
              <w:bottom w:val="single" w:sz="4" w:space="0" w:color="auto"/>
              <w:right w:val="single" w:sz="4" w:space="0" w:color="auto"/>
            </w:tcBorders>
            <w:shd w:val="clear" w:color="auto" w:fill="auto"/>
            <w:noWrap/>
            <w:vAlign w:val="bottom"/>
            <w:hideMark/>
          </w:tcPr>
          <w:p w14:paraId="7A4ACCDA"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r w:rsidR="00277023" w:rsidRPr="00277023" w14:paraId="2A2A714C" w14:textId="77777777" w:rsidTr="00277023">
        <w:trPr>
          <w:trHeight w:val="600"/>
        </w:trPr>
        <w:tc>
          <w:tcPr>
            <w:tcW w:w="8200" w:type="dxa"/>
            <w:tcBorders>
              <w:top w:val="nil"/>
              <w:left w:val="single" w:sz="4" w:space="0" w:color="auto"/>
              <w:bottom w:val="single" w:sz="4" w:space="0" w:color="auto"/>
              <w:right w:val="single" w:sz="4" w:space="0" w:color="auto"/>
            </w:tcBorders>
            <w:shd w:val="clear" w:color="auto" w:fill="auto"/>
            <w:vAlign w:val="center"/>
            <w:hideMark/>
          </w:tcPr>
          <w:p w14:paraId="317A1C40" w14:textId="77777777" w:rsidR="00277023" w:rsidRPr="00277023" w:rsidRDefault="00277023" w:rsidP="00277023">
            <w:pPr>
              <w:rPr>
                <w:rFonts w:cs="Arial"/>
                <w:color w:val="000000"/>
                <w:lang w:eastAsia="en-GB"/>
              </w:rPr>
            </w:pPr>
            <w:r w:rsidRPr="00277023">
              <w:rPr>
                <w:rFonts w:cs="Arial"/>
                <w:color w:val="000000"/>
                <w:lang w:eastAsia="en-GB"/>
              </w:rPr>
              <w:t>Thinking about whether internal investigation mechanisms need to be updated.</w:t>
            </w:r>
          </w:p>
        </w:tc>
        <w:tc>
          <w:tcPr>
            <w:tcW w:w="1151" w:type="dxa"/>
            <w:tcBorders>
              <w:top w:val="nil"/>
              <w:left w:val="nil"/>
              <w:bottom w:val="single" w:sz="4" w:space="0" w:color="auto"/>
              <w:right w:val="single" w:sz="4" w:space="0" w:color="auto"/>
            </w:tcBorders>
            <w:shd w:val="clear" w:color="auto" w:fill="auto"/>
            <w:noWrap/>
            <w:vAlign w:val="bottom"/>
            <w:hideMark/>
          </w:tcPr>
          <w:p w14:paraId="349A9A9E" w14:textId="77777777" w:rsidR="00277023" w:rsidRPr="00277023" w:rsidRDefault="00277023" w:rsidP="00277023">
            <w:pPr>
              <w:rPr>
                <w:rFonts w:ascii="Aptos Narrow" w:hAnsi="Aptos Narrow"/>
                <w:color w:val="000000"/>
                <w:sz w:val="22"/>
                <w:szCs w:val="22"/>
                <w:lang w:eastAsia="en-GB"/>
              </w:rPr>
            </w:pPr>
            <w:r w:rsidRPr="00277023">
              <w:rPr>
                <w:rFonts w:ascii="Aptos Narrow" w:hAnsi="Aptos Narrow"/>
                <w:color w:val="000000"/>
                <w:sz w:val="22"/>
                <w:szCs w:val="22"/>
                <w:lang w:eastAsia="en-GB"/>
              </w:rPr>
              <w:t> </w:t>
            </w:r>
          </w:p>
        </w:tc>
      </w:tr>
    </w:tbl>
    <w:p w14:paraId="185762F4" w14:textId="77777777" w:rsidR="00277023" w:rsidRPr="00C17CC6" w:rsidRDefault="00277023" w:rsidP="00A678AB">
      <w:pPr>
        <w:spacing w:line="360" w:lineRule="auto"/>
        <w:jc w:val="both"/>
        <w:rPr>
          <w:b/>
          <w:bCs/>
        </w:rPr>
      </w:pPr>
    </w:p>
    <w:sectPr w:rsidR="00277023" w:rsidRPr="00C17CC6" w:rsidSect="00722EB2">
      <w:headerReference w:type="even" r:id="rId13"/>
      <w:headerReference w:type="default" r:id="rId14"/>
      <w:footerReference w:type="even" r:id="rId15"/>
      <w:footerReference w:type="default" r:id="rId16"/>
      <w:headerReference w:type="first" r:id="rId17"/>
      <w:footerReference w:type="first" r:id="rId18"/>
      <w:pgSz w:w="11906" w:h="16838"/>
      <w:pgMar w:top="1418" w:right="851" w:bottom="1418" w:left="1134"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5E7FA4" w14:textId="77777777" w:rsidR="00D06912" w:rsidRDefault="00D06912">
      <w:r>
        <w:separator/>
      </w:r>
    </w:p>
  </w:endnote>
  <w:endnote w:type="continuationSeparator" w:id="0">
    <w:p w14:paraId="6E52BFEB" w14:textId="77777777" w:rsidR="00D06912" w:rsidRDefault="00D069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Narrow">
    <w:charset w:val="00"/>
    <w:family w:val="swiss"/>
    <w:pitch w:val="variable"/>
    <w:sig w:usb0="20000287" w:usb1="00000003" w:usb2="00000000" w:usb3="00000000" w:csb0="0000019F" w:csb1="00000000"/>
  </w:font>
  <w:font w:name="Frutiger-Normal">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498EE" w14:textId="77777777" w:rsidR="000969FD" w:rsidRDefault="000969F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94BA9A5" w14:textId="77777777" w:rsidR="000969FD" w:rsidRDefault="000969F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636795"/>
      <w:docPartObj>
        <w:docPartGallery w:val="Page Numbers (Bottom of Page)"/>
        <w:docPartUnique/>
      </w:docPartObj>
    </w:sdtPr>
    <w:sdtEndPr/>
    <w:sdtContent>
      <w:p w14:paraId="68463F8E" w14:textId="3089FCDD" w:rsidR="000969FD" w:rsidRDefault="000969FD">
        <w:pPr>
          <w:pStyle w:val="Footer"/>
          <w:jc w:val="right"/>
        </w:pPr>
        <w:r>
          <w:fldChar w:fldCharType="begin"/>
        </w:r>
        <w:r>
          <w:instrText xml:space="preserve"> PAGE   \* MERGEFORMAT </w:instrText>
        </w:r>
        <w:r>
          <w:fldChar w:fldCharType="separate"/>
        </w:r>
        <w:r w:rsidR="00716A06">
          <w:rPr>
            <w:noProof/>
          </w:rPr>
          <w:t>6</w:t>
        </w:r>
        <w:r>
          <w:rPr>
            <w:noProof/>
          </w:rPr>
          <w:fldChar w:fldCharType="end"/>
        </w:r>
      </w:p>
    </w:sdtContent>
  </w:sdt>
  <w:p w14:paraId="6A010E9D" w14:textId="77777777" w:rsidR="000969FD" w:rsidRDefault="000969FD" w:rsidP="00DC6CD1">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04E34" w14:textId="77777777" w:rsidR="00637DA0" w:rsidRDefault="00637D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C48EF7" w14:textId="77777777" w:rsidR="00D06912" w:rsidRDefault="00D06912">
      <w:r>
        <w:separator/>
      </w:r>
    </w:p>
  </w:footnote>
  <w:footnote w:type="continuationSeparator" w:id="0">
    <w:p w14:paraId="2A90ECB9" w14:textId="77777777" w:rsidR="00D06912" w:rsidRDefault="00D069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2980F" w14:textId="77777777" w:rsidR="00637DA0" w:rsidRDefault="00637D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FCA8DC" w14:textId="211B34B1" w:rsidR="000969FD" w:rsidRDefault="000969FD" w:rsidP="008F48DB">
    <w:pPr>
      <w:pStyle w:val="Header"/>
      <w:jc w:val="center"/>
    </w:pPr>
    <w:r>
      <w:t xml:space="preserve">COUNTER </w:t>
    </w:r>
    <w:r>
      <w:t>FRAUD</w:t>
    </w:r>
  </w:p>
  <w:p w14:paraId="6BE6B844" w14:textId="77777777" w:rsidR="000969FD" w:rsidRDefault="000969FD" w:rsidP="008F48DB">
    <w:pPr>
      <w:pStyle w:val="Header"/>
      <w:jc w:val="center"/>
    </w:pPr>
    <w:r>
      <w:t>__________________________________________________________________________</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A0C096" w14:textId="77777777" w:rsidR="000969FD" w:rsidRDefault="000969FD" w:rsidP="008B7C1E">
    <w:pPr>
      <w:pStyle w:val="Header"/>
      <w:jc w:val="center"/>
    </w:pPr>
  </w:p>
  <w:p w14:paraId="3609154E" w14:textId="77777777" w:rsidR="000969FD" w:rsidRDefault="000969FD" w:rsidP="003A6C73">
    <w:pPr>
      <w:ind w:left="360" w:hanging="360"/>
      <w:jc w:val="right"/>
      <w:rPr>
        <w:rFonts w:ascii="Frutiger-Normal" w:eastAsia="Calibri" w:hAnsi="Frutiger-Normal" w:cs="Calibri"/>
        <w:color w:val="538135"/>
        <w:sz w:val="16"/>
        <w:szCs w:val="16"/>
        <w:lang w:eastAsia="en-GB"/>
      </w:rPr>
    </w:pPr>
  </w:p>
  <w:p w14:paraId="158330DF" w14:textId="77777777" w:rsidR="000969FD" w:rsidRDefault="000969FD" w:rsidP="003A6C73">
    <w:pPr>
      <w:tabs>
        <w:tab w:val="left" w:pos="7480"/>
      </w:tabs>
      <w:ind w:right="-148"/>
      <w:jc w:val="right"/>
      <w:rPr>
        <w:color w:val="666699"/>
      </w:rPr>
    </w:pPr>
  </w:p>
  <w:p w14:paraId="64F6A530" w14:textId="77777777" w:rsidR="000969FD" w:rsidRDefault="000969FD">
    <w:pPr>
      <w:pStyle w:val="Header"/>
    </w:pPr>
  </w:p>
  <w:p w14:paraId="652C1BE5" w14:textId="77777777" w:rsidR="000969FD" w:rsidRDefault="000969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B922ECA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6F4B69E6"/>
    <w:multiLevelType w:val="multilevel"/>
    <w:tmpl w:val="2ABCC908"/>
    <w:lvl w:ilvl="0">
      <w:start w:val="1"/>
      <w:numFmt w:val="decimal"/>
      <w:lvlText w:val="%1."/>
      <w:lvlJc w:val="left"/>
      <w:pPr>
        <w:ind w:left="360" w:hanging="360"/>
      </w:pPr>
      <w:rPr>
        <w:rFonts w:hint="default"/>
        <w:b/>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431586519">
    <w:abstractNumId w:val="0"/>
  </w:num>
  <w:num w:numId="2" w16cid:durableId="895047190">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65D6"/>
    <w:rsid w:val="00000600"/>
    <w:rsid w:val="00001487"/>
    <w:rsid w:val="00001975"/>
    <w:rsid w:val="00013187"/>
    <w:rsid w:val="00027872"/>
    <w:rsid w:val="00030E91"/>
    <w:rsid w:val="00030FFB"/>
    <w:rsid w:val="0004082E"/>
    <w:rsid w:val="00041206"/>
    <w:rsid w:val="0004343C"/>
    <w:rsid w:val="00044667"/>
    <w:rsid w:val="00046AEC"/>
    <w:rsid w:val="00054376"/>
    <w:rsid w:val="000556FB"/>
    <w:rsid w:val="0005656F"/>
    <w:rsid w:val="00056CFC"/>
    <w:rsid w:val="0005724A"/>
    <w:rsid w:val="00061584"/>
    <w:rsid w:val="00061D56"/>
    <w:rsid w:val="0006439F"/>
    <w:rsid w:val="000660AC"/>
    <w:rsid w:val="00070520"/>
    <w:rsid w:val="00076AD5"/>
    <w:rsid w:val="000801CE"/>
    <w:rsid w:val="00083697"/>
    <w:rsid w:val="00094781"/>
    <w:rsid w:val="000953B1"/>
    <w:rsid w:val="00096260"/>
    <w:rsid w:val="000969FD"/>
    <w:rsid w:val="0009716B"/>
    <w:rsid w:val="0009722C"/>
    <w:rsid w:val="000A00DA"/>
    <w:rsid w:val="000A790E"/>
    <w:rsid w:val="000A7C03"/>
    <w:rsid w:val="000B1189"/>
    <w:rsid w:val="000B45E7"/>
    <w:rsid w:val="000C203E"/>
    <w:rsid w:val="000C57E1"/>
    <w:rsid w:val="000D14DF"/>
    <w:rsid w:val="000D601C"/>
    <w:rsid w:val="000F12B7"/>
    <w:rsid w:val="00102F86"/>
    <w:rsid w:val="0010761B"/>
    <w:rsid w:val="001100F8"/>
    <w:rsid w:val="0011174E"/>
    <w:rsid w:val="001213AE"/>
    <w:rsid w:val="00121B22"/>
    <w:rsid w:val="00123059"/>
    <w:rsid w:val="001235B9"/>
    <w:rsid w:val="001236D6"/>
    <w:rsid w:val="00132D79"/>
    <w:rsid w:val="001379CF"/>
    <w:rsid w:val="00137EB1"/>
    <w:rsid w:val="00143014"/>
    <w:rsid w:val="00143151"/>
    <w:rsid w:val="00143207"/>
    <w:rsid w:val="00143B30"/>
    <w:rsid w:val="00145EB9"/>
    <w:rsid w:val="00157118"/>
    <w:rsid w:val="0016566B"/>
    <w:rsid w:val="001709C0"/>
    <w:rsid w:val="00181496"/>
    <w:rsid w:val="00191594"/>
    <w:rsid w:val="001A1F5A"/>
    <w:rsid w:val="001A4EC1"/>
    <w:rsid w:val="001A5898"/>
    <w:rsid w:val="001A72CA"/>
    <w:rsid w:val="001A7D0A"/>
    <w:rsid w:val="001B0837"/>
    <w:rsid w:val="001B233E"/>
    <w:rsid w:val="001B4D45"/>
    <w:rsid w:val="001B4D8E"/>
    <w:rsid w:val="001B5E3B"/>
    <w:rsid w:val="001B65C3"/>
    <w:rsid w:val="001B66D4"/>
    <w:rsid w:val="001C6A07"/>
    <w:rsid w:val="001D41C1"/>
    <w:rsid w:val="001D74C5"/>
    <w:rsid w:val="001E2C4F"/>
    <w:rsid w:val="001E4C3B"/>
    <w:rsid w:val="001E5DD0"/>
    <w:rsid w:val="001E7A80"/>
    <w:rsid w:val="001F03AC"/>
    <w:rsid w:val="001F065B"/>
    <w:rsid w:val="001F0C77"/>
    <w:rsid w:val="001F2515"/>
    <w:rsid w:val="00205B34"/>
    <w:rsid w:val="00206161"/>
    <w:rsid w:val="00213992"/>
    <w:rsid w:val="00214E88"/>
    <w:rsid w:val="00217373"/>
    <w:rsid w:val="002245A9"/>
    <w:rsid w:val="00227625"/>
    <w:rsid w:val="0023353F"/>
    <w:rsid w:val="00237015"/>
    <w:rsid w:val="00241286"/>
    <w:rsid w:val="002414BE"/>
    <w:rsid w:val="002425AE"/>
    <w:rsid w:val="002437B9"/>
    <w:rsid w:val="00244AE0"/>
    <w:rsid w:val="00246BCD"/>
    <w:rsid w:val="00246CC2"/>
    <w:rsid w:val="00252B7D"/>
    <w:rsid w:val="002544B5"/>
    <w:rsid w:val="002572DB"/>
    <w:rsid w:val="002606C6"/>
    <w:rsid w:val="002606F4"/>
    <w:rsid w:val="00264088"/>
    <w:rsid w:val="00265484"/>
    <w:rsid w:val="00267E72"/>
    <w:rsid w:val="002737BA"/>
    <w:rsid w:val="002747E2"/>
    <w:rsid w:val="00276902"/>
    <w:rsid w:val="00277023"/>
    <w:rsid w:val="00277C33"/>
    <w:rsid w:val="00280A46"/>
    <w:rsid w:val="002839E0"/>
    <w:rsid w:val="00291F93"/>
    <w:rsid w:val="00294EA7"/>
    <w:rsid w:val="002A23F8"/>
    <w:rsid w:val="002A3FE2"/>
    <w:rsid w:val="002A5770"/>
    <w:rsid w:val="002B0595"/>
    <w:rsid w:val="002B5BFC"/>
    <w:rsid w:val="002C1AE9"/>
    <w:rsid w:val="002D4C4E"/>
    <w:rsid w:val="002D7AB2"/>
    <w:rsid w:val="002E4112"/>
    <w:rsid w:val="002E4699"/>
    <w:rsid w:val="002E6C3D"/>
    <w:rsid w:val="002F15CD"/>
    <w:rsid w:val="002F3C37"/>
    <w:rsid w:val="002F6061"/>
    <w:rsid w:val="003000F0"/>
    <w:rsid w:val="00300C5B"/>
    <w:rsid w:val="003055D5"/>
    <w:rsid w:val="0030560D"/>
    <w:rsid w:val="00306577"/>
    <w:rsid w:val="00314E7E"/>
    <w:rsid w:val="0031691F"/>
    <w:rsid w:val="00322AEB"/>
    <w:rsid w:val="00322ED2"/>
    <w:rsid w:val="00324149"/>
    <w:rsid w:val="0032547F"/>
    <w:rsid w:val="003258C8"/>
    <w:rsid w:val="00332DE7"/>
    <w:rsid w:val="003354A3"/>
    <w:rsid w:val="0034092C"/>
    <w:rsid w:val="00340AA0"/>
    <w:rsid w:val="0034100F"/>
    <w:rsid w:val="003427B8"/>
    <w:rsid w:val="003433F5"/>
    <w:rsid w:val="00344649"/>
    <w:rsid w:val="00346550"/>
    <w:rsid w:val="00347FDC"/>
    <w:rsid w:val="003578D1"/>
    <w:rsid w:val="00362803"/>
    <w:rsid w:val="0037482B"/>
    <w:rsid w:val="00381BDB"/>
    <w:rsid w:val="00386EA7"/>
    <w:rsid w:val="0038708D"/>
    <w:rsid w:val="00390AFA"/>
    <w:rsid w:val="00397AD9"/>
    <w:rsid w:val="003A0E12"/>
    <w:rsid w:val="003A1625"/>
    <w:rsid w:val="003A1EAE"/>
    <w:rsid w:val="003A45C9"/>
    <w:rsid w:val="003A6C73"/>
    <w:rsid w:val="003A7753"/>
    <w:rsid w:val="003B079F"/>
    <w:rsid w:val="003B11AE"/>
    <w:rsid w:val="003B2E62"/>
    <w:rsid w:val="003C071F"/>
    <w:rsid w:val="003C0B8A"/>
    <w:rsid w:val="003D0913"/>
    <w:rsid w:val="003E03F5"/>
    <w:rsid w:val="003E1AEE"/>
    <w:rsid w:val="003E4DF0"/>
    <w:rsid w:val="003E6B58"/>
    <w:rsid w:val="003F38A1"/>
    <w:rsid w:val="003F77DF"/>
    <w:rsid w:val="004025A6"/>
    <w:rsid w:val="004027F5"/>
    <w:rsid w:val="00402B50"/>
    <w:rsid w:val="00405E2A"/>
    <w:rsid w:val="004076EA"/>
    <w:rsid w:val="00430309"/>
    <w:rsid w:val="004367F5"/>
    <w:rsid w:val="00442107"/>
    <w:rsid w:val="004539EA"/>
    <w:rsid w:val="004651BE"/>
    <w:rsid w:val="004671E3"/>
    <w:rsid w:val="004718BA"/>
    <w:rsid w:val="004742A3"/>
    <w:rsid w:val="00476B18"/>
    <w:rsid w:val="004774BD"/>
    <w:rsid w:val="004860FA"/>
    <w:rsid w:val="00486586"/>
    <w:rsid w:val="00487A6A"/>
    <w:rsid w:val="00496CF9"/>
    <w:rsid w:val="004A148A"/>
    <w:rsid w:val="004A4899"/>
    <w:rsid w:val="004B5A1A"/>
    <w:rsid w:val="004B6359"/>
    <w:rsid w:val="004B7F80"/>
    <w:rsid w:val="004C1D9B"/>
    <w:rsid w:val="004C2693"/>
    <w:rsid w:val="004C357D"/>
    <w:rsid w:val="004D16A1"/>
    <w:rsid w:val="004D621A"/>
    <w:rsid w:val="004D68D3"/>
    <w:rsid w:val="004D758F"/>
    <w:rsid w:val="004E5568"/>
    <w:rsid w:val="004E7F68"/>
    <w:rsid w:val="004F1A0E"/>
    <w:rsid w:val="004F306D"/>
    <w:rsid w:val="004F40E1"/>
    <w:rsid w:val="004F4F5E"/>
    <w:rsid w:val="004F5468"/>
    <w:rsid w:val="004F5B23"/>
    <w:rsid w:val="004F6C8A"/>
    <w:rsid w:val="004F739C"/>
    <w:rsid w:val="00500087"/>
    <w:rsid w:val="005005DD"/>
    <w:rsid w:val="00510A98"/>
    <w:rsid w:val="00516257"/>
    <w:rsid w:val="0051710A"/>
    <w:rsid w:val="0052547A"/>
    <w:rsid w:val="00533A2F"/>
    <w:rsid w:val="00534249"/>
    <w:rsid w:val="00540365"/>
    <w:rsid w:val="00542E3D"/>
    <w:rsid w:val="00550400"/>
    <w:rsid w:val="00550BD2"/>
    <w:rsid w:val="00552FE7"/>
    <w:rsid w:val="005540EE"/>
    <w:rsid w:val="005573B5"/>
    <w:rsid w:val="00557C0F"/>
    <w:rsid w:val="005603D0"/>
    <w:rsid w:val="00565150"/>
    <w:rsid w:val="00565C4C"/>
    <w:rsid w:val="00566AF7"/>
    <w:rsid w:val="00566D00"/>
    <w:rsid w:val="00567B25"/>
    <w:rsid w:val="00572598"/>
    <w:rsid w:val="0057474A"/>
    <w:rsid w:val="00581AAB"/>
    <w:rsid w:val="00583D18"/>
    <w:rsid w:val="00584EA9"/>
    <w:rsid w:val="00586BBA"/>
    <w:rsid w:val="00594CA8"/>
    <w:rsid w:val="00596A7D"/>
    <w:rsid w:val="00597835"/>
    <w:rsid w:val="005A0A05"/>
    <w:rsid w:val="005A1433"/>
    <w:rsid w:val="005A35A2"/>
    <w:rsid w:val="005A4FF9"/>
    <w:rsid w:val="005B29DE"/>
    <w:rsid w:val="005C76AA"/>
    <w:rsid w:val="005C7EED"/>
    <w:rsid w:val="005D5520"/>
    <w:rsid w:val="005F19FB"/>
    <w:rsid w:val="005F4208"/>
    <w:rsid w:val="005F4E59"/>
    <w:rsid w:val="005F5465"/>
    <w:rsid w:val="005F57F1"/>
    <w:rsid w:val="006025DB"/>
    <w:rsid w:val="0060373D"/>
    <w:rsid w:val="0060751C"/>
    <w:rsid w:val="006112C4"/>
    <w:rsid w:val="006236E0"/>
    <w:rsid w:val="006302AF"/>
    <w:rsid w:val="0063516A"/>
    <w:rsid w:val="00637DA0"/>
    <w:rsid w:val="0064056C"/>
    <w:rsid w:val="00642B7C"/>
    <w:rsid w:val="006456E8"/>
    <w:rsid w:val="006508D3"/>
    <w:rsid w:val="00650D67"/>
    <w:rsid w:val="00662DE3"/>
    <w:rsid w:val="00667621"/>
    <w:rsid w:val="006718A7"/>
    <w:rsid w:val="00675275"/>
    <w:rsid w:val="00675564"/>
    <w:rsid w:val="006774B8"/>
    <w:rsid w:val="00684439"/>
    <w:rsid w:val="00695E83"/>
    <w:rsid w:val="006A26C1"/>
    <w:rsid w:val="006A39AD"/>
    <w:rsid w:val="006A3CA2"/>
    <w:rsid w:val="006A7045"/>
    <w:rsid w:val="006A77AB"/>
    <w:rsid w:val="006B0CD4"/>
    <w:rsid w:val="006B5313"/>
    <w:rsid w:val="006C28A5"/>
    <w:rsid w:val="006C7096"/>
    <w:rsid w:val="006D2186"/>
    <w:rsid w:val="006E0063"/>
    <w:rsid w:val="006E1C0A"/>
    <w:rsid w:val="006E2997"/>
    <w:rsid w:val="006E2F54"/>
    <w:rsid w:val="006E6C71"/>
    <w:rsid w:val="006E77E9"/>
    <w:rsid w:val="006E7D38"/>
    <w:rsid w:val="006F1EBA"/>
    <w:rsid w:val="006F2391"/>
    <w:rsid w:val="006F26E0"/>
    <w:rsid w:val="007030B8"/>
    <w:rsid w:val="00705427"/>
    <w:rsid w:val="00711E4F"/>
    <w:rsid w:val="00712BFB"/>
    <w:rsid w:val="00716A06"/>
    <w:rsid w:val="00716D7D"/>
    <w:rsid w:val="0072039E"/>
    <w:rsid w:val="00722EB2"/>
    <w:rsid w:val="00725AE2"/>
    <w:rsid w:val="00726658"/>
    <w:rsid w:val="00733A92"/>
    <w:rsid w:val="007401E7"/>
    <w:rsid w:val="00741036"/>
    <w:rsid w:val="00763038"/>
    <w:rsid w:val="00766467"/>
    <w:rsid w:val="0077128E"/>
    <w:rsid w:val="00771B09"/>
    <w:rsid w:val="007723EC"/>
    <w:rsid w:val="00773D0B"/>
    <w:rsid w:val="0077603A"/>
    <w:rsid w:val="00777748"/>
    <w:rsid w:val="00781425"/>
    <w:rsid w:val="00782047"/>
    <w:rsid w:val="007851BC"/>
    <w:rsid w:val="00795D45"/>
    <w:rsid w:val="007A087E"/>
    <w:rsid w:val="007A2D26"/>
    <w:rsid w:val="007A3AF0"/>
    <w:rsid w:val="007A5B09"/>
    <w:rsid w:val="007A6F72"/>
    <w:rsid w:val="007B126F"/>
    <w:rsid w:val="007B3933"/>
    <w:rsid w:val="007B5053"/>
    <w:rsid w:val="007B6DD4"/>
    <w:rsid w:val="007C0B93"/>
    <w:rsid w:val="007C4F48"/>
    <w:rsid w:val="007C6F86"/>
    <w:rsid w:val="007D13DE"/>
    <w:rsid w:val="007D6C4B"/>
    <w:rsid w:val="007D70A9"/>
    <w:rsid w:val="007E2D2C"/>
    <w:rsid w:val="007E48CA"/>
    <w:rsid w:val="007F5980"/>
    <w:rsid w:val="007F5C63"/>
    <w:rsid w:val="00805F9D"/>
    <w:rsid w:val="00811399"/>
    <w:rsid w:val="008162B2"/>
    <w:rsid w:val="00817402"/>
    <w:rsid w:val="00817679"/>
    <w:rsid w:val="008208C2"/>
    <w:rsid w:val="00820DFC"/>
    <w:rsid w:val="00821588"/>
    <w:rsid w:val="00826894"/>
    <w:rsid w:val="00830D6A"/>
    <w:rsid w:val="0083253F"/>
    <w:rsid w:val="00835DE0"/>
    <w:rsid w:val="00836222"/>
    <w:rsid w:val="00856EFE"/>
    <w:rsid w:val="008618A6"/>
    <w:rsid w:val="00863BA2"/>
    <w:rsid w:val="008649A9"/>
    <w:rsid w:val="008668CE"/>
    <w:rsid w:val="00875317"/>
    <w:rsid w:val="008760A8"/>
    <w:rsid w:val="00885DC1"/>
    <w:rsid w:val="008877DC"/>
    <w:rsid w:val="00887D58"/>
    <w:rsid w:val="008A1E1F"/>
    <w:rsid w:val="008A35E8"/>
    <w:rsid w:val="008A5C6B"/>
    <w:rsid w:val="008A71AE"/>
    <w:rsid w:val="008A727D"/>
    <w:rsid w:val="008B3B0A"/>
    <w:rsid w:val="008B6045"/>
    <w:rsid w:val="008B6472"/>
    <w:rsid w:val="008B7C1E"/>
    <w:rsid w:val="008C0C1D"/>
    <w:rsid w:val="008C7B21"/>
    <w:rsid w:val="008D43C8"/>
    <w:rsid w:val="008D549F"/>
    <w:rsid w:val="008D54EC"/>
    <w:rsid w:val="008D5F6E"/>
    <w:rsid w:val="008E02C3"/>
    <w:rsid w:val="008E0316"/>
    <w:rsid w:val="008E528D"/>
    <w:rsid w:val="008E59B7"/>
    <w:rsid w:val="008F1EAA"/>
    <w:rsid w:val="008F48DB"/>
    <w:rsid w:val="008F5EAA"/>
    <w:rsid w:val="009011A8"/>
    <w:rsid w:val="0090120B"/>
    <w:rsid w:val="00904A78"/>
    <w:rsid w:val="0090583B"/>
    <w:rsid w:val="00906AC5"/>
    <w:rsid w:val="00912A47"/>
    <w:rsid w:val="009131A1"/>
    <w:rsid w:val="00916044"/>
    <w:rsid w:val="009168F3"/>
    <w:rsid w:val="00916EBB"/>
    <w:rsid w:val="009215AD"/>
    <w:rsid w:val="0092204D"/>
    <w:rsid w:val="00925CD0"/>
    <w:rsid w:val="00932EB2"/>
    <w:rsid w:val="009333FD"/>
    <w:rsid w:val="00940360"/>
    <w:rsid w:val="00940C83"/>
    <w:rsid w:val="00943690"/>
    <w:rsid w:val="00965FE7"/>
    <w:rsid w:val="009712B3"/>
    <w:rsid w:val="0097190B"/>
    <w:rsid w:val="00972A5B"/>
    <w:rsid w:val="00976B21"/>
    <w:rsid w:val="00981EF7"/>
    <w:rsid w:val="00986812"/>
    <w:rsid w:val="00987126"/>
    <w:rsid w:val="00990701"/>
    <w:rsid w:val="00992FD3"/>
    <w:rsid w:val="009933C9"/>
    <w:rsid w:val="00993D6B"/>
    <w:rsid w:val="009945EC"/>
    <w:rsid w:val="009A4556"/>
    <w:rsid w:val="009A4E52"/>
    <w:rsid w:val="009A7F75"/>
    <w:rsid w:val="009B33FA"/>
    <w:rsid w:val="009B79FA"/>
    <w:rsid w:val="009D5064"/>
    <w:rsid w:val="009D6961"/>
    <w:rsid w:val="009E0B79"/>
    <w:rsid w:val="009E1980"/>
    <w:rsid w:val="009E3BF5"/>
    <w:rsid w:val="009F1453"/>
    <w:rsid w:val="009F3476"/>
    <w:rsid w:val="009F4777"/>
    <w:rsid w:val="00A02272"/>
    <w:rsid w:val="00A11FF7"/>
    <w:rsid w:val="00A20B77"/>
    <w:rsid w:val="00A23DC0"/>
    <w:rsid w:val="00A26A2D"/>
    <w:rsid w:val="00A27592"/>
    <w:rsid w:val="00A3203C"/>
    <w:rsid w:val="00A32854"/>
    <w:rsid w:val="00A35BE7"/>
    <w:rsid w:val="00A37CDD"/>
    <w:rsid w:val="00A4007F"/>
    <w:rsid w:val="00A519C8"/>
    <w:rsid w:val="00A52F7B"/>
    <w:rsid w:val="00A54FB5"/>
    <w:rsid w:val="00A607B1"/>
    <w:rsid w:val="00A61BE2"/>
    <w:rsid w:val="00A678AB"/>
    <w:rsid w:val="00A7168A"/>
    <w:rsid w:val="00A734CC"/>
    <w:rsid w:val="00A769DC"/>
    <w:rsid w:val="00A8102F"/>
    <w:rsid w:val="00A830B1"/>
    <w:rsid w:val="00A8775B"/>
    <w:rsid w:val="00A96074"/>
    <w:rsid w:val="00A96D71"/>
    <w:rsid w:val="00A977FE"/>
    <w:rsid w:val="00AA4307"/>
    <w:rsid w:val="00AA43A7"/>
    <w:rsid w:val="00AB07E2"/>
    <w:rsid w:val="00AB0DC3"/>
    <w:rsid w:val="00AB3845"/>
    <w:rsid w:val="00AB4F3D"/>
    <w:rsid w:val="00AB6F56"/>
    <w:rsid w:val="00AC1C58"/>
    <w:rsid w:val="00AC2257"/>
    <w:rsid w:val="00AC44F9"/>
    <w:rsid w:val="00AC451D"/>
    <w:rsid w:val="00AC47A0"/>
    <w:rsid w:val="00AC65D6"/>
    <w:rsid w:val="00AD3216"/>
    <w:rsid w:val="00AD74B9"/>
    <w:rsid w:val="00AE1150"/>
    <w:rsid w:val="00AE3611"/>
    <w:rsid w:val="00AE3F08"/>
    <w:rsid w:val="00AF34C3"/>
    <w:rsid w:val="00AF6044"/>
    <w:rsid w:val="00B041EB"/>
    <w:rsid w:val="00B077EE"/>
    <w:rsid w:val="00B12BC3"/>
    <w:rsid w:val="00B14BC0"/>
    <w:rsid w:val="00B1568A"/>
    <w:rsid w:val="00B15B99"/>
    <w:rsid w:val="00B1799D"/>
    <w:rsid w:val="00B2017E"/>
    <w:rsid w:val="00B214F5"/>
    <w:rsid w:val="00B24E4B"/>
    <w:rsid w:val="00B3022C"/>
    <w:rsid w:val="00B36761"/>
    <w:rsid w:val="00B36992"/>
    <w:rsid w:val="00B36C42"/>
    <w:rsid w:val="00B40838"/>
    <w:rsid w:val="00B412E4"/>
    <w:rsid w:val="00B41633"/>
    <w:rsid w:val="00B43B84"/>
    <w:rsid w:val="00B45237"/>
    <w:rsid w:val="00B45805"/>
    <w:rsid w:val="00B67A21"/>
    <w:rsid w:val="00B70714"/>
    <w:rsid w:val="00B73E4E"/>
    <w:rsid w:val="00B7493E"/>
    <w:rsid w:val="00B759A0"/>
    <w:rsid w:val="00B77F05"/>
    <w:rsid w:val="00B810EC"/>
    <w:rsid w:val="00B90B85"/>
    <w:rsid w:val="00BA1C2B"/>
    <w:rsid w:val="00BA3901"/>
    <w:rsid w:val="00BB15C2"/>
    <w:rsid w:val="00BB7813"/>
    <w:rsid w:val="00BB7E7D"/>
    <w:rsid w:val="00BC3AA1"/>
    <w:rsid w:val="00BC4931"/>
    <w:rsid w:val="00BC51D1"/>
    <w:rsid w:val="00BD0CF3"/>
    <w:rsid w:val="00BE072C"/>
    <w:rsid w:val="00BE6729"/>
    <w:rsid w:val="00BE6A2B"/>
    <w:rsid w:val="00BE6F07"/>
    <w:rsid w:val="00BF55C6"/>
    <w:rsid w:val="00C005A2"/>
    <w:rsid w:val="00C01959"/>
    <w:rsid w:val="00C03D31"/>
    <w:rsid w:val="00C040DC"/>
    <w:rsid w:val="00C05545"/>
    <w:rsid w:val="00C10E8E"/>
    <w:rsid w:val="00C11DBC"/>
    <w:rsid w:val="00C126FB"/>
    <w:rsid w:val="00C12F16"/>
    <w:rsid w:val="00C17CC6"/>
    <w:rsid w:val="00C2396B"/>
    <w:rsid w:val="00C2425C"/>
    <w:rsid w:val="00C25676"/>
    <w:rsid w:val="00C26F4C"/>
    <w:rsid w:val="00C27D40"/>
    <w:rsid w:val="00C3303D"/>
    <w:rsid w:val="00C3574C"/>
    <w:rsid w:val="00C40748"/>
    <w:rsid w:val="00C444D5"/>
    <w:rsid w:val="00C558BA"/>
    <w:rsid w:val="00C61EE6"/>
    <w:rsid w:val="00C6531E"/>
    <w:rsid w:val="00C67807"/>
    <w:rsid w:val="00C81063"/>
    <w:rsid w:val="00C81A08"/>
    <w:rsid w:val="00C8526A"/>
    <w:rsid w:val="00C872E0"/>
    <w:rsid w:val="00C87425"/>
    <w:rsid w:val="00C87660"/>
    <w:rsid w:val="00C9290B"/>
    <w:rsid w:val="00CA0046"/>
    <w:rsid w:val="00CA3DF3"/>
    <w:rsid w:val="00CA7E46"/>
    <w:rsid w:val="00CB1776"/>
    <w:rsid w:val="00CB24A6"/>
    <w:rsid w:val="00CB2D73"/>
    <w:rsid w:val="00CB487A"/>
    <w:rsid w:val="00CC3BC7"/>
    <w:rsid w:val="00CC48EE"/>
    <w:rsid w:val="00CC52AA"/>
    <w:rsid w:val="00CC5999"/>
    <w:rsid w:val="00CC7398"/>
    <w:rsid w:val="00CD6A7C"/>
    <w:rsid w:val="00CE09CF"/>
    <w:rsid w:val="00CE33EB"/>
    <w:rsid w:val="00CE4F74"/>
    <w:rsid w:val="00CE7E8F"/>
    <w:rsid w:val="00CF0B69"/>
    <w:rsid w:val="00CF1575"/>
    <w:rsid w:val="00CF3EA9"/>
    <w:rsid w:val="00CF51DA"/>
    <w:rsid w:val="00D004B7"/>
    <w:rsid w:val="00D0432F"/>
    <w:rsid w:val="00D057D1"/>
    <w:rsid w:val="00D06912"/>
    <w:rsid w:val="00D1211C"/>
    <w:rsid w:val="00D140E6"/>
    <w:rsid w:val="00D24870"/>
    <w:rsid w:val="00D24FCF"/>
    <w:rsid w:val="00D32208"/>
    <w:rsid w:val="00D328F2"/>
    <w:rsid w:val="00D42C82"/>
    <w:rsid w:val="00D446FF"/>
    <w:rsid w:val="00D4496D"/>
    <w:rsid w:val="00D470A9"/>
    <w:rsid w:val="00D472A2"/>
    <w:rsid w:val="00D536F6"/>
    <w:rsid w:val="00D54C66"/>
    <w:rsid w:val="00D57811"/>
    <w:rsid w:val="00D60CEA"/>
    <w:rsid w:val="00D61A98"/>
    <w:rsid w:val="00D67C48"/>
    <w:rsid w:val="00D734BA"/>
    <w:rsid w:val="00D7391B"/>
    <w:rsid w:val="00D75D63"/>
    <w:rsid w:val="00D760BF"/>
    <w:rsid w:val="00D85349"/>
    <w:rsid w:val="00D91871"/>
    <w:rsid w:val="00DA0455"/>
    <w:rsid w:val="00DA7402"/>
    <w:rsid w:val="00DB11BA"/>
    <w:rsid w:val="00DB11F4"/>
    <w:rsid w:val="00DB2261"/>
    <w:rsid w:val="00DB70D3"/>
    <w:rsid w:val="00DB74F1"/>
    <w:rsid w:val="00DC2EEA"/>
    <w:rsid w:val="00DC6CD1"/>
    <w:rsid w:val="00DD0261"/>
    <w:rsid w:val="00DD0485"/>
    <w:rsid w:val="00DD0865"/>
    <w:rsid w:val="00DD1153"/>
    <w:rsid w:val="00DD4649"/>
    <w:rsid w:val="00DE049C"/>
    <w:rsid w:val="00DE2EC9"/>
    <w:rsid w:val="00DE7ABB"/>
    <w:rsid w:val="00DE7E8B"/>
    <w:rsid w:val="00DF39B4"/>
    <w:rsid w:val="00DF4468"/>
    <w:rsid w:val="00DF4B53"/>
    <w:rsid w:val="00E013F7"/>
    <w:rsid w:val="00E12598"/>
    <w:rsid w:val="00E14ADB"/>
    <w:rsid w:val="00E2322A"/>
    <w:rsid w:val="00E23899"/>
    <w:rsid w:val="00E26592"/>
    <w:rsid w:val="00E31835"/>
    <w:rsid w:val="00E35451"/>
    <w:rsid w:val="00E36F77"/>
    <w:rsid w:val="00E4026F"/>
    <w:rsid w:val="00E4305F"/>
    <w:rsid w:val="00E458A3"/>
    <w:rsid w:val="00E51495"/>
    <w:rsid w:val="00E55ABE"/>
    <w:rsid w:val="00E569A5"/>
    <w:rsid w:val="00E62559"/>
    <w:rsid w:val="00E7166E"/>
    <w:rsid w:val="00E72C76"/>
    <w:rsid w:val="00E73367"/>
    <w:rsid w:val="00E7435A"/>
    <w:rsid w:val="00E75728"/>
    <w:rsid w:val="00E81922"/>
    <w:rsid w:val="00E81EC0"/>
    <w:rsid w:val="00E82B89"/>
    <w:rsid w:val="00E84637"/>
    <w:rsid w:val="00E91F85"/>
    <w:rsid w:val="00E93D84"/>
    <w:rsid w:val="00E94508"/>
    <w:rsid w:val="00EA0D5B"/>
    <w:rsid w:val="00EA420A"/>
    <w:rsid w:val="00EB1AB3"/>
    <w:rsid w:val="00EB3DE5"/>
    <w:rsid w:val="00EB6383"/>
    <w:rsid w:val="00EC2AB0"/>
    <w:rsid w:val="00EC3802"/>
    <w:rsid w:val="00EC3E95"/>
    <w:rsid w:val="00ED245A"/>
    <w:rsid w:val="00ED2C69"/>
    <w:rsid w:val="00ED3B60"/>
    <w:rsid w:val="00ED73ED"/>
    <w:rsid w:val="00EE26B7"/>
    <w:rsid w:val="00EE555F"/>
    <w:rsid w:val="00EE7ACC"/>
    <w:rsid w:val="00EF3315"/>
    <w:rsid w:val="00EF3390"/>
    <w:rsid w:val="00EF42A4"/>
    <w:rsid w:val="00EF4C40"/>
    <w:rsid w:val="00F06DCF"/>
    <w:rsid w:val="00F077BA"/>
    <w:rsid w:val="00F12B4C"/>
    <w:rsid w:val="00F257C1"/>
    <w:rsid w:val="00F272FE"/>
    <w:rsid w:val="00F32A0B"/>
    <w:rsid w:val="00F45A5B"/>
    <w:rsid w:val="00F50485"/>
    <w:rsid w:val="00F53A53"/>
    <w:rsid w:val="00F54BFE"/>
    <w:rsid w:val="00F565AB"/>
    <w:rsid w:val="00F60214"/>
    <w:rsid w:val="00F60F54"/>
    <w:rsid w:val="00F656B1"/>
    <w:rsid w:val="00F67A5B"/>
    <w:rsid w:val="00F74A01"/>
    <w:rsid w:val="00F77413"/>
    <w:rsid w:val="00F77E05"/>
    <w:rsid w:val="00F80974"/>
    <w:rsid w:val="00F82BD1"/>
    <w:rsid w:val="00FB2532"/>
    <w:rsid w:val="00FB4791"/>
    <w:rsid w:val="00FB6519"/>
    <w:rsid w:val="00FC0562"/>
    <w:rsid w:val="00FC1E19"/>
    <w:rsid w:val="00FD19E1"/>
    <w:rsid w:val="00FD54C9"/>
    <w:rsid w:val="00FE1C87"/>
    <w:rsid w:val="00FE1FE2"/>
    <w:rsid w:val="00FE3967"/>
    <w:rsid w:val="00FE58AE"/>
    <w:rsid w:val="00FE793C"/>
    <w:rsid w:val="00FF0177"/>
    <w:rsid w:val="00FF3485"/>
    <w:rsid w:val="00FF3635"/>
    <w:rsid w:val="00FF6D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1"/>
    <o:shapelayout v:ext="edit">
      <o:idmap v:ext="edit" data="1"/>
    </o:shapelayout>
  </w:shapeDefaults>
  <w:decimalSymbol w:val="."/>
  <w:listSeparator w:val=","/>
  <w14:docId w14:val="53301C5C"/>
  <w15:docId w15:val="{1F13E853-52E6-4508-B0E0-E37FE4975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20B77"/>
    <w:rPr>
      <w:rFonts w:ascii="Arial" w:hAnsi="Arial"/>
      <w:sz w:val="24"/>
      <w:szCs w:val="24"/>
      <w:lang w:eastAsia="en-US"/>
    </w:rPr>
  </w:style>
  <w:style w:type="paragraph" w:styleId="Heading1">
    <w:name w:val="heading 1"/>
    <w:basedOn w:val="Normal"/>
    <w:next w:val="Normal"/>
    <w:qFormat/>
    <w:rsid w:val="00A20B77"/>
    <w:pPr>
      <w:keepNext/>
      <w:outlineLvl w:val="0"/>
    </w:pPr>
    <w:rPr>
      <w:b/>
      <w:bCs/>
      <w:u w:val="single"/>
    </w:rPr>
  </w:style>
  <w:style w:type="paragraph" w:styleId="Heading2">
    <w:name w:val="heading 2"/>
    <w:basedOn w:val="Normal"/>
    <w:next w:val="Normal"/>
    <w:qFormat/>
    <w:rsid w:val="00A20B77"/>
    <w:pPr>
      <w:keepNext/>
      <w:jc w:val="center"/>
      <w:outlineLvl w:val="1"/>
    </w:pPr>
    <w:rPr>
      <w:rFonts w:ascii="Times New Roman" w:hAnsi="Times New Roman"/>
      <w:u w:val="single"/>
    </w:rPr>
  </w:style>
  <w:style w:type="paragraph" w:styleId="Heading3">
    <w:name w:val="heading 3"/>
    <w:basedOn w:val="Normal"/>
    <w:next w:val="Normal"/>
    <w:qFormat/>
    <w:rsid w:val="00A20B77"/>
    <w:pPr>
      <w:keepNext/>
      <w:jc w:val="center"/>
      <w:outlineLvl w:val="2"/>
    </w:pPr>
    <w:rPr>
      <w:rFonts w:ascii="Times New Roman" w:hAnsi="Times New Roman"/>
      <w:b/>
      <w:bCs/>
    </w:rPr>
  </w:style>
  <w:style w:type="paragraph" w:styleId="Heading4">
    <w:name w:val="heading 4"/>
    <w:basedOn w:val="Normal"/>
    <w:next w:val="Normal"/>
    <w:qFormat/>
    <w:rsid w:val="00A20B77"/>
    <w:pPr>
      <w:keepNext/>
      <w:jc w:val="center"/>
      <w:outlineLvl w:val="3"/>
    </w:pPr>
    <w:rPr>
      <w:rFonts w:ascii="Times New Roman" w:hAnsi="Times New Roman"/>
      <w:b/>
      <w:bCs/>
      <w:sz w:val="20"/>
    </w:rPr>
  </w:style>
  <w:style w:type="paragraph" w:styleId="Heading8">
    <w:name w:val="heading 8"/>
    <w:basedOn w:val="Normal"/>
    <w:next w:val="Normal"/>
    <w:qFormat/>
    <w:rsid w:val="00E23899"/>
    <w:pPr>
      <w:spacing w:before="240" w:after="60"/>
      <w:outlineLvl w:val="7"/>
    </w:pPr>
    <w:rPr>
      <w:rFonts w:ascii="Times New Roman" w:hAnsi="Times New Roman"/>
      <w:i/>
      <w:iCs/>
    </w:rPr>
  </w:style>
  <w:style w:type="paragraph" w:styleId="Heading9">
    <w:name w:val="heading 9"/>
    <w:basedOn w:val="Normal"/>
    <w:next w:val="Normal"/>
    <w:qFormat/>
    <w:rsid w:val="00E23899"/>
    <w:p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20B77"/>
    <w:pPr>
      <w:tabs>
        <w:tab w:val="center" w:pos="4153"/>
        <w:tab w:val="right" w:pos="8306"/>
      </w:tabs>
    </w:pPr>
  </w:style>
  <w:style w:type="paragraph" w:styleId="Footer">
    <w:name w:val="footer"/>
    <w:basedOn w:val="Normal"/>
    <w:link w:val="FooterChar"/>
    <w:uiPriority w:val="99"/>
    <w:rsid w:val="00A20B77"/>
    <w:pPr>
      <w:tabs>
        <w:tab w:val="center" w:pos="4153"/>
        <w:tab w:val="right" w:pos="8306"/>
      </w:tabs>
    </w:pPr>
  </w:style>
  <w:style w:type="character" w:styleId="PageNumber">
    <w:name w:val="page number"/>
    <w:basedOn w:val="DefaultParagraphFont"/>
    <w:rsid w:val="00A20B77"/>
  </w:style>
  <w:style w:type="paragraph" w:styleId="Title">
    <w:name w:val="Title"/>
    <w:basedOn w:val="Normal"/>
    <w:qFormat/>
    <w:rsid w:val="00A20B77"/>
    <w:pPr>
      <w:jc w:val="center"/>
    </w:pPr>
    <w:rPr>
      <w:b/>
      <w:bCs/>
      <w:sz w:val="40"/>
      <w:u w:val="single"/>
    </w:rPr>
  </w:style>
  <w:style w:type="paragraph" w:styleId="BodyTextIndent">
    <w:name w:val="Body Text Indent"/>
    <w:basedOn w:val="Normal"/>
    <w:rsid w:val="00A20B77"/>
    <w:pPr>
      <w:ind w:left="720"/>
    </w:pPr>
  </w:style>
  <w:style w:type="paragraph" w:styleId="ListBullet">
    <w:name w:val="List Bullet"/>
    <w:basedOn w:val="Normal"/>
    <w:autoRedefine/>
    <w:rsid w:val="00A20B77"/>
    <w:pPr>
      <w:numPr>
        <w:numId w:val="1"/>
      </w:numPr>
    </w:pPr>
    <w:rPr>
      <w:rFonts w:ascii="Times New Roman" w:hAnsi="Times New Roman"/>
      <w:lang w:val="en-US"/>
    </w:rPr>
  </w:style>
  <w:style w:type="paragraph" w:customStyle="1" w:styleId="TableText">
    <w:name w:val="Table Text"/>
    <w:basedOn w:val="BodyText"/>
    <w:rsid w:val="00A20B77"/>
    <w:pPr>
      <w:suppressAutoHyphens/>
      <w:overflowPunct w:val="0"/>
      <w:autoSpaceDE w:val="0"/>
      <w:autoSpaceDN w:val="0"/>
      <w:adjustRightInd w:val="0"/>
      <w:spacing w:before="60" w:after="60"/>
      <w:jc w:val="both"/>
      <w:textAlignment w:val="baseline"/>
    </w:pPr>
    <w:rPr>
      <w:rFonts w:ascii="Times New Roman" w:hAnsi="Times New Roman"/>
      <w:sz w:val="20"/>
      <w:szCs w:val="20"/>
    </w:rPr>
  </w:style>
  <w:style w:type="paragraph" w:customStyle="1" w:styleId="HOHEADR">
    <w:name w:val="HO_HEADR"/>
    <w:basedOn w:val="Heading1"/>
    <w:rsid w:val="00A20B77"/>
    <w:pPr>
      <w:keepNext w:val="0"/>
      <w:widowControl w:val="0"/>
      <w:overflowPunct w:val="0"/>
      <w:autoSpaceDE w:val="0"/>
      <w:autoSpaceDN w:val="0"/>
      <w:adjustRightInd w:val="0"/>
      <w:jc w:val="center"/>
      <w:textAlignment w:val="baseline"/>
      <w:outlineLvl w:val="9"/>
    </w:pPr>
    <w:rPr>
      <w:rFonts w:ascii="Times New Roman Bold" w:hAnsi="Times New Roman Bold"/>
      <w:bCs w:val="0"/>
      <w:caps/>
      <w:spacing w:val="30"/>
      <w:sz w:val="28"/>
      <w:szCs w:val="20"/>
      <w:u w:val="none"/>
    </w:rPr>
  </w:style>
  <w:style w:type="paragraph" w:styleId="BodyText">
    <w:name w:val="Body Text"/>
    <w:basedOn w:val="Normal"/>
    <w:rsid w:val="00A20B77"/>
    <w:pPr>
      <w:spacing w:after="120"/>
    </w:pPr>
  </w:style>
  <w:style w:type="paragraph" w:styleId="NoSpacing">
    <w:name w:val="No Spacing"/>
    <w:uiPriority w:val="1"/>
    <w:qFormat/>
    <w:rsid w:val="00217373"/>
    <w:rPr>
      <w:rFonts w:ascii="Calibri" w:eastAsia="Calibri" w:hAnsi="Calibri"/>
      <w:sz w:val="22"/>
      <w:szCs w:val="22"/>
      <w:lang w:eastAsia="en-US"/>
    </w:rPr>
  </w:style>
  <w:style w:type="character" w:customStyle="1" w:styleId="FooterChar">
    <w:name w:val="Footer Char"/>
    <w:basedOn w:val="DefaultParagraphFont"/>
    <w:link w:val="Footer"/>
    <w:uiPriority w:val="99"/>
    <w:rsid w:val="00722EB2"/>
    <w:rPr>
      <w:rFonts w:ascii="Arial" w:hAnsi="Arial"/>
      <w:sz w:val="24"/>
      <w:szCs w:val="24"/>
      <w:lang w:eastAsia="en-US"/>
    </w:rPr>
  </w:style>
  <w:style w:type="character" w:customStyle="1" w:styleId="HeaderChar">
    <w:name w:val="Header Char"/>
    <w:basedOn w:val="DefaultParagraphFont"/>
    <w:link w:val="Header"/>
    <w:rsid w:val="00722EB2"/>
    <w:rPr>
      <w:rFonts w:ascii="Arial" w:hAnsi="Arial"/>
      <w:sz w:val="24"/>
      <w:szCs w:val="24"/>
      <w:lang w:eastAsia="en-US"/>
    </w:rPr>
  </w:style>
  <w:style w:type="paragraph" w:customStyle="1" w:styleId="font8">
    <w:name w:val="font_8"/>
    <w:basedOn w:val="Normal"/>
    <w:rsid w:val="002E6C3D"/>
    <w:pPr>
      <w:spacing w:before="100" w:beforeAutospacing="1" w:after="100" w:afterAutospacing="1"/>
    </w:pPr>
    <w:rPr>
      <w:rFonts w:ascii="Times New Roman" w:hAnsi="Times New Roman"/>
      <w:lang w:eastAsia="en-GB"/>
    </w:rPr>
  </w:style>
  <w:style w:type="paragraph" w:styleId="BalloonText">
    <w:name w:val="Balloon Text"/>
    <w:basedOn w:val="Normal"/>
    <w:link w:val="BalloonTextChar"/>
    <w:semiHidden/>
    <w:unhideWhenUsed/>
    <w:rsid w:val="00D760BF"/>
    <w:rPr>
      <w:rFonts w:ascii="Segoe UI" w:hAnsi="Segoe UI" w:cs="Segoe UI"/>
      <w:sz w:val="18"/>
      <w:szCs w:val="18"/>
    </w:rPr>
  </w:style>
  <w:style w:type="character" w:customStyle="1" w:styleId="BalloonTextChar">
    <w:name w:val="Balloon Text Char"/>
    <w:basedOn w:val="DefaultParagraphFont"/>
    <w:link w:val="BalloonText"/>
    <w:semiHidden/>
    <w:rsid w:val="00D760BF"/>
    <w:rPr>
      <w:rFonts w:ascii="Segoe UI" w:hAnsi="Segoe UI" w:cs="Segoe UI"/>
      <w:sz w:val="18"/>
      <w:szCs w:val="18"/>
      <w:lang w:eastAsia="en-US"/>
    </w:rPr>
  </w:style>
  <w:style w:type="paragraph" w:styleId="ListParagraph">
    <w:name w:val="List Paragraph"/>
    <w:basedOn w:val="Normal"/>
    <w:uiPriority w:val="34"/>
    <w:qFormat/>
    <w:rsid w:val="00A23DC0"/>
    <w:pPr>
      <w:ind w:left="720"/>
      <w:contextualSpacing/>
    </w:pPr>
  </w:style>
  <w:style w:type="paragraph" w:customStyle="1" w:styleId="xxxxmsonormal">
    <w:name w:val="x_xxxmsonormal"/>
    <w:basedOn w:val="Normal"/>
    <w:rsid w:val="00DF39B4"/>
    <w:rPr>
      <w:rFonts w:ascii="Calibri" w:eastAsiaTheme="minorHAnsi" w:hAnsi="Calibri" w:cs="Calibri"/>
      <w:sz w:val="22"/>
      <w:szCs w:val="22"/>
      <w:lang w:eastAsia="en-GB"/>
    </w:rPr>
  </w:style>
  <w:style w:type="paragraph" w:styleId="NormalWeb">
    <w:name w:val="Normal (Web)"/>
    <w:basedOn w:val="Normal"/>
    <w:uiPriority w:val="99"/>
    <w:unhideWhenUsed/>
    <w:rsid w:val="00BB7813"/>
    <w:pPr>
      <w:spacing w:after="240" w:line="360" w:lineRule="atLeast"/>
    </w:pPr>
    <w:rPr>
      <w:rFonts w:ascii="Times New Roman" w:hAnsi="Times New Roman"/>
      <w:lang w:eastAsia="en-GB"/>
    </w:rPr>
  </w:style>
  <w:style w:type="character" w:styleId="Strong">
    <w:name w:val="Strong"/>
    <w:basedOn w:val="DefaultParagraphFont"/>
    <w:uiPriority w:val="22"/>
    <w:qFormat/>
    <w:rsid w:val="001A72CA"/>
    <w:rPr>
      <w:b/>
      <w:bCs/>
    </w:rPr>
  </w:style>
  <w:style w:type="character" w:styleId="Emphasis">
    <w:name w:val="Emphasis"/>
    <w:basedOn w:val="DefaultParagraphFont"/>
    <w:qFormat/>
    <w:rsid w:val="00AC1C58"/>
    <w:rPr>
      <w:i/>
      <w:iCs/>
    </w:rPr>
  </w:style>
  <w:style w:type="paragraph" w:styleId="FootnoteText">
    <w:name w:val="footnote text"/>
    <w:basedOn w:val="Normal"/>
    <w:link w:val="FootnoteTextChar"/>
    <w:semiHidden/>
    <w:unhideWhenUsed/>
    <w:rsid w:val="00FE58AE"/>
    <w:rPr>
      <w:sz w:val="20"/>
      <w:szCs w:val="20"/>
    </w:rPr>
  </w:style>
  <w:style w:type="character" w:customStyle="1" w:styleId="FootnoteTextChar">
    <w:name w:val="Footnote Text Char"/>
    <w:basedOn w:val="DefaultParagraphFont"/>
    <w:link w:val="FootnoteText"/>
    <w:semiHidden/>
    <w:rsid w:val="00FE58AE"/>
    <w:rPr>
      <w:rFonts w:ascii="Arial" w:hAnsi="Arial"/>
      <w:lang w:eastAsia="en-US"/>
    </w:rPr>
  </w:style>
  <w:style w:type="character" w:styleId="FootnoteReference">
    <w:name w:val="footnote reference"/>
    <w:basedOn w:val="DefaultParagraphFont"/>
    <w:semiHidden/>
    <w:unhideWhenUsed/>
    <w:rsid w:val="00FE58AE"/>
    <w:rPr>
      <w:vertAlign w:val="superscript"/>
    </w:rPr>
  </w:style>
  <w:style w:type="character" w:styleId="Hyperlink">
    <w:name w:val="Hyperlink"/>
    <w:basedOn w:val="DefaultParagraphFont"/>
    <w:uiPriority w:val="99"/>
    <w:unhideWhenUsed/>
    <w:rsid w:val="00CB487A"/>
    <w:rPr>
      <w:color w:val="0000FF"/>
      <w:u w:val="single"/>
    </w:rPr>
  </w:style>
  <w:style w:type="paragraph" w:styleId="Revision">
    <w:name w:val="Revision"/>
    <w:hidden/>
    <w:uiPriority w:val="99"/>
    <w:semiHidden/>
    <w:rsid w:val="00D75D63"/>
    <w:rPr>
      <w:rFonts w:ascii="Arial" w:hAnsi="Arial"/>
      <w:sz w:val="24"/>
      <w:szCs w:val="24"/>
      <w:lang w:eastAsia="en-US"/>
    </w:rPr>
  </w:style>
  <w:style w:type="character" w:styleId="CommentReference">
    <w:name w:val="annotation reference"/>
    <w:basedOn w:val="DefaultParagraphFont"/>
    <w:semiHidden/>
    <w:unhideWhenUsed/>
    <w:rsid w:val="00D328F2"/>
    <w:rPr>
      <w:sz w:val="16"/>
      <w:szCs w:val="16"/>
    </w:rPr>
  </w:style>
  <w:style w:type="paragraph" w:styleId="CommentText">
    <w:name w:val="annotation text"/>
    <w:basedOn w:val="Normal"/>
    <w:link w:val="CommentTextChar"/>
    <w:unhideWhenUsed/>
    <w:rsid w:val="00D328F2"/>
    <w:rPr>
      <w:sz w:val="20"/>
      <w:szCs w:val="20"/>
    </w:rPr>
  </w:style>
  <w:style w:type="character" w:customStyle="1" w:styleId="CommentTextChar">
    <w:name w:val="Comment Text Char"/>
    <w:basedOn w:val="DefaultParagraphFont"/>
    <w:link w:val="CommentText"/>
    <w:rsid w:val="00D328F2"/>
    <w:rPr>
      <w:rFonts w:ascii="Arial" w:hAnsi="Arial"/>
      <w:lang w:eastAsia="en-US"/>
    </w:rPr>
  </w:style>
  <w:style w:type="paragraph" w:styleId="CommentSubject">
    <w:name w:val="annotation subject"/>
    <w:basedOn w:val="CommentText"/>
    <w:next w:val="CommentText"/>
    <w:link w:val="CommentSubjectChar"/>
    <w:semiHidden/>
    <w:unhideWhenUsed/>
    <w:rsid w:val="00D328F2"/>
    <w:rPr>
      <w:b/>
      <w:bCs/>
    </w:rPr>
  </w:style>
  <w:style w:type="character" w:customStyle="1" w:styleId="CommentSubjectChar">
    <w:name w:val="Comment Subject Char"/>
    <w:basedOn w:val="CommentTextChar"/>
    <w:link w:val="CommentSubject"/>
    <w:semiHidden/>
    <w:rsid w:val="00D328F2"/>
    <w:rPr>
      <w:rFonts w:ascii="Arial" w:hAnsi="Arial"/>
      <w:b/>
      <w:bCs/>
      <w:lang w:eastAsia="en-US"/>
    </w:rPr>
  </w:style>
  <w:style w:type="character" w:styleId="FollowedHyperlink">
    <w:name w:val="FollowedHyperlink"/>
    <w:basedOn w:val="DefaultParagraphFont"/>
    <w:semiHidden/>
    <w:unhideWhenUsed/>
    <w:rsid w:val="00DE7ABB"/>
    <w:rPr>
      <w:color w:val="800080" w:themeColor="followedHyperlink"/>
      <w:u w:val="single"/>
    </w:rPr>
  </w:style>
  <w:style w:type="character" w:styleId="UnresolvedMention">
    <w:name w:val="Unresolved Mention"/>
    <w:basedOn w:val="DefaultParagraphFont"/>
    <w:uiPriority w:val="99"/>
    <w:semiHidden/>
    <w:unhideWhenUsed/>
    <w:rsid w:val="00D54C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057299">
      <w:bodyDiv w:val="1"/>
      <w:marLeft w:val="0"/>
      <w:marRight w:val="0"/>
      <w:marTop w:val="0"/>
      <w:marBottom w:val="0"/>
      <w:divBdr>
        <w:top w:val="none" w:sz="0" w:space="0" w:color="auto"/>
        <w:left w:val="none" w:sz="0" w:space="0" w:color="auto"/>
        <w:bottom w:val="none" w:sz="0" w:space="0" w:color="auto"/>
        <w:right w:val="none" w:sz="0" w:space="0" w:color="auto"/>
      </w:divBdr>
      <w:divsChild>
        <w:div w:id="53704092">
          <w:marLeft w:val="0"/>
          <w:marRight w:val="0"/>
          <w:marTop w:val="0"/>
          <w:marBottom w:val="0"/>
          <w:divBdr>
            <w:top w:val="none" w:sz="0" w:space="0" w:color="auto"/>
            <w:left w:val="none" w:sz="0" w:space="0" w:color="auto"/>
            <w:bottom w:val="none" w:sz="0" w:space="0" w:color="auto"/>
            <w:right w:val="none" w:sz="0" w:space="0" w:color="auto"/>
          </w:divBdr>
          <w:divsChild>
            <w:div w:id="1215190926">
              <w:marLeft w:val="0"/>
              <w:marRight w:val="0"/>
              <w:marTop w:val="0"/>
              <w:marBottom w:val="0"/>
              <w:divBdr>
                <w:top w:val="none" w:sz="0" w:space="0" w:color="auto"/>
                <w:left w:val="none" w:sz="0" w:space="0" w:color="auto"/>
                <w:bottom w:val="none" w:sz="0" w:space="0" w:color="auto"/>
                <w:right w:val="none" w:sz="0" w:space="0" w:color="auto"/>
              </w:divBdr>
              <w:divsChild>
                <w:div w:id="1330061836">
                  <w:marLeft w:val="0"/>
                  <w:marRight w:val="0"/>
                  <w:marTop w:val="0"/>
                  <w:marBottom w:val="0"/>
                  <w:divBdr>
                    <w:top w:val="none" w:sz="0" w:space="0" w:color="auto"/>
                    <w:left w:val="none" w:sz="0" w:space="0" w:color="auto"/>
                    <w:bottom w:val="none" w:sz="0" w:space="0" w:color="auto"/>
                    <w:right w:val="none" w:sz="0" w:space="0" w:color="auto"/>
                  </w:divBdr>
                  <w:divsChild>
                    <w:div w:id="1682705648">
                      <w:marLeft w:val="0"/>
                      <w:marRight w:val="0"/>
                      <w:marTop w:val="0"/>
                      <w:marBottom w:val="0"/>
                      <w:divBdr>
                        <w:top w:val="none" w:sz="0" w:space="0" w:color="auto"/>
                        <w:left w:val="none" w:sz="0" w:space="0" w:color="auto"/>
                        <w:bottom w:val="none" w:sz="0" w:space="0" w:color="auto"/>
                        <w:right w:val="none" w:sz="0" w:space="0" w:color="auto"/>
                      </w:divBdr>
                      <w:divsChild>
                        <w:div w:id="2001614901">
                          <w:marLeft w:val="0"/>
                          <w:marRight w:val="0"/>
                          <w:marTop w:val="0"/>
                          <w:marBottom w:val="0"/>
                          <w:divBdr>
                            <w:top w:val="none" w:sz="0" w:space="0" w:color="auto"/>
                            <w:left w:val="none" w:sz="0" w:space="0" w:color="auto"/>
                            <w:bottom w:val="none" w:sz="0" w:space="0" w:color="auto"/>
                            <w:right w:val="none" w:sz="0" w:space="0" w:color="auto"/>
                          </w:divBdr>
                          <w:divsChild>
                            <w:div w:id="137722548">
                              <w:marLeft w:val="0"/>
                              <w:marRight w:val="0"/>
                              <w:marTop w:val="0"/>
                              <w:marBottom w:val="0"/>
                              <w:divBdr>
                                <w:top w:val="none" w:sz="0" w:space="0" w:color="auto"/>
                                <w:left w:val="none" w:sz="0" w:space="0" w:color="auto"/>
                                <w:bottom w:val="none" w:sz="0" w:space="0" w:color="auto"/>
                                <w:right w:val="none" w:sz="0" w:space="0" w:color="auto"/>
                              </w:divBdr>
                              <w:divsChild>
                                <w:div w:id="201067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7296051">
      <w:bodyDiv w:val="1"/>
      <w:marLeft w:val="0"/>
      <w:marRight w:val="0"/>
      <w:marTop w:val="0"/>
      <w:marBottom w:val="0"/>
      <w:divBdr>
        <w:top w:val="none" w:sz="0" w:space="0" w:color="auto"/>
        <w:left w:val="none" w:sz="0" w:space="0" w:color="auto"/>
        <w:bottom w:val="none" w:sz="0" w:space="0" w:color="auto"/>
        <w:right w:val="none" w:sz="0" w:space="0" w:color="auto"/>
      </w:divBdr>
    </w:div>
    <w:div w:id="1106845635">
      <w:bodyDiv w:val="1"/>
      <w:marLeft w:val="0"/>
      <w:marRight w:val="0"/>
      <w:marTop w:val="0"/>
      <w:marBottom w:val="0"/>
      <w:divBdr>
        <w:top w:val="none" w:sz="0" w:space="0" w:color="auto"/>
        <w:left w:val="none" w:sz="0" w:space="0" w:color="auto"/>
        <w:bottom w:val="none" w:sz="0" w:space="0" w:color="auto"/>
        <w:right w:val="none" w:sz="0" w:space="0" w:color="auto"/>
      </w:divBdr>
    </w:div>
    <w:div w:id="1387682439">
      <w:bodyDiv w:val="1"/>
      <w:marLeft w:val="0"/>
      <w:marRight w:val="0"/>
      <w:marTop w:val="0"/>
      <w:marBottom w:val="0"/>
      <w:divBdr>
        <w:top w:val="none" w:sz="0" w:space="0" w:color="auto"/>
        <w:left w:val="none" w:sz="0" w:space="0" w:color="auto"/>
        <w:bottom w:val="none" w:sz="0" w:space="0" w:color="auto"/>
        <w:right w:val="none" w:sz="0" w:space="0" w:color="auto"/>
      </w:divBdr>
    </w:div>
    <w:div w:id="1636449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overnment/publications/offence-of-failure-to-prevent-fraud-introduced-by-eccta"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fa.nhs.uk/fraud-prevention/failure-to-preven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FD23B-0A51-4D94-A64A-A53359C4BDB6}"/>
</file>

<file path=customXml/itemProps2.xml><?xml version="1.0" encoding="utf-8"?>
<ds:datastoreItem xmlns:ds="http://schemas.openxmlformats.org/officeDocument/2006/customXml" ds:itemID="{8616AFF0-FEA0-440A-9F35-49AD8AC27E6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54ACB56-3621-40BA-845C-3275910B47B6}">
  <ds:schemaRefs>
    <ds:schemaRef ds:uri="http://schemas.microsoft.com/sharepoint/v3/contenttype/forms"/>
  </ds:schemaRefs>
</ds:datastoreItem>
</file>

<file path=customXml/itemProps4.xml><?xml version="1.0" encoding="utf-8"?>
<ds:datastoreItem xmlns:ds="http://schemas.openxmlformats.org/officeDocument/2006/customXml" ds:itemID="{65FD075A-4C76-49CE-AADB-BD067723F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3619</Words>
  <Characters>20397</Characters>
  <Application>Microsoft Office Word</Application>
  <DocSecurity>4</DocSecurity>
  <Lines>169</Lines>
  <Paragraphs>47</Paragraphs>
  <ScaleCrop>false</ScaleCrop>
  <HeadingPairs>
    <vt:vector size="2" baseType="variant">
      <vt:variant>
        <vt:lpstr>Title</vt:lpstr>
      </vt:variant>
      <vt:variant>
        <vt:i4>1</vt:i4>
      </vt:variant>
    </vt:vector>
  </HeadingPairs>
  <TitlesOfParts>
    <vt:vector size="1" baseType="lpstr">
      <vt:lpstr>IECHYD MORGANNWG HEALTH</vt:lpstr>
    </vt:vector>
  </TitlesOfParts>
  <Company>Iechyd Morgannwg Health</Company>
  <LinksUpToDate>false</LinksUpToDate>
  <CharactersWithSpaces>23969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IECHYD MORGANNWG HEALTH</dc:title>
  <dc:creator>mertec preferred customer</dc:creator>
  <cp:lastModifiedBy>Matthew Evans (Swansea Bay - Counter Fraud)</cp:lastModifiedBy>
  <cp:revision>2</cp:revision>
  <cp:lastPrinted>2018-09-24T07:42:00Z</cp:lastPrinted>
  <dcterms:created xsi:type="dcterms:W3CDTF">2025-07-08T08:13:00Z</dcterms:created>
  <dcterms:modified xsi:type="dcterms:W3CDTF">2025-07-08T08:13:00Z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