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theme/themeOverride1.xml" ContentType="application/vnd.openxmlformats-officedocument.themeOverrid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theme/themeOverride2.xml" ContentType="application/vnd.openxmlformats-officedocument.themeOverride+xml"/>
  <Override PartName="/word/charts/chart3.xml" ContentType="application/vnd.openxmlformats-officedocument.drawingml.chart+xml"/>
  <Override PartName="/word/charts/style3.xml" ContentType="application/vnd.ms-office.chartstyle+xml"/>
  <Override PartName="/word/charts/colors3.xml" ContentType="application/vnd.ms-office.chartcolorstyle+xml"/>
  <Override PartName="/word/theme/themeOverride3.xml" ContentType="application/vnd.openxmlformats-officedocument.themeOverride+xml"/>
  <Override PartName="/word/charts/chart4.xml" ContentType="application/vnd.openxmlformats-officedocument.drawingml.chart+xml"/>
  <Override PartName="/word/charts/style4.xml" ContentType="application/vnd.ms-office.chartstyle+xml"/>
  <Override PartName="/word/charts/colors4.xml" ContentType="application/vnd.ms-office.chartcolorstyle+xml"/>
  <Override PartName="/word/theme/themeOverride4.xml" ContentType="application/vnd.openxmlformats-officedocument.themeOverride+xml"/>
  <Override PartName="/word/charts/chart5.xml" ContentType="application/vnd.openxmlformats-officedocument.drawingml.chart+xml"/>
  <Override PartName="/word/charts/style5.xml" ContentType="application/vnd.ms-office.chartstyle+xml"/>
  <Override PartName="/word/charts/colors5.xml" ContentType="application/vnd.ms-office.chartcolorstyle+xml"/>
  <Override PartName="/word/theme/themeOverride5.xml" ContentType="application/vnd.openxmlformats-officedocument.themeOverride+xml"/>
  <Override PartName="/word/charts/chart6.xml" ContentType="application/vnd.openxmlformats-officedocument.drawingml.chart+xml"/>
  <Override PartName="/word/charts/style6.xml" ContentType="application/vnd.ms-office.chartstyle+xml"/>
  <Override PartName="/word/charts/colors6.xml" ContentType="application/vnd.ms-office.chartcolorstyle+xml"/>
  <Override PartName="/word/theme/themeOverride6.xml" ContentType="application/vnd.openxmlformats-officedocument.themeOverrid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171CED" w14:textId="1645FD74" w:rsidR="00000804" w:rsidRDefault="00EE6524">
      <w:r>
        <w:rPr>
          <w:noProof/>
          <w:lang w:eastAsia="en-GB"/>
        </w:rPr>
        <w:drawing>
          <wp:anchor distT="0" distB="0" distL="114300" distR="114300" simplePos="0" relativeHeight="251665408" behindDoc="0" locked="0" layoutInCell="1" allowOverlap="1" wp14:anchorId="30F5863F" wp14:editId="1618F6FA">
            <wp:simplePos x="0" y="0"/>
            <wp:positionH relativeFrom="margin">
              <wp:align>center</wp:align>
            </wp:positionH>
            <wp:positionV relativeFrom="paragraph">
              <wp:posOffset>381000</wp:posOffset>
            </wp:positionV>
            <wp:extent cx="3595370" cy="1504950"/>
            <wp:effectExtent l="0" t="0" r="5080" b="0"/>
            <wp:wrapNone/>
            <wp:docPr id="7" name="Picture 7" descr="A picture containing timelin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7" descr="A picture containing timeline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95370" cy="1504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67456" behindDoc="0" locked="0" layoutInCell="1" allowOverlap="1" wp14:anchorId="4AAF819B" wp14:editId="5F3C54A9">
                <wp:simplePos x="0" y="0"/>
                <wp:positionH relativeFrom="margin">
                  <wp:align>center</wp:align>
                </wp:positionH>
                <wp:positionV relativeFrom="paragraph">
                  <wp:posOffset>2436495</wp:posOffset>
                </wp:positionV>
                <wp:extent cx="4452620" cy="617220"/>
                <wp:effectExtent l="0" t="0" r="5080" b="0"/>
                <wp:wrapSquare wrapText="bothSides"/>
                <wp:docPr id="8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452620" cy="6172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3B53011" w14:textId="78FD7852" w:rsidR="00EE6524" w:rsidRDefault="00EE6524" w:rsidP="00EE6524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color w:val="1F3864"/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1F3864"/>
                                <w:sz w:val="36"/>
                                <w:szCs w:val="36"/>
                              </w:rPr>
                              <w:t xml:space="preserve">Item </w:t>
                            </w:r>
                            <w:r w:rsidR="00FC48AD">
                              <w:rPr>
                                <w:rFonts w:ascii="Arial" w:hAnsi="Arial" w:cs="Arial"/>
                                <w:b/>
                                <w:bCs/>
                                <w:color w:val="1F3864"/>
                                <w:sz w:val="36"/>
                                <w:szCs w:val="36"/>
                              </w:rPr>
                              <w:t>7.1 Appendix 1 -</w:t>
                            </w:r>
                          </w:p>
                          <w:p w14:paraId="1901C72F" w14:textId="183CC9C2" w:rsidR="00EE6524" w:rsidRPr="00536952" w:rsidRDefault="00EE6524" w:rsidP="00EE6524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color w:val="1F3864"/>
                                <w:sz w:val="36"/>
                                <w:szCs w:val="36"/>
                              </w:rPr>
                            </w:pPr>
                            <w:r w:rsidRPr="00536952">
                              <w:rPr>
                                <w:rFonts w:ascii="Arial" w:hAnsi="Arial" w:cs="Arial"/>
                                <w:b/>
                                <w:bCs/>
                                <w:color w:val="1F3864"/>
                                <w:sz w:val="36"/>
                                <w:szCs w:val="36"/>
                              </w:rPr>
                              <w:t xml:space="preserve">Counter Fraud 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1F3864"/>
                                <w:sz w:val="36"/>
                                <w:szCs w:val="36"/>
                              </w:rPr>
                              <w:t xml:space="preserve">Benchmark </w:t>
                            </w:r>
                            <w:r w:rsidR="00FC48AD">
                              <w:rPr>
                                <w:rFonts w:ascii="Arial" w:hAnsi="Arial" w:cs="Arial"/>
                                <w:b/>
                                <w:bCs/>
                                <w:color w:val="1F3864"/>
                                <w:sz w:val="36"/>
                                <w:szCs w:val="36"/>
                              </w:rPr>
                              <w:t>Report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4AAF819B" id="_x0000_t202" coordsize="21600,21600" o:spt="202" path="m,l,21600r21600,l21600,xe">
                <v:stroke joinstyle="miter"/>
                <v:path gradientshapeok="t" o:connecttype="rect"/>
              </v:shapetype>
              <v:shape id="Text Box 8" o:spid="_x0000_s1026" type="#_x0000_t202" style="position:absolute;margin-left:0;margin-top:191.85pt;width:350.6pt;height:48.6pt;z-index:251667456;visibility:visible;mso-wrap-style:square;mso-width-percent:0;mso-height-percent:200;mso-wrap-distance-left:9pt;mso-wrap-distance-top:3.6pt;mso-wrap-distance-right:9pt;mso-wrap-distance-bottom:3.6pt;mso-position-horizontal:center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" stroked="f">
                <v:textbox style="mso-fit-shape-to-text:t">
                  <w:txbxContent>
                    <w:p w14:paraId="43B53011" w14:textId="78FD7852" w:rsidR="00EE6524" w:rsidRDefault="00EE6524" w:rsidP="00EE6524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color w:val="1F3864"/>
                          <w:sz w:val="36"/>
                          <w:szCs w:val="3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1F3864"/>
                          <w:sz w:val="36"/>
                          <w:szCs w:val="36"/>
                        </w:rPr>
                        <w:t xml:space="preserve">Item </w:t>
                      </w:r>
                      <w:r w:rsidR="00FC48AD">
                        <w:rPr>
                          <w:rFonts w:ascii="Arial" w:hAnsi="Arial" w:cs="Arial"/>
                          <w:b/>
                          <w:bCs/>
                          <w:color w:val="1F3864"/>
                          <w:sz w:val="36"/>
                          <w:szCs w:val="36"/>
                        </w:rPr>
                        <w:t>7.1 Appendix 1 -</w:t>
                      </w:r>
                    </w:p>
                    <w:p w14:paraId="1901C72F" w14:textId="183CC9C2" w:rsidR="00EE6524" w:rsidRPr="00536952" w:rsidRDefault="00EE6524" w:rsidP="00EE6524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color w:val="1F3864"/>
                          <w:sz w:val="36"/>
                          <w:szCs w:val="36"/>
                        </w:rPr>
                      </w:pPr>
                      <w:r w:rsidRPr="00536952">
                        <w:rPr>
                          <w:rFonts w:ascii="Arial" w:hAnsi="Arial" w:cs="Arial"/>
                          <w:b/>
                          <w:bCs/>
                          <w:color w:val="1F3864"/>
                          <w:sz w:val="36"/>
                          <w:szCs w:val="36"/>
                        </w:rPr>
                        <w:t xml:space="preserve">Counter Fraud 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1F3864"/>
                          <w:sz w:val="36"/>
                          <w:szCs w:val="36"/>
                        </w:rPr>
                        <w:t xml:space="preserve">Benchmark </w:t>
                      </w:r>
                      <w:r w:rsidR="00FC48AD">
                        <w:rPr>
                          <w:rFonts w:ascii="Arial" w:hAnsi="Arial" w:cs="Arial"/>
                          <w:b/>
                          <w:bCs/>
                          <w:color w:val="1F3864"/>
                          <w:sz w:val="36"/>
                          <w:szCs w:val="36"/>
                        </w:rPr>
                        <w:t>Report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000804">
        <w:br w:type="page"/>
      </w:r>
    </w:p>
    <w:tbl>
      <w:tblPr>
        <w:tblpPr w:leftFromText="180" w:rightFromText="180" w:vertAnchor="text" w:horzAnchor="margin" w:tblpY="346"/>
        <w:tblW w:w="6000" w:type="dxa"/>
        <w:tblLook w:val="04A0" w:firstRow="1" w:lastRow="0" w:firstColumn="1" w:lastColumn="0" w:noHBand="0" w:noVBand="1"/>
      </w:tblPr>
      <w:tblGrid>
        <w:gridCol w:w="2680"/>
        <w:gridCol w:w="1660"/>
        <w:gridCol w:w="1660"/>
      </w:tblGrid>
      <w:tr w:rsidR="00FC48AD" w:rsidRPr="00520765" w14:paraId="623675B5" w14:textId="77777777" w:rsidTr="00520765">
        <w:trPr>
          <w:trHeight w:val="735"/>
        </w:trPr>
        <w:tc>
          <w:tcPr>
            <w:tcW w:w="2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66ED0131" w14:textId="423ED104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>
              <w:rPr>
                <w:rFonts w:ascii="Calibri" w:hAnsi="Calibri" w:cs="Calibri"/>
                <w:color w:val="FFFFFF"/>
              </w:rPr>
              <w:lastRenderedPageBreak/>
              <w:t>Case Referral Rate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vAlign w:val="center"/>
            <w:hideMark/>
          </w:tcPr>
          <w:p w14:paraId="2D539AEE" w14:textId="414CE7AD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>
              <w:rPr>
                <w:rFonts w:ascii="Calibri" w:hAnsi="Calibri" w:cs="Calibri"/>
                <w:color w:val="FFFFFF"/>
              </w:rPr>
              <w:t>Swansea Bay UHB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7B6B660A" w14:textId="1E6B002A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>
              <w:rPr>
                <w:rFonts w:ascii="Calibri" w:hAnsi="Calibri" w:cs="Calibri"/>
                <w:color w:val="FFFFFF"/>
              </w:rPr>
              <w:t>All Wales Avg.</w:t>
            </w:r>
          </w:p>
        </w:tc>
      </w:tr>
      <w:tr w:rsidR="00FC48AD" w:rsidRPr="00520765" w14:paraId="24AC9FCC" w14:textId="77777777" w:rsidTr="00520765">
        <w:trPr>
          <w:trHeight w:val="750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4E8621" w14:textId="255E719B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2019/20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7C96FA" w14:textId="30329211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B8B962" w14:textId="51F7F5C4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12.6</w:t>
            </w:r>
          </w:p>
        </w:tc>
      </w:tr>
      <w:tr w:rsidR="00FC48AD" w:rsidRPr="00520765" w14:paraId="19A32A09" w14:textId="77777777" w:rsidTr="00520765">
        <w:trPr>
          <w:trHeight w:val="750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7B1B9F" w14:textId="751801E8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2020/21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DF5351" w14:textId="7786C20E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19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8C18E1" w14:textId="3D55DD77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8.8</w:t>
            </w:r>
          </w:p>
        </w:tc>
      </w:tr>
      <w:tr w:rsidR="00FC48AD" w:rsidRPr="00520765" w14:paraId="56743C82" w14:textId="77777777" w:rsidTr="00520765">
        <w:trPr>
          <w:trHeight w:val="750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905AE3" w14:textId="7377B410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2021/22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FB7D9B" w14:textId="092EE0BB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0EA247" w14:textId="74AE4CC6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14.5</w:t>
            </w:r>
          </w:p>
        </w:tc>
      </w:tr>
      <w:tr w:rsidR="00FC48AD" w:rsidRPr="00520765" w14:paraId="1A617C62" w14:textId="77777777" w:rsidTr="00520765">
        <w:trPr>
          <w:trHeight w:val="750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422257" w14:textId="49CEA30A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2022/23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2C38A6" w14:textId="2D68776B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39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86185E" w14:textId="4AC2A6F1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18.4</w:t>
            </w:r>
          </w:p>
        </w:tc>
      </w:tr>
    </w:tbl>
    <w:p w14:paraId="1AB8021A" w14:textId="4668BACF" w:rsidR="007A7516" w:rsidRDefault="00520765">
      <w:pPr>
        <w:rPr>
          <w:b/>
          <w:bCs/>
          <w:color w:val="1F3864" w:themeColor="accent1" w:themeShade="80"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68480" behindDoc="1" locked="0" layoutInCell="1" allowOverlap="1" wp14:anchorId="3AD3808D" wp14:editId="1F919516">
            <wp:simplePos x="0" y="0"/>
            <wp:positionH relativeFrom="column">
              <wp:posOffset>4191000</wp:posOffset>
            </wp:positionH>
            <wp:positionV relativeFrom="paragraph">
              <wp:posOffset>152400</wp:posOffset>
            </wp:positionV>
            <wp:extent cx="4591050" cy="2578735"/>
            <wp:effectExtent l="0" t="0" r="0" b="12065"/>
            <wp:wrapTight wrapText="bothSides">
              <wp:wrapPolygon edited="0">
                <wp:start x="0" y="0"/>
                <wp:lineTo x="0" y="21541"/>
                <wp:lineTo x="21510" y="21541"/>
                <wp:lineTo x="21510" y="0"/>
                <wp:lineTo x="0" y="0"/>
              </wp:wrapPolygon>
            </wp:wrapTight>
            <wp:docPr id="1" name="Chart 1">
              <a:extLst xmlns:a="http://schemas.openxmlformats.org/drawingml/2006/main">
                <a:ext uri="{FF2B5EF4-FFF2-40B4-BE49-F238E27FC236}">
                  <a16:creationId xmlns:a16="http://schemas.microsoft.com/office/drawing/2014/main" id="{966F5F13-F3E1-47F4-AD43-55119EA63EF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CB52EE0" w14:textId="469FA18A" w:rsidR="00000804" w:rsidRDefault="00520765">
      <w:pPr>
        <w:rPr>
          <w:b/>
          <w:bCs/>
          <w:color w:val="1F3864" w:themeColor="accent1" w:themeShade="80"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69504" behindDoc="1" locked="0" layoutInCell="1" allowOverlap="1" wp14:anchorId="46E69A7C" wp14:editId="2F114269">
            <wp:simplePos x="0" y="0"/>
            <wp:positionH relativeFrom="column">
              <wp:posOffset>4200525</wp:posOffset>
            </wp:positionH>
            <wp:positionV relativeFrom="paragraph">
              <wp:posOffset>2739390</wp:posOffset>
            </wp:positionV>
            <wp:extent cx="4562475" cy="2562860"/>
            <wp:effectExtent l="0" t="0" r="9525" b="8890"/>
            <wp:wrapTight wrapText="bothSides">
              <wp:wrapPolygon edited="0">
                <wp:start x="0" y="0"/>
                <wp:lineTo x="0" y="21514"/>
                <wp:lineTo x="21555" y="21514"/>
                <wp:lineTo x="21555" y="0"/>
                <wp:lineTo x="0" y="0"/>
              </wp:wrapPolygon>
            </wp:wrapTight>
            <wp:docPr id="6" name="Chart 6">
              <a:extLst xmlns:a="http://schemas.openxmlformats.org/drawingml/2006/main">
                <a:ext uri="{FF2B5EF4-FFF2-40B4-BE49-F238E27FC236}">
                  <a16:creationId xmlns:a16="http://schemas.microsoft.com/office/drawing/2014/main" id="{90CD483A-45E2-435D-94C4-0666485F9EB7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tbl>
      <w:tblPr>
        <w:tblpPr w:leftFromText="180" w:rightFromText="180" w:vertAnchor="text" w:horzAnchor="margin" w:tblpY="84"/>
        <w:tblW w:w="6000" w:type="dxa"/>
        <w:tblLook w:val="04A0" w:firstRow="1" w:lastRow="0" w:firstColumn="1" w:lastColumn="0" w:noHBand="0" w:noVBand="1"/>
      </w:tblPr>
      <w:tblGrid>
        <w:gridCol w:w="2680"/>
        <w:gridCol w:w="1660"/>
        <w:gridCol w:w="1660"/>
      </w:tblGrid>
      <w:tr w:rsidR="00FC48AD" w:rsidRPr="00520765" w14:paraId="59E0FF5A" w14:textId="77777777" w:rsidTr="00520765">
        <w:trPr>
          <w:trHeight w:val="735"/>
        </w:trPr>
        <w:tc>
          <w:tcPr>
            <w:tcW w:w="2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53360F5E" w14:textId="48D07278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>
              <w:rPr>
                <w:rFonts w:ascii="Calibri" w:hAnsi="Calibri" w:cs="Calibri"/>
                <w:color w:val="FFFFFF"/>
              </w:rPr>
              <w:t>Case Closure Rate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vAlign w:val="center"/>
            <w:hideMark/>
          </w:tcPr>
          <w:p w14:paraId="5BF86EC0" w14:textId="27FE88C6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>
              <w:rPr>
                <w:rFonts w:ascii="Calibri" w:hAnsi="Calibri" w:cs="Calibri"/>
                <w:color w:val="FFFFFF"/>
              </w:rPr>
              <w:t>Swansea Bay UHB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64BDA147" w14:textId="0DD8A713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>
              <w:rPr>
                <w:rFonts w:ascii="Calibri" w:hAnsi="Calibri" w:cs="Calibri"/>
                <w:color w:val="FFFFFF"/>
              </w:rPr>
              <w:t>All Wales Avg.</w:t>
            </w:r>
          </w:p>
        </w:tc>
      </w:tr>
      <w:tr w:rsidR="00FC48AD" w:rsidRPr="00520765" w14:paraId="7CAD1B33" w14:textId="77777777" w:rsidTr="00520765">
        <w:trPr>
          <w:trHeight w:val="750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B10261" w14:textId="2D08B238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2019/20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B4FF2E" w14:textId="2A719076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18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AE6D8A" w14:textId="13DE97FC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11.7</w:t>
            </w:r>
          </w:p>
        </w:tc>
      </w:tr>
      <w:tr w:rsidR="00FC48AD" w:rsidRPr="00520765" w14:paraId="75760B75" w14:textId="77777777" w:rsidTr="00520765">
        <w:trPr>
          <w:trHeight w:val="750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F96C17" w14:textId="16181624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2020/21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B46BDF" w14:textId="2F546A41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36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9B28B8" w14:textId="5C01A2EF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12.4</w:t>
            </w:r>
          </w:p>
        </w:tc>
      </w:tr>
      <w:tr w:rsidR="00FC48AD" w:rsidRPr="00520765" w14:paraId="0C000E87" w14:textId="77777777" w:rsidTr="00520765">
        <w:trPr>
          <w:trHeight w:val="750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A287EE" w14:textId="08E611E9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2021/22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459C31" w14:textId="1404EA4C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32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85B867" w14:textId="76AF9D74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16.2</w:t>
            </w:r>
          </w:p>
        </w:tc>
      </w:tr>
      <w:tr w:rsidR="00FC48AD" w:rsidRPr="00520765" w14:paraId="7A019133" w14:textId="77777777" w:rsidTr="00520765">
        <w:trPr>
          <w:trHeight w:val="750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3A12FA" w14:textId="6DDD4A5B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2022/23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F6FB07" w14:textId="3EF59CEB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43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091F45" w14:textId="463CA4F8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18.6</w:t>
            </w:r>
          </w:p>
        </w:tc>
      </w:tr>
    </w:tbl>
    <w:p w14:paraId="427A8C34" w14:textId="29A1FE25" w:rsidR="00000804" w:rsidRDefault="00000804" w:rsidP="00000804">
      <w:pPr>
        <w:rPr>
          <w:b/>
          <w:bCs/>
          <w:color w:val="1F3864" w:themeColor="accent1" w:themeShade="80"/>
          <w:sz w:val="28"/>
          <w:szCs w:val="28"/>
        </w:rPr>
      </w:pPr>
    </w:p>
    <w:tbl>
      <w:tblPr>
        <w:tblW w:w="9320" w:type="dxa"/>
        <w:tblInd w:w="1885" w:type="dxa"/>
        <w:tblLook w:val="04A0" w:firstRow="1" w:lastRow="0" w:firstColumn="1" w:lastColumn="0" w:noHBand="0" w:noVBand="1"/>
      </w:tblPr>
      <w:tblGrid>
        <w:gridCol w:w="2680"/>
        <w:gridCol w:w="1660"/>
        <w:gridCol w:w="1660"/>
        <w:gridCol w:w="1660"/>
        <w:gridCol w:w="1660"/>
      </w:tblGrid>
      <w:tr w:rsidR="00FC48AD" w:rsidRPr="00520765" w14:paraId="78A84144" w14:textId="77777777" w:rsidTr="00520765">
        <w:trPr>
          <w:trHeight w:val="915"/>
        </w:trPr>
        <w:tc>
          <w:tcPr>
            <w:tcW w:w="2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203764"/>
            <w:vAlign w:val="center"/>
            <w:hideMark/>
          </w:tcPr>
          <w:p w14:paraId="51883DAC" w14:textId="256022C8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>
              <w:rPr>
                <w:rFonts w:ascii="Calibri" w:hAnsi="Calibri" w:cs="Calibri"/>
                <w:color w:val="FFFFFF"/>
              </w:rPr>
              <w:t>Investigation Progression Rate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vAlign w:val="center"/>
            <w:hideMark/>
          </w:tcPr>
          <w:p w14:paraId="72B2C5A6" w14:textId="0052C525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>
              <w:rPr>
                <w:rFonts w:ascii="Calibri" w:hAnsi="Calibri" w:cs="Calibri"/>
                <w:color w:val="FFFFFF"/>
              </w:rPr>
              <w:t>Cases Open at Start of FY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vAlign w:val="center"/>
            <w:hideMark/>
          </w:tcPr>
          <w:p w14:paraId="4F556D29" w14:textId="7F32A7DE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>
              <w:rPr>
                <w:rFonts w:ascii="Calibri" w:hAnsi="Calibri" w:cs="Calibri"/>
                <w:color w:val="FFFFFF"/>
              </w:rPr>
              <w:t>Referrals Received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vAlign w:val="center"/>
            <w:hideMark/>
          </w:tcPr>
          <w:p w14:paraId="1B49A17A" w14:textId="33DF3721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>
              <w:rPr>
                <w:rFonts w:ascii="Calibri" w:hAnsi="Calibri" w:cs="Calibri"/>
                <w:color w:val="FFFFFF"/>
              </w:rPr>
              <w:t>Cases Closed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vAlign w:val="center"/>
            <w:hideMark/>
          </w:tcPr>
          <w:p w14:paraId="72C48827" w14:textId="1F38D784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>
              <w:rPr>
                <w:rFonts w:ascii="Calibri" w:hAnsi="Calibri" w:cs="Calibri"/>
                <w:color w:val="FFFFFF"/>
              </w:rPr>
              <w:t>Total Cases Open End of Period</w:t>
            </w:r>
          </w:p>
        </w:tc>
      </w:tr>
      <w:tr w:rsidR="00FC48AD" w:rsidRPr="00520765" w14:paraId="61E99DA6" w14:textId="77777777" w:rsidTr="00520765">
        <w:trPr>
          <w:trHeight w:val="750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DCCCB4" w14:textId="2CB59E0E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2019/20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A61119" w14:textId="381D010A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43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EAC1A7" w14:textId="48057204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13E7C7" w14:textId="0F46635C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18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AF9B66" w14:textId="3409F64E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50</w:t>
            </w:r>
          </w:p>
        </w:tc>
      </w:tr>
      <w:tr w:rsidR="00FC48AD" w:rsidRPr="00520765" w14:paraId="1FDED4B8" w14:textId="77777777" w:rsidTr="00520765">
        <w:trPr>
          <w:trHeight w:val="750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51E469" w14:textId="58207590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2020/21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B47AB2" w14:textId="057AC035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50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D3BD61" w14:textId="2DDF3A17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19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150D5A" w14:textId="737B348A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36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AE0ABD" w14:textId="62CB44AD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33</w:t>
            </w:r>
          </w:p>
        </w:tc>
      </w:tr>
      <w:tr w:rsidR="00FC48AD" w:rsidRPr="00520765" w14:paraId="00977F92" w14:textId="77777777" w:rsidTr="00520765">
        <w:trPr>
          <w:trHeight w:val="750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936B70" w14:textId="1D94E840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2021/22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8D844D" w14:textId="065AEE1C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33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1944EE" w14:textId="26419FDF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7638D4" w14:textId="730BE9BF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32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6ED2BD" w14:textId="1DFE9DCF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24</w:t>
            </w:r>
          </w:p>
        </w:tc>
      </w:tr>
      <w:tr w:rsidR="00FC48AD" w:rsidRPr="00520765" w14:paraId="45EE5925" w14:textId="77777777" w:rsidTr="00520765">
        <w:trPr>
          <w:trHeight w:val="750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05B9FD" w14:textId="2624423B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2022/23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BCF05C" w14:textId="1BFDF5CF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5DC95F" w14:textId="3A6E15B8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39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031415" w14:textId="48BF9067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43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2649E9" w14:textId="2369C4F6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20</w:t>
            </w:r>
          </w:p>
        </w:tc>
      </w:tr>
    </w:tbl>
    <w:p w14:paraId="1EBFF833" w14:textId="7D2E6AB8" w:rsidR="00000804" w:rsidRDefault="00000804" w:rsidP="00000804">
      <w:pPr>
        <w:rPr>
          <w:b/>
          <w:bCs/>
          <w:color w:val="1F3864" w:themeColor="accent1" w:themeShade="80"/>
          <w:sz w:val="28"/>
          <w:szCs w:val="28"/>
        </w:rPr>
      </w:pPr>
    </w:p>
    <w:p w14:paraId="5DAEA3E5" w14:textId="259F4E9E" w:rsidR="00000804" w:rsidRDefault="00000804" w:rsidP="00000804">
      <w:pPr>
        <w:rPr>
          <w:b/>
          <w:bCs/>
          <w:color w:val="1F3864" w:themeColor="accent1" w:themeShade="80"/>
          <w:sz w:val="28"/>
          <w:szCs w:val="28"/>
        </w:rPr>
      </w:pPr>
    </w:p>
    <w:tbl>
      <w:tblPr>
        <w:tblpPr w:leftFromText="180" w:rightFromText="180" w:vertAnchor="text" w:horzAnchor="margin" w:tblpY="42"/>
        <w:tblW w:w="5000" w:type="pct"/>
        <w:tblLook w:val="04A0" w:firstRow="1" w:lastRow="0" w:firstColumn="1" w:lastColumn="0" w:noHBand="0" w:noVBand="1"/>
      </w:tblPr>
      <w:tblGrid>
        <w:gridCol w:w="1819"/>
        <w:gridCol w:w="1009"/>
        <w:gridCol w:w="1132"/>
        <w:gridCol w:w="893"/>
        <w:gridCol w:w="960"/>
        <w:gridCol w:w="1130"/>
        <w:gridCol w:w="948"/>
        <w:gridCol w:w="1035"/>
        <w:gridCol w:w="1133"/>
        <w:gridCol w:w="868"/>
        <w:gridCol w:w="976"/>
        <w:gridCol w:w="993"/>
        <w:gridCol w:w="1052"/>
      </w:tblGrid>
      <w:tr w:rsidR="00FC48AD" w:rsidRPr="00520765" w14:paraId="72AB3D1B" w14:textId="77777777" w:rsidTr="00FC48AD">
        <w:trPr>
          <w:trHeight w:val="405"/>
        </w:trPr>
        <w:tc>
          <w:tcPr>
            <w:tcW w:w="652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203764"/>
            <w:vAlign w:val="center"/>
            <w:hideMark/>
          </w:tcPr>
          <w:p w14:paraId="0CE68C37" w14:textId="77777777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4F1924">
              <w:t>Sanctions</w:t>
            </w:r>
          </w:p>
          <w:p w14:paraId="4F5D3C8E" w14:textId="57D120DC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</w:p>
        </w:tc>
        <w:tc>
          <w:tcPr>
            <w:tcW w:w="108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46E8EDB9" w14:textId="5EA1D01E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4F1924">
              <w:t>2019/20</w:t>
            </w:r>
          </w:p>
        </w:tc>
        <w:tc>
          <w:tcPr>
            <w:tcW w:w="108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70F4BFC0" w14:textId="72FDCF17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>
              <w:rPr>
                <w:rFonts w:ascii="Calibri" w:eastAsia="Times New Roman" w:hAnsi="Calibri" w:cs="Calibri"/>
                <w:color w:val="FFFFFF"/>
                <w:lang w:eastAsia="en-GB"/>
              </w:rPr>
              <w:t>2020/21</w:t>
            </w:r>
          </w:p>
        </w:tc>
        <w:tc>
          <w:tcPr>
            <w:tcW w:w="108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786D1804" w14:textId="1796133F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>
              <w:rPr>
                <w:rFonts w:ascii="Calibri" w:eastAsia="Times New Roman" w:hAnsi="Calibri" w:cs="Calibri"/>
                <w:color w:val="FFFFFF"/>
                <w:lang w:eastAsia="en-GB"/>
              </w:rPr>
              <w:t>2021/22</w:t>
            </w:r>
          </w:p>
        </w:tc>
        <w:tc>
          <w:tcPr>
            <w:tcW w:w="108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0C3F479E" w14:textId="081E288C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>
              <w:t>2022/23</w:t>
            </w:r>
          </w:p>
        </w:tc>
      </w:tr>
      <w:tr w:rsidR="00FC48AD" w:rsidRPr="00520765" w14:paraId="69BB8968" w14:textId="77777777" w:rsidTr="00FC48AD">
        <w:trPr>
          <w:trHeight w:val="405"/>
        </w:trPr>
        <w:tc>
          <w:tcPr>
            <w:tcW w:w="652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54244E" w14:textId="77777777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</w:p>
        </w:tc>
        <w:tc>
          <w:tcPr>
            <w:tcW w:w="3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6D018299" w14:textId="5755D962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4F1924">
              <w:t>Criminal</w:t>
            </w:r>
          </w:p>
        </w:tc>
        <w:tc>
          <w:tcPr>
            <w:tcW w:w="4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6DFC259C" w14:textId="65E59D27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proofErr w:type="spellStart"/>
            <w:r w:rsidRPr="004F1924">
              <w:t>Disp</w:t>
            </w:r>
            <w:proofErr w:type="spellEnd"/>
          </w:p>
        </w:tc>
        <w:tc>
          <w:tcPr>
            <w:tcW w:w="3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7D3BBF97" w14:textId="60AE8ACF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4F1924">
              <w:t>Civil</w:t>
            </w:r>
          </w:p>
        </w:tc>
        <w:tc>
          <w:tcPr>
            <w:tcW w:w="3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7831EFAD" w14:textId="3CD8B6B2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4F1924">
              <w:t>Criminal</w:t>
            </w:r>
          </w:p>
        </w:tc>
        <w:tc>
          <w:tcPr>
            <w:tcW w:w="4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2EC4A860" w14:textId="63B9C7FC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proofErr w:type="spellStart"/>
            <w:r w:rsidRPr="004F1924">
              <w:t>Disp</w:t>
            </w:r>
            <w:proofErr w:type="spellEnd"/>
          </w:p>
        </w:tc>
        <w:tc>
          <w:tcPr>
            <w:tcW w:w="3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497C2D56" w14:textId="6E80A508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4F1924">
              <w:t>Civil</w:t>
            </w:r>
          </w:p>
        </w:tc>
        <w:tc>
          <w:tcPr>
            <w:tcW w:w="3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3BE41A81" w14:textId="5DE6CE3C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4F1924">
              <w:t>Criminal</w:t>
            </w:r>
          </w:p>
        </w:tc>
        <w:tc>
          <w:tcPr>
            <w:tcW w:w="4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38D98DAC" w14:textId="03F2A4E1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proofErr w:type="spellStart"/>
            <w:r w:rsidRPr="004F1924">
              <w:t>Disp</w:t>
            </w:r>
            <w:proofErr w:type="spellEnd"/>
          </w:p>
        </w:tc>
        <w:tc>
          <w:tcPr>
            <w:tcW w:w="3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0D1CCBEA" w14:textId="788FE575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4F1924">
              <w:t>Civil</w:t>
            </w:r>
          </w:p>
        </w:tc>
        <w:tc>
          <w:tcPr>
            <w:tcW w:w="3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24C78DFA" w14:textId="3DA9246F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4F1924">
              <w:t>Criminal</w:t>
            </w:r>
          </w:p>
        </w:tc>
        <w:tc>
          <w:tcPr>
            <w:tcW w:w="3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169E6B9E" w14:textId="776AB144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proofErr w:type="spellStart"/>
            <w:r w:rsidRPr="004F1924">
              <w:t>Disp</w:t>
            </w:r>
            <w:proofErr w:type="spellEnd"/>
          </w:p>
        </w:tc>
        <w:tc>
          <w:tcPr>
            <w:tcW w:w="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56933DED" w14:textId="7B2DD371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4F1924">
              <w:t>Civil</w:t>
            </w:r>
          </w:p>
        </w:tc>
      </w:tr>
      <w:tr w:rsidR="00FC48AD" w:rsidRPr="00520765" w14:paraId="60198799" w14:textId="77777777" w:rsidTr="00FC48AD">
        <w:trPr>
          <w:trHeight w:val="495"/>
        </w:trPr>
        <w:tc>
          <w:tcPr>
            <w:tcW w:w="65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5A935297" w14:textId="5BE7D353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4F1924">
              <w:t>Swansea Bay UHB</w:t>
            </w:r>
          </w:p>
        </w:tc>
        <w:tc>
          <w:tcPr>
            <w:tcW w:w="3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D455B4" w14:textId="75C3FB3D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4F1924">
              <w:t>4</w:t>
            </w:r>
          </w:p>
        </w:tc>
        <w:tc>
          <w:tcPr>
            <w:tcW w:w="4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E8B4FA" w14:textId="2514E655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4F1924">
              <w:t>5</w:t>
            </w:r>
          </w:p>
        </w:tc>
        <w:tc>
          <w:tcPr>
            <w:tcW w:w="3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73CBD1" w14:textId="63CF0572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4F1924">
              <w:t>10</w:t>
            </w:r>
          </w:p>
        </w:tc>
        <w:tc>
          <w:tcPr>
            <w:tcW w:w="3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5EC11A" w14:textId="59DF5EEA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4F1924">
              <w:t>4</w:t>
            </w:r>
          </w:p>
        </w:tc>
        <w:tc>
          <w:tcPr>
            <w:tcW w:w="4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22FAC8" w14:textId="37C3F0B5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4F1924">
              <w:t>7</w:t>
            </w:r>
          </w:p>
        </w:tc>
        <w:tc>
          <w:tcPr>
            <w:tcW w:w="3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FB99B4" w14:textId="64A16C30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4F1924">
              <w:t>3</w:t>
            </w:r>
          </w:p>
        </w:tc>
        <w:tc>
          <w:tcPr>
            <w:tcW w:w="3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44806E" w14:textId="310AA2FB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4F1924">
              <w:t>1</w:t>
            </w:r>
          </w:p>
        </w:tc>
        <w:tc>
          <w:tcPr>
            <w:tcW w:w="4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FFE77C" w14:textId="301A8638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4F1924">
              <w:t>8</w:t>
            </w:r>
          </w:p>
        </w:tc>
        <w:tc>
          <w:tcPr>
            <w:tcW w:w="3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604C9F" w14:textId="6B0BBACA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4F1924">
              <w:t>5</w:t>
            </w:r>
          </w:p>
        </w:tc>
        <w:tc>
          <w:tcPr>
            <w:tcW w:w="3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686207" w14:textId="5BFA5CC7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4F1924">
              <w:t>4</w:t>
            </w:r>
          </w:p>
        </w:tc>
        <w:tc>
          <w:tcPr>
            <w:tcW w:w="3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858087" w14:textId="044A577B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4F1924">
              <w:t>5</w:t>
            </w:r>
          </w:p>
        </w:tc>
        <w:tc>
          <w:tcPr>
            <w:tcW w:w="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A0C105" w14:textId="3BFF56FA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4F1924">
              <w:t>9</w:t>
            </w:r>
          </w:p>
        </w:tc>
      </w:tr>
      <w:tr w:rsidR="00FC48AD" w:rsidRPr="00520765" w14:paraId="78879FFE" w14:textId="77777777" w:rsidTr="00FC48AD">
        <w:trPr>
          <w:trHeight w:val="495"/>
        </w:trPr>
        <w:tc>
          <w:tcPr>
            <w:tcW w:w="65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4E73EDEB" w14:textId="390140B3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4F1924">
              <w:t>All Wales Avg.</w:t>
            </w:r>
          </w:p>
        </w:tc>
        <w:tc>
          <w:tcPr>
            <w:tcW w:w="3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7B3B71" w14:textId="4BC7E1E5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4F1924">
              <w:t>1.2</w:t>
            </w:r>
          </w:p>
        </w:tc>
        <w:tc>
          <w:tcPr>
            <w:tcW w:w="4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A44D8C" w14:textId="6D9C2412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4F1924">
              <w:t>2.3</w:t>
            </w:r>
          </w:p>
        </w:tc>
        <w:tc>
          <w:tcPr>
            <w:tcW w:w="3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3FB221" w14:textId="7597E2CD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4F1924">
              <w:t>3.3</w:t>
            </w:r>
          </w:p>
        </w:tc>
        <w:tc>
          <w:tcPr>
            <w:tcW w:w="3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A14D4A" w14:textId="094841A2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4F1924">
              <w:t>0.8</w:t>
            </w:r>
          </w:p>
        </w:tc>
        <w:tc>
          <w:tcPr>
            <w:tcW w:w="4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1EFDA7" w14:textId="15D7DDA1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4F1924">
              <w:t>1.8</w:t>
            </w:r>
          </w:p>
        </w:tc>
        <w:tc>
          <w:tcPr>
            <w:tcW w:w="3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F5CD7A" w14:textId="58A948F5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4F1924">
              <w:t>1.6</w:t>
            </w:r>
          </w:p>
        </w:tc>
        <w:tc>
          <w:tcPr>
            <w:tcW w:w="3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D8AB0C" w14:textId="2A90FAC0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4F1924">
              <w:t>0.4</w:t>
            </w:r>
          </w:p>
        </w:tc>
        <w:tc>
          <w:tcPr>
            <w:tcW w:w="4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26AA27" w14:textId="1D266EDD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4F1924">
              <w:t>4.0</w:t>
            </w:r>
          </w:p>
        </w:tc>
        <w:tc>
          <w:tcPr>
            <w:tcW w:w="3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5A55E4" w14:textId="1DF7C157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4F1924">
              <w:t>3.0</w:t>
            </w:r>
          </w:p>
        </w:tc>
        <w:tc>
          <w:tcPr>
            <w:tcW w:w="3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9DB663" w14:textId="36CE5A0B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4F1924">
              <w:t>0.7</w:t>
            </w:r>
          </w:p>
        </w:tc>
        <w:tc>
          <w:tcPr>
            <w:tcW w:w="3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6AD466" w14:textId="18CDDDF0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4F1924">
              <w:t>2.8</w:t>
            </w:r>
          </w:p>
        </w:tc>
        <w:tc>
          <w:tcPr>
            <w:tcW w:w="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631E20" w14:textId="12761D69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4F1924">
              <w:t>4.4</w:t>
            </w:r>
          </w:p>
        </w:tc>
      </w:tr>
      <w:tr w:rsidR="00FC48AD" w:rsidRPr="00520765" w14:paraId="6AE9FB9C" w14:textId="77777777" w:rsidTr="00FC48AD">
        <w:trPr>
          <w:trHeight w:val="495"/>
        </w:trPr>
        <w:tc>
          <w:tcPr>
            <w:tcW w:w="65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0611C279" w14:textId="01C8410F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4F1924">
              <w:t>All Wales Total</w:t>
            </w:r>
          </w:p>
        </w:tc>
        <w:tc>
          <w:tcPr>
            <w:tcW w:w="3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5E3E59" w14:textId="64BC8907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4F1924">
              <w:t>14</w:t>
            </w:r>
          </w:p>
        </w:tc>
        <w:tc>
          <w:tcPr>
            <w:tcW w:w="4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8AC47C" w14:textId="0418EAFF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4F1924">
              <w:t>27</w:t>
            </w:r>
          </w:p>
        </w:tc>
        <w:tc>
          <w:tcPr>
            <w:tcW w:w="3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A08F1A" w14:textId="3C11380E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4F1924">
              <w:t>39</w:t>
            </w:r>
          </w:p>
        </w:tc>
        <w:tc>
          <w:tcPr>
            <w:tcW w:w="3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9ED246" w14:textId="4E53442F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4F1924">
              <w:t>9</w:t>
            </w:r>
          </w:p>
        </w:tc>
        <w:tc>
          <w:tcPr>
            <w:tcW w:w="4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F5D51E" w14:textId="1B968682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4F1924">
              <w:t>21</w:t>
            </w:r>
          </w:p>
        </w:tc>
        <w:tc>
          <w:tcPr>
            <w:tcW w:w="3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FDCC52" w14:textId="0222A78C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4F1924">
              <w:t>19</w:t>
            </w:r>
          </w:p>
        </w:tc>
        <w:tc>
          <w:tcPr>
            <w:tcW w:w="3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943955" w14:textId="523F8331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4F1924">
              <w:t>5</w:t>
            </w:r>
          </w:p>
        </w:tc>
        <w:tc>
          <w:tcPr>
            <w:tcW w:w="4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686007" w14:textId="2558911C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4F1924">
              <w:t>52</w:t>
            </w:r>
          </w:p>
        </w:tc>
        <w:tc>
          <w:tcPr>
            <w:tcW w:w="3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38A09E" w14:textId="5B9DA545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4F1924">
              <w:t>39</w:t>
            </w:r>
          </w:p>
        </w:tc>
        <w:tc>
          <w:tcPr>
            <w:tcW w:w="3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76B074" w14:textId="537B4E9D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4F1924">
              <w:t>9</w:t>
            </w:r>
          </w:p>
        </w:tc>
        <w:tc>
          <w:tcPr>
            <w:tcW w:w="3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5C3F50" w14:textId="22E92E1C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4F1924">
              <w:t>37</w:t>
            </w:r>
          </w:p>
        </w:tc>
        <w:tc>
          <w:tcPr>
            <w:tcW w:w="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F5AC91" w14:textId="5923297F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4F1924">
              <w:t>57</w:t>
            </w:r>
          </w:p>
        </w:tc>
      </w:tr>
    </w:tbl>
    <w:p w14:paraId="18323A1C" w14:textId="62CCED03" w:rsidR="00000804" w:rsidRDefault="00000804" w:rsidP="00000804">
      <w:pPr>
        <w:rPr>
          <w:b/>
          <w:bCs/>
          <w:color w:val="1F3864" w:themeColor="accent1" w:themeShade="80"/>
          <w:sz w:val="28"/>
          <w:szCs w:val="28"/>
        </w:rPr>
      </w:pPr>
    </w:p>
    <w:p w14:paraId="5087BEF0" w14:textId="77777777" w:rsidR="00000804" w:rsidRDefault="00000804" w:rsidP="00000804">
      <w:pPr>
        <w:rPr>
          <w:b/>
          <w:bCs/>
          <w:color w:val="1F3864" w:themeColor="accent1" w:themeShade="80"/>
          <w:sz w:val="28"/>
          <w:szCs w:val="28"/>
        </w:rPr>
      </w:pPr>
    </w:p>
    <w:p w14:paraId="6D344A06" w14:textId="4FFB731B" w:rsidR="00000804" w:rsidRDefault="00FC48AD" w:rsidP="00000804">
      <w:pPr>
        <w:rPr>
          <w:b/>
          <w:bCs/>
          <w:color w:val="1F3864" w:themeColor="accent1" w:themeShade="80"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74624" behindDoc="1" locked="0" layoutInCell="1" allowOverlap="1" wp14:anchorId="54E68225" wp14:editId="372A2DD9">
            <wp:simplePos x="0" y="0"/>
            <wp:positionH relativeFrom="margin">
              <wp:posOffset>4371340</wp:posOffset>
            </wp:positionH>
            <wp:positionV relativeFrom="paragraph">
              <wp:posOffset>295275</wp:posOffset>
            </wp:positionV>
            <wp:extent cx="4543425" cy="2638425"/>
            <wp:effectExtent l="0" t="0" r="9525" b="9525"/>
            <wp:wrapTight wrapText="bothSides">
              <wp:wrapPolygon edited="0">
                <wp:start x="0" y="0"/>
                <wp:lineTo x="0" y="21522"/>
                <wp:lineTo x="21555" y="21522"/>
                <wp:lineTo x="21555" y="0"/>
                <wp:lineTo x="0" y="0"/>
              </wp:wrapPolygon>
            </wp:wrapTight>
            <wp:docPr id="2" name="Chart 2">
              <a:extLst xmlns:a="http://schemas.openxmlformats.org/drawingml/2006/main">
                <a:ext uri="{FF2B5EF4-FFF2-40B4-BE49-F238E27FC236}">
                  <a16:creationId xmlns:a16="http://schemas.microsoft.com/office/drawing/2014/main" id="{F3875EEA-052B-EA7F-8612-BF210540505F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tbl>
      <w:tblPr>
        <w:tblW w:w="6420" w:type="dxa"/>
        <w:tblLook w:val="04A0" w:firstRow="1" w:lastRow="0" w:firstColumn="1" w:lastColumn="0" w:noHBand="0" w:noVBand="1"/>
      </w:tblPr>
      <w:tblGrid>
        <w:gridCol w:w="2140"/>
        <w:gridCol w:w="2140"/>
        <w:gridCol w:w="2140"/>
      </w:tblGrid>
      <w:tr w:rsidR="00FC48AD" w:rsidRPr="00520765" w14:paraId="15144002" w14:textId="77777777" w:rsidTr="00520765">
        <w:trPr>
          <w:trHeight w:val="1155"/>
        </w:trPr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203764"/>
            <w:vAlign w:val="center"/>
            <w:hideMark/>
          </w:tcPr>
          <w:p w14:paraId="7ACA84AD" w14:textId="54E95A1E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>
              <w:rPr>
                <w:rFonts w:ascii="Calibri" w:hAnsi="Calibri" w:cs="Calibri"/>
                <w:color w:val="FFFFFF"/>
              </w:rPr>
              <w:t>Number of Presentations</w:t>
            </w:r>
          </w:p>
        </w:tc>
        <w:tc>
          <w:tcPr>
            <w:tcW w:w="2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vAlign w:val="center"/>
            <w:hideMark/>
          </w:tcPr>
          <w:p w14:paraId="4650CBC5" w14:textId="1D7D3755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>
              <w:rPr>
                <w:rFonts w:ascii="Calibri" w:hAnsi="Calibri" w:cs="Calibri"/>
                <w:color w:val="FFFFFF"/>
              </w:rPr>
              <w:t>Swansea Bay UHB</w:t>
            </w:r>
          </w:p>
        </w:tc>
        <w:tc>
          <w:tcPr>
            <w:tcW w:w="2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vAlign w:val="center"/>
            <w:hideMark/>
          </w:tcPr>
          <w:p w14:paraId="24A62633" w14:textId="5EEB70D0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>
              <w:rPr>
                <w:rFonts w:ascii="Calibri" w:hAnsi="Calibri" w:cs="Calibri"/>
                <w:color w:val="FFFFFF"/>
              </w:rPr>
              <w:t>All Wales Avg.</w:t>
            </w:r>
          </w:p>
        </w:tc>
      </w:tr>
      <w:tr w:rsidR="00FC48AD" w:rsidRPr="00520765" w14:paraId="45B5A98E" w14:textId="77777777" w:rsidTr="00520765">
        <w:trPr>
          <w:trHeight w:val="67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E83929" w14:textId="6B4C031F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2019/20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E5A8B9" w14:textId="280ABD11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71</w:t>
            </w:r>
          </w:p>
        </w:tc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8677FB" w14:textId="1728DC01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36</w:t>
            </w:r>
          </w:p>
        </w:tc>
      </w:tr>
      <w:tr w:rsidR="00FC48AD" w:rsidRPr="00520765" w14:paraId="0B0BFEFA" w14:textId="77777777" w:rsidTr="00520765">
        <w:trPr>
          <w:trHeight w:val="67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369077" w14:textId="536C47D7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2020/21</w:t>
            </w:r>
          </w:p>
        </w:tc>
        <w:tc>
          <w:tcPr>
            <w:tcW w:w="2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5103F0" w14:textId="13966C53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30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10FECE" w14:textId="30C57B5E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12</w:t>
            </w:r>
          </w:p>
        </w:tc>
      </w:tr>
      <w:tr w:rsidR="00FC48AD" w:rsidRPr="00520765" w14:paraId="773A3269" w14:textId="77777777" w:rsidTr="00520765">
        <w:trPr>
          <w:trHeight w:val="67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418400" w14:textId="5026D803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2021/22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71E344" w14:textId="2C7E2D8C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65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289DC9" w14:textId="244E080C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17</w:t>
            </w:r>
          </w:p>
        </w:tc>
      </w:tr>
      <w:tr w:rsidR="00FC48AD" w:rsidRPr="00520765" w14:paraId="4FA33882" w14:textId="77777777" w:rsidTr="00520765">
        <w:trPr>
          <w:trHeight w:val="67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ACD2DE" w14:textId="2ED5A79E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2022/23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2257B5" w14:textId="7D116F9B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51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8B720E" w14:textId="3B12A621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20</w:t>
            </w:r>
          </w:p>
        </w:tc>
      </w:tr>
    </w:tbl>
    <w:p w14:paraId="0DB74362" w14:textId="4753E0B5" w:rsidR="00000804" w:rsidRDefault="00520765" w:rsidP="00000804">
      <w:pPr>
        <w:rPr>
          <w:b/>
          <w:bCs/>
          <w:color w:val="1F3864" w:themeColor="accent1" w:themeShade="80"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71552" behindDoc="1" locked="0" layoutInCell="1" allowOverlap="1" wp14:anchorId="1BAB3DF0" wp14:editId="402E683D">
            <wp:simplePos x="0" y="0"/>
            <wp:positionH relativeFrom="margin">
              <wp:posOffset>4362450</wp:posOffset>
            </wp:positionH>
            <wp:positionV relativeFrom="paragraph">
              <wp:posOffset>335280</wp:posOffset>
            </wp:positionV>
            <wp:extent cx="4533900" cy="2569210"/>
            <wp:effectExtent l="0" t="0" r="0" b="2540"/>
            <wp:wrapTight wrapText="bothSides">
              <wp:wrapPolygon edited="0">
                <wp:start x="0" y="0"/>
                <wp:lineTo x="0" y="21461"/>
                <wp:lineTo x="21509" y="21461"/>
                <wp:lineTo x="21509" y="0"/>
                <wp:lineTo x="0" y="0"/>
              </wp:wrapPolygon>
            </wp:wrapTight>
            <wp:docPr id="10" name="Chart 10">
              <a:extLst xmlns:a="http://schemas.openxmlformats.org/drawingml/2006/main">
                <a:ext uri="{FF2B5EF4-FFF2-40B4-BE49-F238E27FC236}">
                  <a16:creationId xmlns:a16="http://schemas.microsoft.com/office/drawing/2014/main" id="{23A5FD60-BDB6-69ED-9421-57F6AE8811C2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tbl>
      <w:tblPr>
        <w:tblW w:w="6420" w:type="dxa"/>
        <w:tblLook w:val="04A0" w:firstRow="1" w:lastRow="0" w:firstColumn="1" w:lastColumn="0" w:noHBand="0" w:noVBand="1"/>
      </w:tblPr>
      <w:tblGrid>
        <w:gridCol w:w="2140"/>
        <w:gridCol w:w="2140"/>
        <w:gridCol w:w="2140"/>
      </w:tblGrid>
      <w:tr w:rsidR="00FC48AD" w:rsidRPr="00520765" w14:paraId="3F4CC1EA" w14:textId="77777777" w:rsidTr="00520765">
        <w:trPr>
          <w:trHeight w:val="1155"/>
        </w:trPr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203764"/>
            <w:vAlign w:val="center"/>
            <w:hideMark/>
          </w:tcPr>
          <w:p w14:paraId="2547D8D2" w14:textId="45F84418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>
              <w:rPr>
                <w:rFonts w:ascii="Calibri" w:hAnsi="Calibri" w:cs="Calibri"/>
                <w:color w:val="FFFFFF"/>
              </w:rPr>
              <w:t>Number of Attendees</w:t>
            </w:r>
          </w:p>
        </w:tc>
        <w:tc>
          <w:tcPr>
            <w:tcW w:w="2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vAlign w:val="center"/>
            <w:hideMark/>
          </w:tcPr>
          <w:p w14:paraId="5055B838" w14:textId="595F5425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>
              <w:rPr>
                <w:rFonts w:ascii="Calibri" w:hAnsi="Calibri" w:cs="Calibri"/>
                <w:color w:val="FFFFFF"/>
              </w:rPr>
              <w:t>Swansea Bay UHB</w:t>
            </w:r>
          </w:p>
        </w:tc>
        <w:tc>
          <w:tcPr>
            <w:tcW w:w="2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vAlign w:val="center"/>
            <w:hideMark/>
          </w:tcPr>
          <w:p w14:paraId="03892493" w14:textId="63A16C56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>
              <w:rPr>
                <w:rFonts w:ascii="Calibri" w:hAnsi="Calibri" w:cs="Calibri"/>
                <w:color w:val="FFFFFF"/>
              </w:rPr>
              <w:t>All Wales Avg.</w:t>
            </w:r>
          </w:p>
        </w:tc>
      </w:tr>
      <w:tr w:rsidR="00FC48AD" w:rsidRPr="00520765" w14:paraId="1F3430A1" w14:textId="77777777" w:rsidTr="00520765">
        <w:trPr>
          <w:trHeight w:val="67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B815C8" w14:textId="431927F6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2019/20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288972" w14:textId="35B689FD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2264</w:t>
            </w:r>
          </w:p>
        </w:tc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2DDAEA" w14:textId="2B146A28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952</w:t>
            </w:r>
          </w:p>
        </w:tc>
      </w:tr>
      <w:tr w:rsidR="00FC48AD" w:rsidRPr="00520765" w14:paraId="46F94446" w14:textId="77777777" w:rsidTr="00520765">
        <w:trPr>
          <w:trHeight w:val="67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3A605D" w14:textId="37BFE685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2020/21</w:t>
            </w:r>
          </w:p>
        </w:tc>
        <w:tc>
          <w:tcPr>
            <w:tcW w:w="2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8F9B63" w14:textId="6197DD85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541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49095F" w14:textId="75D19489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221</w:t>
            </w:r>
          </w:p>
        </w:tc>
      </w:tr>
      <w:tr w:rsidR="00FC48AD" w:rsidRPr="00520765" w14:paraId="32D6F7F5" w14:textId="77777777" w:rsidTr="00520765">
        <w:trPr>
          <w:trHeight w:val="67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BD0533" w14:textId="1707CEF8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2021/22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7D6937" w14:textId="700AB9C4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1004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3A4E35" w14:textId="2A792F89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311</w:t>
            </w:r>
          </w:p>
        </w:tc>
      </w:tr>
      <w:tr w:rsidR="00FC48AD" w:rsidRPr="00520765" w14:paraId="68591DB6" w14:textId="77777777" w:rsidTr="00520765">
        <w:trPr>
          <w:trHeight w:val="67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F34E63" w14:textId="4C46F90F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2022/23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132ABE" w14:textId="3F3FCE64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591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5BA1C0" w14:textId="099BFC65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479</w:t>
            </w:r>
          </w:p>
        </w:tc>
      </w:tr>
      <w:tr w:rsidR="00FC48AD" w:rsidRPr="00520765" w14:paraId="11E60B6D" w14:textId="77777777" w:rsidTr="00520765">
        <w:trPr>
          <w:trHeight w:val="1155"/>
        </w:trPr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203764"/>
            <w:vAlign w:val="center"/>
            <w:hideMark/>
          </w:tcPr>
          <w:p w14:paraId="553A865E" w14:textId="078FF484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>
              <w:rPr>
                <w:rFonts w:ascii="Calibri" w:hAnsi="Calibri" w:cs="Calibri"/>
                <w:color w:val="FFFFFF"/>
              </w:rPr>
              <w:t>Average Attendance of a Presentation</w:t>
            </w:r>
          </w:p>
        </w:tc>
        <w:tc>
          <w:tcPr>
            <w:tcW w:w="2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vAlign w:val="center"/>
            <w:hideMark/>
          </w:tcPr>
          <w:p w14:paraId="414199F1" w14:textId="0B8D2E2E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>
              <w:rPr>
                <w:rFonts w:ascii="Calibri" w:hAnsi="Calibri" w:cs="Calibri"/>
                <w:color w:val="FFFFFF"/>
              </w:rPr>
              <w:t>Swansea Bay UHB</w:t>
            </w:r>
          </w:p>
        </w:tc>
        <w:tc>
          <w:tcPr>
            <w:tcW w:w="2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vAlign w:val="center"/>
            <w:hideMark/>
          </w:tcPr>
          <w:p w14:paraId="0CBB8B92" w14:textId="7843BC99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>
              <w:rPr>
                <w:rFonts w:ascii="Calibri" w:hAnsi="Calibri" w:cs="Calibri"/>
                <w:color w:val="FFFFFF"/>
              </w:rPr>
              <w:t>All Wales Avg.</w:t>
            </w:r>
          </w:p>
        </w:tc>
      </w:tr>
      <w:tr w:rsidR="00FC48AD" w:rsidRPr="00520765" w14:paraId="15A97D9D" w14:textId="77777777" w:rsidTr="00520765">
        <w:trPr>
          <w:trHeight w:val="67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510E98" w14:textId="7EBCCD36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2019/20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A9A752" w14:textId="68D05CE6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32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84E747" w14:textId="4643ACF0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27</w:t>
            </w:r>
          </w:p>
        </w:tc>
      </w:tr>
      <w:tr w:rsidR="00FC48AD" w:rsidRPr="00520765" w14:paraId="4DE77846" w14:textId="77777777" w:rsidTr="00520765">
        <w:trPr>
          <w:trHeight w:val="67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44BC50" w14:textId="31EAA053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2020/21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F91F74" w14:textId="7D6AA8A0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18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388F8B" w14:textId="7FE0AAEC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19</w:t>
            </w:r>
          </w:p>
        </w:tc>
      </w:tr>
      <w:tr w:rsidR="00FC48AD" w:rsidRPr="00520765" w14:paraId="21CB99B4" w14:textId="77777777" w:rsidTr="00520765">
        <w:trPr>
          <w:trHeight w:val="67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FDF8C9" w14:textId="437B1751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2021/22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3E0B51" w14:textId="2B2E3356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15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44E32A" w14:textId="53C99DCB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19</w:t>
            </w:r>
          </w:p>
        </w:tc>
      </w:tr>
      <w:tr w:rsidR="00FC48AD" w:rsidRPr="00520765" w14:paraId="2F7DD153" w14:textId="77777777" w:rsidTr="00520765">
        <w:trPr>
          <w:trHeight w:val="67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D44C5C" w14:textId="2D512B04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2022/23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822137" w14:textId="0327E8B3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12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4112DF" w14:textId="5F86F654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24</w:t>
            </w:r>
          </w:p>
        </w:tc>
      </w:tr>
    </w:tbl>
    <w:p w14:paraId="3A6770C1" w14:textId="7487822E" w:rsidR="00520765" w:rsidRDefault="00011465" w:rsidP="00000804">
      <w:pPr>
        <w:rPr>
          <w:b/>
          <w:bCs/>
          <w:color w:val="1F3864" w:themeColor="accent1" w:themeShade="80"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73600" behindDoc="1" locked="0" layoutInCell="1" allowOverlap="1" wp14:anchorId="30049AB8" wp14:editId="21B72835">
            <wp:simplePos x="0" y="0"/>
            <wp:positionH relativeFrom="margin">
              <wp:posOffset>4533265</wp:posOffset>
            </wp:positionH>
            <wp:positionV relativeFrom="paragraph">
              <wp:posOffset>304800</wp:posOffset>
            </wp:positionV>
            <wp:extent cx="4581525" cy="2543175"/>
            <wp:effectExtent l="0" t="0" r="9525" b="9525"/>
            <wp:wrapTight wrapText="bothSides">
              <wp:wrapPolygon edited="0">
                <wp:start x="0" y="0"/>
                <wp:lineTo x="0" y="21519"/>
                <wp:lineTo x="21555" y="21519"/>
                <wp:lineTo x="21555" y="0"/>
                <wp:lineTo x="0" y="0"/>
              </wp:wrapPolygon>
            </wp:wrapTight>
            <wp:docPr id="12" name="Chart 12">
              <a:extLst xmlns:a="http://schemas.openxmlformats.org/drawingml/2006/main">
                <a:ext uri="{FF2B5EF4-FFF2-40B4-BE49-F238E27FC236}">
                  <a16:creationId xmlns:a16="http://schemas.microsoft.com/office/drawing/2014/main" id="{BEC28351-7D52-0034-29FE-DB1444D2AE6B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2576" behindDoc="0" locked="0" layoutInCell="1" allowOverlap="1" wp14:anchorId="683449F2" wp14:editId="57A4DEEA">
            <wp:simplePos x="0" y="0"/>
            <wp:positionH relativeFrom="column">
              <wp:posOffset>4533900</wp:posOffset>
            </wp:positionH>
            <wp:positionV relativeFrom="paragraph">
              <wp:posOffset>-2495550</wp:posOffset>
            </wp:positionV>
            <wp:extent cx="4562475" cy="2554605"/>
            <wp:effectExtent l="0" t="0" r="9525" b="17145"/>
            <wp:wrapNone/>
            <wp:docPr id="11" name="Chart 11">
              <a:extLst xmlns:a="http://schemas.openxmlformats.org/drawingml/2006/main">
                <a:ext uri="{FF2B5EF4-FFF2-40B4-BE49-F238E27FC236}">
                  <a16:creationId xmlns:a16="http://schemas.microsoft.com/office/drawing/2014/main" id="{D6B4B608-41C0-4B58-C37A-0C49D13521C2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anchor>
        </w:drawing>
      </w:r>
    </w:p>
    <w:tbl>
      <w:tblPr>
        <w:tblW w:w="6420" w:type="dxa"/>
        <w:tblLook w:val="04A0" w:firstRow="1" w:lastRow="0" w:firstColumn="1" w:lastColumn="0" w:noHBand="0" w:noVBand="1"/>
      </w:tblPr>
      <w:tblGrid>
        <w:gridCol w:w="2140"/>
        <w:gridCol w:w="2140"/>
        <w:gridCol w:w="2140"/>
      </w:tblGrid>
      <w:tr w:rsidR="00FC48AD" w:rsidRPr="00520765" w14:paraId="46E4788E" w14:textId="77777777" w:rsidTr="00520765">
        <w:trPr>
          <w:trHeight w:val="1155"/>
        </w:trPr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203764"/>
            <w:vAlign w:val="center"/>
            <w:hideMark/>
          </w:tcPr>
          <w:p w14:paraId="35626861" w14:textId="0B5A91D7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>
              <w:rPr>
                <w:rFonts w:ascii="Calibri" w:hAnsi="Calibri" w:cs="Calibri"/>
                <w:color w:val="FFFFFF"/>
              </w:rPr>
              <w:t>Attendance of Presentations as % Staff Headcount</w:t>
            </w:r>
          </w:p>
        </w:tc>
        <w:tc>
          <w:tcPr>
            <w:tcW w:w="2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vAlign w:val="center"/>
            <w:hideMark/>
          </w:tcPr>
          <w:p w14:paraId="1B4B20D1" w14:textId="199C7388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>
              <w:rPr>
                <w:rFonts w:ascii="Calibri" w:hAnsi="Calibri" w:cs="Calibri"/>
                <w:color w:val="FFFFFF"/>
              </w:rPr>
              <w:t>Swansea Bay UHB</w:t>
            </w:r>
          </w:p>
        </w:tc>
        <w:tc>
          <w:tcPr>
            <w:tcW w:w="2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vAlign w:val="center"/>
            <w:hideMark/>
          </w:tcPr>
          <w:p w14:paraId="2C36A1A8" w14:textId="491BFC72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>
              <w:rPr>
                <w:rFonts w:ascii="Calibri" w:hAnsi="Calibri" w:cs="Calibri"/>
                <w:color w:val="FFFFFF"/>
              </w:rPr>
              <w:t>All Wales Avg.</w:t>
            </w:r>
          </w:p>
        </w:tc>
      </w:tr>
      <w:tr w:rsidR="00FC48AD" w:rsidRPr="00520765" w14:paraId="5C73A809" w14:textId="77777777" w:rsidTr="00520765">
        <w:trPr>
          <w:trHeight w:val="67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F1C736" w14:textId="7AC5BAA9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2019/20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744479" w14:textId="4DD6319F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16.9%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73B856" w14:textId="38E58774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11%</w:t>
            </w:r>
          </w:p>
        </w:tc>
      </w:tr>
      <w:tr w:rsidR="00FC48AD" w:rsidRPr="00520765" w14:paraId="4DC15033" w14:textId="77777777" w:rsidTr="00520765">
        <w:trPr>
          <w:trHeight w:val="67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025794" w14:textId="494B19F4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2020/21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E6C1B3" w14:textId="772338E1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4.0%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A1D050" w14:textId="39393194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2.6%</w:t>
            </w:r>
          </w:p>
        </w:tc>
      </w:tr>
      <w:tr w:rsidR="00FC48AD" w:rsidRPr="00520765" w14:paraId="0BA1598F" w14:textId="77777777" w:rsidTr="00520765">
        <w:trPr>
          <w:trHeight w:val="67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2E84C7" w14:textId="5D754D14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2021/22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A88E5F" w14:textId="38E3FD01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7.5%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6AC8AD" w14:textId="1E41AE6D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3.9%</w:t>
            </w:r>
          </w:p>
        </w:tc>
      </w:tr>
      <w:tr w:rsidR="00FC48AD" w:rsidRPr="00520765" w14:paraId="737B3E53" w14:textId="77777777" w:rsidTr="00520765">
        <w:trPr>
          <w:trHeight w:val="67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F58C14" w14:textId="557DC7A0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2022/23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0BBFE5" w14:textId="63D5B84C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4.4%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CD8BDC" w14:textId="01FB534B" w:rsidR="00FC48AD" w:rsidRPr="00520765" w:rsidRDefault="00FC48AD" w:rsidP="00FC48A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hAnsi="Calibri" w:cs="Calibri"/>
                <w:color w:val="000000"/>
              </w:rPr>
              <w:t>6%</w:t>
            </w:r>
          </w:p>
        </w:tc>
      </w:tr>
    </w:tbl>
    <w:p w14:paraId="5E0C3875" w14:textId="616ED8FE" w:rsidR="00011465" w:rsidRDefault="00011465" w:rsidP="00520765">
      <w:pPr>
        <w:rPr>
          <w:b/>
          <w:bCs/>
          <w:color w:val="1F3864" w:themeColor="accent1" w:themeShade="80"/>
          <w:sz w:val="28"/>
          <w:szCs w:val="28"/>
        </w:rPr>
      </w:pPr>
    </w:p>
    <w:sectPr w:rsidR="00011465" w:rsidSect="00011465">
      <w:headerReference w:type="default" r:id="rId14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32CB9A" w14:textId="77777777" w:rsidR="00000804" w:rsidRDefault="00000804" w:rsidP="00000804">
      <w:pPr>
        <w:spacing w:after="0" w:line="240" w:lineRule="auto"/>
      </w:pPr>
      <w:r>
        <w:separator/>
      </w:r>
    </w:p>
  </w:endnote>
  <w:endnote w:type="continuationSeparator" w:id="0">
    <w:p w14:paraId="61FB315F" w14:textId="77777777" w:rsidR="00000804" w:rsidRDefault="00000804" w:rsidP="000008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CB3E29" w14:textId="77777777" w:rsidR="00000804" w:rsidRDefault="00000804" w:rsidP="00000804">
      <w:pPr>
        <w:spacing w:after="0" w:line="240" w:lineRule="auto"/>
      </w:pPr>
      <w:r>
        <w:separator/>
      </w:r>
    </w:p>
  </w:footnote>
  <w:footnote w:type="continuationSeparator" w:id="0">
    <w:p w14:paraId="548813B2" w14:textId="77777777" w:rsidR="00000804" w:rsidRDefault="00000804" w:rsidP="000008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61A5F7" w14:textId="3E8630A3" w:rsidR="00000804" w:rsidRDefault="00000804">
    <w:pPr>
      <w:pStyle w:val="Header"/>
    </w:pPr>
    <w:r>
      <w:rPr>
        <w:b/>
        <w:bCs/>
        <w:color w:val="1F3864" w:themeColor="accent1" w:themeShade="80"/>
        <w:sz w:val="28"/>
        <w:szCs w:val="28"/>
      </w:rPr>
      <w:t xml:space="preserve">Counter Fraud </w:t>
    </w:r>
    <w:r w:rsidRPr="00000804">
      <w:rPr>
        <w:b/>
        <w:bCs/>
        <w:color w:val="1F3864" w:themeColor="accent1" w:themeShade="80"/>
        <w:sz w:val="28"/>
        <w:szCs w:val="28"/>
      </w:rPr>
      <w:t>Statistics</w:t>
    </w:r>
    <w:r>
      <w:rPr>
        <w:b/>
        <w:bCs/>
        <w:color w:val="1F3864" w:themeColor="accent1" w:themeShade="80"/>
        <w:sz w:val="28"/>
        <w:szCs w:val="28"/>
      </w:rPr>
      <w:t xml:space="preserve"> </w:t>
    </w:r>
    <w:r w:rsidR="00011465">
      <w:rPr>
        <w:b/>
        <w:bCs/>
        <w:color w:val="1F3864" w:themeColor="accent1" w:themeShade="80"/>
        <w:sz w:val="28"/>
        <w:szCs w:val="28"/>
      </w:rPr>
      <w:t>–</w:t>
    </w:r>
    <w:r>
      <w:rPr>
        <w:b/>
        <w:bCs/>
        <w:color w:val="1F3864" w:themeColor="accent1" w:themeShade="80"/>
        <w:sz w:val="28"/>
        <w:szCs w:val="28"/>
      </w:rPr>
      <w:t xml:space="preserve"> </w:t>
    </w:r>
    <w:r w:rsidR="00FC48AD">
      <w:rPr>
        <w:b/>
        <w:bCs/>
        <w:color w:val="1F3864" w:themeColor="accent1" w:themeShade="80"/>
        <w:sz w:val="28"/>
        <w:szCs w:val="28"/>
      </w:rPr>
      <w:t>Full Year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00804"/>
    <w:rsid w:val="00000804"/>
    <w:rsid w:val="00011465"/>
    <w:rsid w:val="000958AC"/>
    <w:rsid w:val="00520765"/>
    <w:rsid w:val="007A7516"/>
    <w:rsid w:val="00EE6524"/>
    <w:rsid w:val="00FC48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63D6601"/>
  <w15:chartTrackingRefBased/>
  <w15:docId w15:val="{115BC69E-B89F-4A70-9289-8A84A760DC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00080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00804"/>
  </w:style>
  <w:style w:type="paragraph" w:styleId="Footer">
    <w:name w:val="footer"/>
    <w:basedOn w:val="Normal"/>
    <w:link w:val="FooterChar"/>
    <w:uiPriority w:val="99"/>
    <w:unhideWhenUsed/>
    <w:rsid w:val="0000080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0080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389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66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05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823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037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125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363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82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562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64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61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21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15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55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00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1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93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648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4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73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openxmlformats.org/officeDocument/2006/relationships/chart" Target="charts/chart6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chart" Target="charts/chart5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chart" Target="charts/chart4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chart" Target="charts/chart3.xml"/><Relationship Id="rId4" Type="http://schemas.openxmlformats.org/officeDocument/2006/relationships/webSettings" Target="webSettings.xml"/><Relationship Id="rId9" Type="http://schemas.openxmlformats.org/officeDocument/2006/relationships/chart" Target="charts/chart2.xml"/><Relationship Id="rId14" Type="http://schemas.openxmlformats.org/officeDocument/2006/relationships/header" Target="header1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1.xml"/><Relationship Id="rId2" Type="http://schemas.microsoft.com/office/2011/relationships/chartColorStyle" Target="colors1.xml"/><Relationship Id="rId1" Type="http://schemas.microsoft.com/office/2011/relationships/chartStyle" Target="style1.xml"/><Relationship Id="rId4" Type="http://schemas.openxmlformats.org/officeDocument/2006/relationships/oleObject" Target="file:///\\cymru.nhs.uk\abm_ulhb\group\ststorage\Counter%20Fraud\4.%20Strategic%20Governance\Operational%20Performance%20Stats\Operational%20Stats%20Analysis.xlsx" TargetMode="Externa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2.xml"/><Relationship Id="rId2" Type="http://schemas.microsoft.com/office/2011/relationships/chartColorStyle" Target="colors2.xml"/><Relationship Id="rId1" Type="http://schemas.microsoft.com/office/2011/relationships/chartStyle" Target="style2.xml"/><Relationship Id="rId4" Type="http://schemas.openxmlformats.org/officeDocument/2006/relationships/oleObject" Target="file:///\\cymru.nhs.uk\abm_ulhb\group\ststorage\Counter%20Fraud\4.%20Strategic%20Governance\Operational%20Performance%20Stats\Operational%20Stats%20Analysis.xlsx" TargetMode="External"/></Relationships>
</file>

<file path=word/charts/_rels/chart3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3.xml"/><Relationship Id="rId2" Type="http://schemas.microsoft.com/office/2011/relationships/chartColorStyle" Target="colors3.xml"/><Relationship Id="rId1" Type="http://schemas.microsoft.com/office/2011/relationships/chartStyle" Target="style3.xml"/><Relationship Id="rId4" Type="http://schemas.openxmlformats.org/officeDocument/2006/relationships/package" Target="../embeddings/Microsoft_Excel_Worksheet.xlsx"/></Relationships>
</file>

<file path=word/charts/_rels/chart4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4.xml"/><Relationship Id="rId2" Type="http://schemas.microsoft.com/office/2011/relationships/chartColorStyle" Target="colors4.xml"/><Relationship Id="rId1" Type="http://schemas.microsoft.com/office/2011/relationships/chartStyle" Target="style4.xml"/><Relationship Id="rId4" Type="http://schemas.openxmlformats.org/officeDocument/2006/relationships/oleObject" Target="file:///\\cymru.nhs.uk\abm_ulhb\group\ststorage\Counter%20Fraud\4.%20Strategic%20Governance\Operational%20Performance%20Stats\Operational%20Stats%20Analysis.xlsx" TargetMode="External"/></Relationships>
</file>

<file path=word/charts/_rels/chart5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5.xml"/><Relationship Id="rId2" Type="http://schemas.microsoft.com/office/2011/relationships/chartColorStyle" Target="colors5.xml"/><Relationship Id="rId1" Type="http://schemas.microsoft.com/office/2011/relationships/chartStyle" Target="style5.xml"/><Relationship Id="rId4" Type="http://schemas.openxmlformats.org/officeDocument/2006/relationships/oleObject" Target="file:///\\cymru.nhs.uk\abm_ulhb\group\ststorage\Counter%20Fraud\4.%20Strategic%20Governance\Operational%20Performance%20Stats\Operational%20Stats%20Analysis.xlsx" TargetMode="External"/></Relationships>
</file>

<file path=word/charts/_rels/chart6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6.xml"/><Relationship Id="rId2" Type="http://schemas.microsoft.com/office/2011/relationships/chartColorStyle" Target="colors6.xml"/><Relationship Id="rId1" Type="http://schemas.microsoft.com/office/2011/relationships/chartStyle" Target="style6.xml"/><Relationship Id="rId4" Type="http://schemas.openxmlformats.org/officeDocument/2006/relationships/oleObject" Target="file:///\\cymru.nhs.uk\abm_ulhb\group\ststorage\Counter%20Fraud\4.%20Strategic%20Governance\Operational%20Performance%20Stats\Operational%20Stats%20Analysis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GB"/>
              <a:t>Case Referral Rate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'Ops Analysis'!$C$6</c:f>
              <c:strCache>
                <c:ptCount val="1"/>
                <c:pt idx="0">
                  <c:v>Swansea Bay UHB</c:v>
                </c:pt>
              </c:strCache>
            </c:strRef>
          </c:tx>
          <c:spPr>
            <a:solidFill>
              <a:schemeClr val="accent1">
                <a:lumMod val="50000"/>
              </a:schemeClr>
            </a:solidFill>
            <a:ln>
              <a:noFill/>
            </a:ln>
            <a:effectLst/>
          </c:spPr>
          <c:invertIfNegative val="0"/>
          <c:cat>
            <c:strRef>
              <c:f>'Ops Analysis'!$B$7:$B$10</c:f>
              <c:strCache>
                <c:ptCount val="4"/>
                <c:pt idx="0">
                  <c:v>2019/20</c:v>
                </c:pt>
                <c:pt idx="1">
                  <c:v>2020/21</c:v>
                </c:pt>
                <c:pt idx="2">
                  <c:v>2021/22</c:v>
                </c:pt>
                <c:pt idx="3">
                  <c:v>2022/23</c:v>
                </c:pt>
              </c:strCache>
            </c:strRef>
          </c:cat>
          <c:val>
            <c:numRef>
              <c:f>'Ops Analysis'!$C$7:$C$10</c:f>
              <c:numCache>
                <c:formatCode>General</c:formatCode>
                <c:ptCount val="4"/>
                <c:pt idx="0">
                  <c:v>25</c:v>
                </c:pt>
                <c:pt idx="1">
                  <c:v>19</c:v>
                </c:pt>
                <c:pt idx="2">
                  <c:v>23</c:v>
                </c:pt>
                <c:pt idx="3">
                  <c:v>39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4300-4816-8FCA-88268B3F000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1723913632"/>
        <c:axId val="1723916128"/>
      </c:barChart>
      <c:lineChart>
        <c:grouping val="standard"/>
        <c:varyColors val="0"/>
        <c:ser>
          <c:idx val="1"/>
          <c:order val="1"/>
          <c:tx>
            <c:strRef>
              <c:f>'Ops Analysis'!$D$6</c:f>
              <c:strCache>
                <c:ptCount val="1"/>
                <c:pt idx="0">
                  <c:v>All Wales Avg.</c:v>
                </c:pt>
              </c:strCache>
            </c:strRef>
          </c:tx>
          <c:spPr>
            <a:ln w="28575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cat>
            <c:strRef>
              <c:f>'Ops Analysis'!$B$7:$B$10</c:f>
              <c:strCache>
                <c:ptCount val="4"/>
                <c:pt idx="0">
                  <c:v>2019/20</c:v>
                </c:pt>
                <c:pt idx="1">
                  <c:v>2020/21</c:v>
                </c:pt>
                <c:pt idx="2">
                  <c:v>2021/22</c:v>
                </c:pt>
                <c:pt idx="3">
                  <c:v>2022/23</c:v>
                </c:pt>
              </c:strCache>
            </c:strRef>
          </c:cat>
          <c:val>
            <c:numRef>
              <c:f>'Ops Analysis'!$D$7:$D$10</c:f>
              <c:numCache>
                <c:formatCode>0.0</c:formatCode>
                <c:ptCount val="4"/>
                <c:pt idx="0">
                  <c:v>12.583333333333334</c:v>
                </c:pt>
                <c:pt idx="1">
                  <c:v>8.8333333333333321</c:v>
                </c:pt>
                <c:pt idx="2">
                  <c:v>14.538461538461538</c:v>
                </c:pt>
                <c:pt idx="3">
                  <c:v>18.384615384615383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1-4300-4816-8FCA-88268B3F000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723913632"/>
        <c:axId val="1723916128"/>
      </c:lineChart>
      <c:catAx>
        <c:axId val="1723913632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723916128"/>
        <c:crosses val="autoZero"/>
        <c:auto val="1"/>
        <c:lblAlgn val="ctr"/>
        <c:lblOffset val="100"/>
        <c:noMultiLvlLbl val="0"/>
      </c:catAx>
      <c:valAx>
        <c:axId val="1723916128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723913632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4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GB"/>
              <a:t>Case Closure</a:t>
            </a:r>
            <a:r>
              <a:rPr lang="en-GB" baseline="0"/>
              <a:t> Rate</a:t>
            </a:r>
            <a:endParaRPr lang="en-GB"/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'Ops Analysis'!$C$15</c:f>
              <c:strCache>
                <c:ptCount val="1"/>
                <c:pt idx="0">
                  <c:v>Swansea Bay UHB</c:v>
                </c:pt>
              </c:strCache>
            </c:strRef>
          </c:tx>
          <c:spPr>
            <a:solidFill>
              <a:srgbClr val="4472C4">
                <a:lumMod val="50000"/>
              </a:srgbClr>
            </a:solidFill>
            <a:ln>
              <a:noFill/>
            </a:ln>
            <a:effectLst/>
          </c:spPr>
          <c:invertIfNegative val="0"/>
          <c:cat>
            <c:strRef>
              <c:f>'Ops Analysis'!$B$16:$B$19</c:f>
              <c:strCache>
                <c:ptCount val="4"/>
                <c:pt idx="0">
                  <c:v>2019/20</c:v>
                </c:pt>
                <c:pt idx="1">
                  <c:v>2020/21</c:v>
                </c:pt>
                <c:pt idx="2">
                  <c:v>2021/22</c:v>
                </c:pt>
                <c:pt idx="3">
                  <c:v>2022/23</c:v>
                </c:pt>
              </c:strCache>
            </c:strRef>
          </c:cat>
          <c:val>
            <c:numRef>
              <c:f>'Ops Analysis'!$C$16:$C$19</c:f>
              <c:numCache>
                <c:formatCode>General</c:formatCode>
                <c:ptCount val="4"/>
                <c:pt idx="0">
                  <c:v>18</c:v>
                </c:pt>
                <c:pt idx="1">
                  <c:v>36</c:v>
                </c:pt>
                <c:pt idx="2">
                  <c:v>32</c:v>
                </c:pt>
                <c:pt idx="3">
                  <c:v>43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6094-4F69-AF66-C866A6B35512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1723913632"/>
        <c:axId val="1723916128"/>
      </c:barChart>
      <c:lineChart>
        <c:grouping val="standard"/>
        <c:varyColors val="0"/>
        <c:ser>
          <c:idx val="1"/>
          <c:order val="1"/>
          <c:tx>
            <c:strRef>
              <c:f>'Ops Analysis'!$D$15</c:f>
              <c:strCache>
                <c:ptCount val="1"/>
                <c:pt idx="0">
                  <c:v>All Wales Avg.</c:v>
                </c:pt>
              </c:strCache>
            </c:strRef>
          </c:tx>
          <c:spPr>
            <a:ln w="28575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cat>
            <c:strRef>
              <c:f>'Ops Analysis'!$B$16:$B$19</c:f>
              <c:strCache>
                <c:ptCount val="4"/>
                <c:pt idx="0">
                  <c:v>2019/20</c:v>
                </c:pt>
                <c:pt idx="1">
                  <c:v>2020/21</c:v>
                </c:pt>
                <c:pt idx="2">
                  <c:v>2021/22</c:v>
                </c:pt>
                <c:pt idx="3">
                  <c:v>2022/23</c:v>
                </c:pt>
              </c:strCache>
            </c:strRef>
          </c:cat>
          <c:val>
            <c:numRef>
              <c:f>'Ops Analysis'!$D$16:$D$19</c:f>
              <c:numCache>
                <c:formatCode>0.0</c:formatCode>
                <c:ptCount val="4"/>
                <c:pt idx="0">
                  <c:v>11.666666666666668</c:v>
                </c:pt>
                <c:pt idx="1">
                  <c:v>12.416666666666668</c:v>
                </c:pt>
                <c:pt idx="2">
                  <c:v>16.153846153846153</c:v>
                </c:pt>
                <c:pt idx="3">
                  <c:v>18.615384615384613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1-6094-4F69-AF66-C866A6B35512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723913632"/>
        <c:axId val="1723916128"/>
      </c:lineChart>
      <c:catAx>
        <c:axId val="1723913632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723916128"/>
        <c:crosses val="autoZero"/>
        <c:auto val="1"/>
        <c:lblAlgn val="ctr"/>
        <c:lblOffset val="100"/>
        <c:noMultiLvlLbl val="0"/>
      </c:catAx>
      <c:valAx>
        <c:axId val="1723916128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723913632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4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GB"/>
              <a:t>Number of Presentations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'Aware Analysis'!$F$7</c:f>
              <c:strCache>
                <c:ptCount val="1"/>
                <c:pt idx="0">
                  <c:v>Swansea Bay UHB</c:v>
                </c:pt>
              </c:strCache>
            </c:strRef>
          </c:tx>
          <c:spPr>
            <a:solidFill>
              <a:schemeClr val="accent1">
                <a:lumMod val="50000"/>
              </a:schemeClr>
            </a:solidFill>
            <a:ln>
              <a:noFill/>
            </a:ln>
            <a:effectLst/>
          </c:spPr>
          <c:invertIfNegative val="0"/>
          <c:cat>
            <c:strRef>
              <c:f>'Aware Analysis'!$E$8:$E$11</c:f>
              <c:strCache>
                <c:ptCount val="4"/>
                <c:pt idx="0">
                  <c:v>2019/20</c:v>
                </c:pt>
                <c:pt idx="1">
                  <c:v>2020/21</c:v>
                </c:pt>
                <c:pt idx="2">
                  <c:v>2021/22</c:v>
                </c:pt>
                <c:pt idx="3">
                  <c:v>2022/23</c:v>
                </c:pt>
              </c:strCache>
            </c:strRef>
          </c:cat>
          <c:val>
            <c:numRef>
              <c:f>'Aware Analysis'!$F$8:$F$11</c:f>
              <c:numCache>
                <c:formatCode>General</c:formatCode>
                <c:ptCount val="4"/>
                <c:pt idx="0">
                  <c:v>71</c:v>
                </c:pt>
                <c:pt idx="1">
                  <c:v>30</c:v>
                </c:pt>
                <c:pt idx="2">
                  <c:v>65</c:v>
                </c:pt>
                <c:pt idx="3">
                  <c:v>51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3E01-463A-9CF4-8FA6B1012127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1723913632"/>
        <c:axId val="1723916128"/>
      </c:barChart>
      <c:lineChart>
        <c:grouping val="standard"/>
        <c:varyColors val="0"/>
        <c:ser>
          <c:idx val="1"/>
          <c:order val="1"/>
          <c:tx>
            <c:strRef>
              <c:f>'Aware Analysis'!$G$7</c:f>
              <c:strCache>
                <c:ptCount val="1"/>
                <c:pt idx="0">
                  <c:v>All Wales Avg.</c:v>
                </c:pt>
              </c:strCache>
            </c:strRef>
          </c:tx>
          <c:spPr>
            <a:ln w="28575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cat>
            <c:strRef>
              <c:f>'Aware Analysis'!$E$8:$E$11</c:f>
              <c:strCache>
                <c:ptCount val="4"/>
                <c:pt idx="0">
                  <c:v>2019/20</c:v>
                </c:pt>
                <c:pt idx="1">
                  <c:v>2020/21</c:v>
                </c:pt>
                <c:pt idx="2">
                  <c:v>2021/22</c:v>
                </c:pt>
                <c:pt idx="3">
                  <c:v>2022/23</c:v>
                </c:pt>
              </c:strCache>
            </c:strRef>
          </c:cat>
          <c:val>
            <c:numRef>
              <c:f>'Aware Analysis'!$G$8:$G$11</c:f>
              <c:numCache>
                <c:formatCode>0</c:formatCode>
                <c:ptCount val="4"/>
                <c:pt idx="0">
                  <c:v>35.833333333333336</c:v>
                </c:pt>
                <c:pt idx="1">
                  <c:v>11.583333333333332</c:v>
                </c:pt>
                <c:pt idx="2">
                  <c:v>16.692307692307693</c:v>
                </c:pt>
                <c:pt idx="3">
                  <c:v>19.846153846153847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1-3E01-463A-9CF4-8FA6B1012127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723913632"/>
        <c:axId val="1723916128"/>
      </c:lineChart>
      <c:catAx>
        <c:axId val="1723913632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723916128"/>
        <c:crosses val="autoZero"/>
        <c:auto val="1"/>
        <c:lblAlgn val="ctr"/>
        <c:lblOffset val="100"/>
        <c:noMultiLvlLbl val="0"/>
      </c:catAx>
      <c:valAx>
        <c:axId val="1723916128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723913632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4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GB"/>
              <a:t>Number of Attendees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'Aware Analysis'!$F$13</c:f>
              <c:strCache>
                <c:ptCount val="1"/>
                <c:pt idx="0">
                  <c:v>Swansea Bay UHB</c:v>
                </c:pt>
              </c:strCache>
            </c:strRef>
          </c:tx>
          <c:spPr>
            <a:solidFill>
              <a:schemeClr val="accent1">
                <a:lumMod val="50000"/>
              </a:schemeClr>
            </a:solidFill>
            <a:ln>
              <a:noFill/>
            </a:ln>
            <a:effectLst/>
          </c:spPr>
          <c:invertIfNegative val="0"/>
          <c:cat>
            <c:strRef>
              <c:f>'Aware Analysis'!$E$14:$E$17</c:f>
              <c:strCache>
                <c:ptCount val="4"/>
                <c:pt idx="0">
                  <c:v>2019/20</c:v>
                </c:pt>
                <c:pt idx="1">
                  <c:v>2020/21</c:v>
                </c:pt>
                <c:pt idx="2">
                  <c:v>2021/22</c:v>
                </c:pt>
                <c:pt idx="3">
                  <c:v>2022/23</c:v>
                </c:pt>
              </c:strCache>
            </c:strRef>
          </c:cat>
          <c:val>
            <c:numRef>
              <c:f>'Aware Analysis'!$F$14:$F$17</c:f>
              <c:numCache>
                <c:formatCode>General</c:formatCode>
                <c:ptCount val="4"/>
                <c:pt idx="0">
                  <c:v>2264</c:v>
                </c:pt>
                <c:pt idx="1">
                  <c:v>541</c:v>
                </c:pt>
                <c:pt idx="2">
                  <c:v>1004</c:v>
                </c:pt>
                <c:pt idx="3">
                  <c:v>591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7BF8-4367-A21D-922BEE6FFCD9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1723913632"/>
        <c:axId val="1723916128"/>
      </c:barChart>
      <c:lineChart>
        <c:grouping val="standard"/>
        <c:varyColors val="0"/>
        <c:ser>
          <c:idx val="1"/>
          <c:order val="1"/>
          <c:tx>
            <c:strRef>
              <c:f>'Aware Analysis'!$G$13</c:f>
              <c:strCache>
                <c:ptCount val="1"/>
                <c:pt idx="0">
                  <c:v>All Wales Avg.</c:v>
                </c:pt>
              </c:strCache>
            </c:strRef>
          </c:tx>
          <c:spPr>
            <a:ln w="28575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cat>
            <c:strRef>
              <c:f>'Aware Analysis'!$E$14:$E$17</c:f>
              <c:strCache>
                <c:ptCount val="4"/>
                <c:pt idx="0">
                  <c:v>2019/20</c:v>
                </c:pt>
                <c:pt idx="1">
                  <c:v>2020/21</c:v>
                </c:pt>
                <c:pt idx="2">
                  <c:v>2021/22</c:v>
                </c:pt>
                <c:pt idx="3">
                  <c:v>2022/23</c:v>
                </c:pt>
              </c:strCache>
            </c:strRef>
          </c:cat>
          <c:val>
            <c:numRef>
              <c:f>'Aware Analysis'!$G$14:$G$17</c:f>
              <c:numCache>
                <c:formatCode>0</c:formatCode>
                <c:ptCount val="4"/>
                <c:pt idx="0">
                  <c:v>951.66666666666674</c:v>
                </c:pt>
                <c:pt idx="1">
                  <c:v>221</c:v>
                </c:pt>
                <c:pt idx="2">
                  <c:v>310.84615384615387</c:v>
                </c:pt>
                <c:pt idx="3">
                  <c:v>478.76923076923077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1-7BF8-4367-A21D-922BEE6FFCD9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723913632"/>
        <c:axId val="1723916128"/>
      </c:lineChart>
      <c:catAx>
        <c:axId val="1723913632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723916128"/>
        <c:crosses val="autoZero"/>
        <c:auto val="1"/>
        <c:lblAlgn val="ctr"/>
        <c:lblOffset val="100"/>
        <c:noMultiLvlLbl val="0"/>
      </c:catAx>
      <c:valAx>
        <c:axId val="1723916128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723913632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4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GB"/>
              <a:t>Attendence of Presentations as % Staff Headcount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'Aware Analysis'!$F$25</c:f>
              <c:strCache>
                <c:ptCount val="1"/>
                <c:pt idx="0">
                  <c:v>Swansea Bay UHB</c:v>
                </c:pt>
              </c:strCache>
            </c:strRef>
          </c:tx>
          <c:spPr>
            <a:solidFill>
              <a:schemeClr val="accent1">
                <a:lumMod val="50000"/>
              </a:schemeClr>
            </a:solidFill>
            <a:ln>
              <a:noFill/>
            </a:ln>
            <a:effectLst/>
          </c:spPr>
          <c:invertIfNegative val="0"/>
          <c:cat>
            <c:strRef>
              <c:f>'Aware Analysis'!$E$26:$E$29</c:f>
              <c:strCache>
                <c:ptCount val="4"/>
                <c:pt idx="0">
                  <c:v>2019/20</c:v>
                </c:pt>
                <c:pt idx="1">
                  <c:v>2020/21</c:v>
                </c:pt>
                <c:pt idx="2">
                  <c:v>2021/22</c:v>
                </c:pt>
                <c:pt idx="3">
                  <c:v>2022/23</c:v>
                </c:pt>
              </c:strCache>
            </c:strRef>
          </c:cat>
          <c:val>
            <c:numRef>
              <c:f>'Aware Analysis'!$F$26:$F$29</c:f>
              <c:numCache>
                <c:formatCode>0.0%</c:formatCode>
                <c:ptCount val="4"/>
                <c:pt idx="0">
                  <c:v>0.16935966487133453</c:v>
                </c:pt>
                <c:pt idx="1">
                  <c:v>4.0469778575703171E-2</c:v>
                </c:pt>
                <c:pt idx="2">
                  <c:v>7.5104727707959312E-2</c:v>
                </c:pt>
                <c:pt idx="3">
                  <c:v>4.4210053859964092E-2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6823-4845-A5CC-365EC28F539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1723913632"/>
        <c:axId val="1723916128"/>
      </c:barChart>
      <c:lineChart>
        <c:grouping val="standard"/>
        <c:varyColors val="0"/>
        <c:ser>
          <c:idx val="1"/>
          <c:order val="1"/>
          <c:tx>
            <c:strRef>
              <c:f>'Aware Analysis'!$G$25</c:f>
              <c:strCache>
                <c:ptCount val="1"/>
                <c:pt idx="0">
                  <c:v>All Wales Avg.</c:v>
                </c:pt>
              </c:strCache>
            </c:strRef>
          </c:tx>
          <c:spPr>
            <a:ln w="28575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cat>
            <c:strRef>
              <c:f>'Aware Analysis'!$E$26:$E$29</c:f>
              <c:strCache>
                <c:ptCount val="4"/>
                <c:pt idx="0">
                  <c:v>2019/20</c:v>
                </c:pt>
                <c:pt idx="1">
                  <c:v>2020/21</c:v>
                </c:pt>
                <c:pt idx="2">
                  <c:v>2021/22</c:v>
                </c:pt>
                <c:pt idx="3">
                  <c:v>2022/23</c:v>
                </c:pt>
              </c:strCache>
            </c:strRef>
          </c:cat>
          <c:val>
            <c:numRef>
              <c:f>'Aware Analysis'!$G$26:$G$29</c:f>
              <c:numCache>
                <c:formatCode>0.0%</c:formatCode>
                <c:ptCount val="4"/>
                <c:pt idx="0" formatCode="0%">
                  <c:v>0.10998324248319433</c:v>
                </c:pt>
                <c:pt idx="1">
                  <c:v>2.5540766993470347E-2</c:v>
                </c:pt>
                <c:pt idx="2">
                  <c:v>3.8917888167652223E-2</c:v>
                </c:pt>
                <c:pt idx="3" formatCode="0%">
                  <c:v>5.9941830229019402E-2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1-6823-4845-A5CC-365EC28F539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723913632"/>
        <c:axId val="1723916128"/>
      </c:lineChart>
      <c:catAx>
        <c:axId val="1723913632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723916128"/>
        <c:crosses val="autoZero"/>
        <c:auto val="1"/>
        <c:lblAlgn val="ctr"/>
        <c:lblOffset val="100"/>
        <c:noMultiLvlLbl val="0"/>
      </c:catAx>
      <c:valAx>
        <c:axId val="1723916128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.0%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723913632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4">
    <c:autoUpdate val="0"/>
  </c:externalData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GB"/>
              <a:t>Average Attendence of a Presentation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'Aware Analysis'!$F$19</c:f>
              <c:strCache>
                <c:ptCount val="1"/>
                <c:pt idx="0">
                  <c:v>Swansea Bay UHB</c:v>
                </c:pt>
              </c:strCache>
            </c:strRef>
          </c:tx>
          <c:spPr>
            <a:solidFill>
              <a:schemeClr val="accent1">
                <a:lumMod val="50000"/>
              </a:schemeClr>
            </a:solidFill>
            <a:ln>
              <a:noFill/>
            </a:ln>
            <a:effectLst/>
          </c:spPr>
          <c:invertIfNegative val="0"/>
          <c:cat>
            <c:strRef>
              <c:f>'Aware Analysis'!$E$20:$E$23</c:f>
              <c:strCache>
                <c:ptCount val="4"/>
                <c:pt idx="0">
                  <c:v>2019/20</c:v>
                </c:pt>
                <c:pt idx="1">
                  <c:v>2020/21</c:v>
                </c:pt>
                <c:pt idx="2">
                  <c:v>2021/22</c:v>
                </c:pt>
                <c:pt idx="3">
                  <c:v>2022/23</c:v>
                </c:pt>
              </c:strCache>
            </c:strRef>
          </c:cat>
          <c:val>
            <c:numRef>
              <c:f>'Aware Analysis'!$F$20:$F$23</c:f>
              <c:numCache>
                <c:formatCode>0</c:formatCode>
                <c:ptCount val="4"/>
                <c:pt idx="0">
                  <c:v>31.887323943661972</c:v>
                </c:pt>
                <c:pt idx="1">
                  <c:v>18.033333333333335</c:v>
                </c:pt>
                <c:pt idx="2">
                  <c:v>15.446153846153846</c:v>
                </c:pt>
                <c:pt idx="3">
                  <c:v>11.588235294117647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2D07-4D22-BE60-9571390F3900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1723913632"/>
        <c:axId val="1723916128"/>
      </c:barChart>
      <c:lineChart>
        <c:grouping val="standard"/>
        <c:varyColors val="0"/>
        <c:ser>
          <c:idx val="1"/>
          <c:order val="1"/>
          <c:tx>
            <c:strRef>
              <c:f>'Aware Analysis'!$G$19</c:f>
              <c:strCache>
                <c:ptCount val="1"/>
                <c:pt idx="0">
                  <c:v>All Wales Avg.</c:v>
                </c:pt>
              </c:strCache>
            </c:strRef>
          </c:tx>
          <c:spPr>
            <a:ln w="28575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cat>
            <c:strRef>
              <c:f>'Aware Analysis'!$E$20:$E$23</c:f>
              <c:strCache>
                <c:ptCount val="4"/>
                <c:pt idx="0">
                  <c:v>2019/20</c:v>
                </c:pt>
                <c:pt idx="1">
                  <c:v>2020/21</c:v>
                </c:pt>
                <c:pt idx="2">
                  <c:v>2021/22</c:v>
                </c:pt>
                <c:pt idx="3">
                  <c:v>2022/23</c:v>
                </c:pt>
              </c:strCache>
            </c:strRef>
          </c:cat>
          <c:val>
            <c:numRef>
              <c:f>'Aware Analysis'!$G$20:$G$23</c:f>
              <c:numCache>
                <c:formatCode>0</c:formatCode>
                <c:ptCount val="4"/>
                <c:pt idx="0">
                  <c:v>26.558139534883722</c:v>
                </c:pt>
                <c:pt idx="1">
                  <c:v>19.079136690647484</c:v>
                </c:pt>
                <c:pt idx="2">
                  <c:v>18.622119815668203</c:v>
                </c:pt>
                <c:pt idx="3">
                  <c:v>24.124031007751938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1-2D07-4D22-BE60-9571390F3900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723913632"/>
        <c:axId val="1723916128"/>
      </c:lineChart>
      <c:catAx>
        <c:axId val="1723913632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723916128"/>
        <c:crosses val="autoZero"/>
        <c:auto val="1"/>
        <c:lblAlgn val="ctr"/>
        <c:lblOffset val="100"/>
        <c:noMultiLvlLbl val="0"/>
      </c:catAx>
      <c:valAx>
        <c:axId val="1723916128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723913632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4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4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5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6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4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5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6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theme/themeOverride1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4472C4"/>
    </a:accent1>
    <a:accent2>
      <a:srgbClr val="ED7D31"/>
    </a:accent2>
    <a:accent3>
      <a:srgbClr val="A5A5A5"/>
    </a:accent3>
    <a:accent4>
      <a:srgbClr val="FFC000"/>
    </a:accent4>
    <a:accent5>
      <a:srgbClr val="5B9BD5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ajorFont>
    <a:minorFont>
      <a:latin typeface="Calibri" panose="020F0502020204030204"/>
      <a:ea typeface=""/>
      <a:cs typeface=""/>
      <a:font script="Jpan" typeface="游ゴシック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2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4472C4"/>
    </a:accent1>
    <a:accent2>
      <a:srgbClr val="ED7D31"/>
    </a:accent2>
    <a:accent3>
      <a:srgbClr val="A5A5A5"/>
    </a:accent3>
    <a:accent4>
      <a:srgbClr val="FFC000"/>
    </a:accent4>
    <a:accent5>
      <a:srgbClr val="5B9BD5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ajorFont>
    <a:minorFont>
      <a:latin typeface="Calibri" panose="020F0502020204030204"/>
      <a:ea typeface=""/>
      <a:cs typeface=""/>
      <a:font script="Jpan" typeface="游ゴシック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3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4472C4"/>
    </a:accent1>
    <a:accent2>
      <a:srgbClr val="ED7D31"/>
    </a:accent2>
    <a:accent3>
      <a:srgbClr val="A5A5A5"/>
    </a:accent3>
    <a:accent4>
      <a:srgbClr val="FFC000"/>
    </a:accent4>
    <a:accent5>
      <a:srgbClr val="5B9BD5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ajorFont>
    <a:minorFont>
      <a:latin typeface="Calibri" panose="020F0502020204030204"/>
      <a:ea typeface=""/>
      <a:cs typeface=""/>
      <a:font script="Jpan" typeface="游ゴシック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4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4472C4"/>
    </a:accent1>
    <a:accent2>
      <a:srgbClr val="ED7D31"/>
    </a:accent2>
    <a:accent3>
      <a:srgbClr val="A5A5A5"/>
    </a:accent3>
    <a:accent4>
      <a:srgbClr val="FFC000"/>
    </a:accent4>
    <a:accent5>
      <a:srgbClr val="5B9BD5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ajorFont>
    <a:minorFont>
      <a:latin typeface="Calibri" panose="020F0502020204030204"/>
      <a:ea typeface=""/>
      <a:cs typeface=""/>
      <a:font script="Jpan" typeface="游ゴシック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5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4472C4"/>
    </a:accent1>
    <a:accent2>
      <a:srgbClr val="ED7D31"/>
    </a:accent2>
    <a:accent3>
      <a:srgbClr val="A5A5A5"/>
    </a:accent3>
    <a:accent4>
      <a:srgbClr val="FFC000"/>
    </a:accent4>
    <a:accent5>
      <a:srgbClr val="5B9BD5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ajorFont>
    <a:minorFont>
      <a:latin typeface="Calibri" panose="020F0502020204030204"/>
      <a:ea typeface=""/>
      <a:cs typeface=""/>
      <a:font script="Jpan" typeface="游ゴシック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6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4472C4"/>
    </a:accent1>
    <a:accent2>
      <a:srgbClr val="ED7D31"/>
    </a:accent2>
    <a:accent3>
      <a:srgbClr val="A5A5A5"/>
    </a:accent3>
    <a:accent4>
      <a:srgbClr val="FFC000"/>
    </a:accent4>
    <a:accent5>
      <a:srgbClr val="5B9BD5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ajorFont>
    <a:minorFont>
      <a:latin typeface="Calibri" panose="020F0502020204030204"/>
      <a:ea typeface=""/>
      <a:cs typeface=""/>
      <a:font script="Jpan" typeface="游ゴシック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B8F817F-C3D3-4314-A442-64C910963E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5</Pages>
  <Words>188</Words>
  <Characters>1078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SBU</Company>
  <LinksUpToDate>false</LinksUpToDate>
  <CharactersWithSpaces>1264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Matthew Evans (Swansea Bay - Counter Fraud)</dc:creator>
  <cp:keywords/>
  <dc:description/>
  <cp:lastModifiedBy>Matthew Evans (Swansea Bay - Counter Fraud)</cp:lastModifiedBy>
  <cp:revision>2</cp:revision>
  <dcterms:created xsi:type="dcterms:W3CDTF">2023-06-22T17:04:00Z</dcterms:created>
  <dcterms:modified xsi:type="dcterms:W3CDTF">2023-06-22T17:04:00Z</dcterms:modified>
</cp:coreProperties>
</file>