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0EC2AA" w14:textId="77777777" w:rsidR="00547608" w:rsidRPr="00716560" w:rsidRDefault="00B777B9" w:rsidP="007C0F30">
      <w:pPr>
        <w:tabs>
          <w:tab w:val="left" w:pos="0"/>
        </w:tabs>
        <w:spacing w:after="0" w:line="240" w:lineRule="auto"/>
        <w:jc w:val="center"/>
        <w:rPr>
          <w:rFonts w:ascii="Arial" w:hAnsi="Arial" w:cs="Arial"/>
          <w:b/>
          <w:sz w:val="40"/>
          <w:szCs w:val="24"/>
        </w:rPr>
      </w:pPr>
      <w:bookmarkStart w:id="0" w:name="_Hlk79662492"/>
      <w:bookmarkEnd w:id="0"/>
      <w:r>
        <w:rPr>
          <w:rFonts w:ascii="Arial" w:hAnsi="Arial" w:cs="Arial"/>
          <w:b/>
          <w:sz w:val="40"/>
          <w:szCs w:val="24"/>
        </w:rPr>
        <w:tab/>
      </w:r>
      <w:r w:rsidR="0065520C" w:rsidRPr="00716560">
        <w:rPr>
          <w:rFonts w:ascii="Arial" w:hAnsi="Arial" w:cs="Arial"/>
          <w:b/>
          <w:noProof/>
          <w:sz w:val="40"/>
          <w:szCs w:val="24"/>
          <w:lang w:eastAsia="en-GB"/>
        </w:rPr>
        <w:drawing>
          <wp:inline distT="0" distB="0" distL="0" distR="0" wp14:anchorId="397408E8" wp14:editId="33866F91">
            <wp:extent cx="5200650" cy="988553"/>
            <wp:effectExtent l="0" t="0" r="0" b="254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26362" cy="993440"/>
                    </a:xfrm>
                    <a:prstGeom prst="rect">
                      <a:avLst/>
                    </a:prstGeom>
                  </pic:spPr>
                </pic:pic>
              </a:graphicData>
            </a:graphic>
          </wp:inline>
        </w:drawing>
      </w:r>
    </w:p>
    <w:tbl>
      <w:tblPr>
        <w:tblStyle w:val="TableGrid"/>
        <w:tblW w:w="9634" w:type="dxa"/>
        <w:jc w:val="center"/>
        <w:tblLayout w:type="fixed"/>
        <w:tblLook w:val="04A0" w:firstRow="1" w:lastRow="0" w:firstColumn="1" w:lastColumn="0" w:noHBand="0" w:noVBand="1"/>
      </w:tblPr>
      <w:tblGrid>
        <w:gridCol w:w="2547"/>
        <w:gridCol w:w="1843"/>
        <w:gridCol w:w="1559"/>
        <w:gridCol w:w="2126"/>
        <w:gridCol w:w="1559"/>
      </w:tblGrid>
      <w:tr w:rsidR="00637DC1" w:rsidRPr="00637DC1" w14:paraId="50C23813" w14:textId="77777777" w:rsidTr="000507F1">
        <w:trPr>
          <w:jc w:val="center"/>
        </w:trPr>
        <w:tc>
          <w:tcPr>
            <w:tcW w:w="2547" w:type="dxa"/>
          </w:tcPr>
          <w:p w14:paraId="2D4EAE34" w14:textId="77777777" w:rsidR="00B378F9" w:rsidRPr="00637DC1" w:rsidRDefault="00B378F9" w:rsidP="001503E7">
            <w:pPr>
              <w:spacing w:after="0" w:line="240" w:lineRule="auto"/>
              <w:rPr>
                <w:rFonts w:ascii="Arial" w:hAnsi="Arial" w:cs="Arial"/>
                <w:b/>
                <w:sz w:val="24"/>
                <w:szCs w:val="24"/>
              </w:rPr>
            </w:pPr>
            <w:bookmarkStart w:id="1" w:name="_Hlk87276216"/>
            <w:r w:rsidRPr="00637DC1">
              <w:rPr>
                <w:rFonts w:ascii="Arial" w:hAnsi="Arial" w:cs="Arial"/>
                <w:b/>
                <w:sz w:val="24"/>
                <w:szCs w:val="24"/>
              </w:rPr>
              <w:t>Meeting Date</w:t>
            </w:r>
          </w:p>
        </w:tc>
        <w:tc>
          <w:tcPr>
            <w:tcW w:w="3402" w:type="dxa"/>
            <w:gridSpan w:val="2"/>
          </w:tcPr>
          <w:p w14:paraId="3E7DCE71" w14:textId="36A20970" w:rsidR="00B378F9" w:rsidRPr="00637DC1" w:rsidRDefault="00E56926" w:rsidP="00A01C3E">
            <w:pPr>
              <w:spacing w:after="0" w:line="240" w:lineRule="auto"/>
              <w:rPr>
                <w:rFonts w:ascii="Arial" w:hAnsi="Arial" w:cs="Arial"/>
                <w:b/>
                <w:sz w:val="24"/>
                <w:szCs w:val="24"/>
              </w:rPr>
            </w:pPr>
            <w:r>
              <w:rPr>
                <w:rFonts w:ascii="Arial" w:hAnsi="Arial" w:cs="Arial"/>
                <w:b/>
                <w:sz w:val="24"/>
                <w:szCs w:val="24"/>
              </w:rPr>
              <w:t>28</w:t>
            </w:r>
            <w:r w:rsidRPr="00E56926">
              <w:rPr>
                <w:rFonts w:ascii="Arial" w:hAnsi="Arial" w:cs="Arial"/>
                <w:b/>
                <w:sz w:val="24"/>
                <w:szCs w:val="24"/>
                <w:vertAlign w:val="superscript"/>
              </w:rPr>
              <w:t>th</w:t>
            </w:r>
            <w:r>
              <w:rPr>
                <w:rFonts w:ascii="Arial" w:hAnsi="Arial" w:cs="Arial"/>
                <w:b/>
                <w:sz w:val="24"/>
                <w:szCs w:val="24"/>
              </w:rPr>
              <w:t xml:space="preserve"> March 2024</w:t>
            </w:r>
          </w:p>
        </w:tc>
        <w:tc>
          <w:tcPr>
            <w:tcW w:w="2126" w:type="dxa"/>
          </w:tcPr>
          <w:p w14:paraId="7B659ED0"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Agenda Item</w:t>
            </w:r>
          </w:p>
        </w:tc>
        <w:tc>
          <w:tcPr>
            <w:tcW w:w="1559" w:type="dxa"/>
          </w:tcPr>
          <w:p w14:paraId="048A82A2" w14:textId="0B834449" w:rsidR="00B378F9" w:rsidRPr="00637DC1" w:rsidRDefault="00795085" w:rsidP="00852DF6">
            <w:pPr>
              <w:spacing w:after="0" w:line="240" w:lineRule="auto"/>
              <w:rPr>
                <w:rFonts w:ascii="Arial" w:hAnsi="Arial" w:cs="Arial"/>
                <w:b/>
                <w:sz w:val="24"/>
                <w:szCs w:val="24"/>
              </w:rPr>
            </w:pPr>
            <w:r>
              <w:rPr>
                <w:rFonts w:ascii="Arial" w:hAnsi="Arial" w:cs="Arial"/>
                <w:b/>
                <w:sz w:val="24"/>
                <w:szCs w:val="24"/>
              </w:rPr>
              <w:t>2.7</w:t>
            </w:r>
          </w:p>
        </w:tc>
      </w:tr>
      <w:tr w:rsidR="00637DC1" w:rsidRPr="00637DC1" w14:paraId="58FD8B61" w14:textId="77777777" w:rsidTr="000507F1">
        <w:trPr>
          <w:jc w:val="center"/>
        </w:trPr>
        <w:tc>
          <w:tcPr>
            <w:tcW w:w="2547" w:type="dxa"/>
          </w:tcPr>
          <w:p w14:paraId="45EE05B9"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Report Title</w:t>
            </w:r>
          </w:p>
        </w:tc>
        <w:tc>
          <w:tcPr>
            <w:tcW w:w="7087" w:type="dxa"/>
            <w:gridSpan w:val="4"/>
          </w:tcPr>
          <w:p w14:paraId="575E555C" w14:textId="13CCC5E3" w:rsidR="00B378F9" w:rsidRPr="00637DC1" w:rsidRDefault="00AF13C9" w:rsidP="00593F5D">
            <w:pPr>
              <w:spacing w:after="0" w:line="240" w:lineRule="auto"/>
              <w:jc w:val="both"/>
              <w:rPr>
                <w:rFonts w:ascii="Arial" w:hAnsi="Arial" w:cs="Arial"/>
                <w:b/>
                <w:sz w:val="24"/>
                <w:szCs w:val="24"/>
              </w:rPr>
            </w:pPr>
            <w:r>
              <w:rPr>
                <w:rFonts w:ascii="Arial" w:hAnsi="Arial" w:cs="Arial"/>
                <w:b/>
                <w:sz w:val="24"/>
                <w:szCs w:val="24"/>
              </w:rPr>
              <w:t xml:space="preserve">Quarter </w:t>
            </w:r>
            <w:r w:rsidR="00E56926">
              <w:rPr>
                <w:rFonts w:ascii="Arial" w:hAnsi="Arial" w:cs="Arial"/>
                <w:b/>
                <w:sz w:val="24"/>
                <w:szCs w:val="24"/>
              </w:rPr>
              <w:t>3</w:t>
            </w:r>
            <w:r>
              <w:rPr>
                <w:rFonts w:ascii="Arial" w:hAnsi="Arial" w:cs="Arial"/>
                <w:b/>
                <w:sz w:val="24"/>
                <w:szCs w:val="24"/>
              </w:rPr>
              <w:t xml:space="preserve"> </w:t>
            </w:r>
            <w:r w:rsidR="00593F5D">
              <w:rPr>
                <w:rFonts w:ascii="Arial" w:hAnsi="Arial" w:cs="Arial"/>
                <w:b/>
                <w:sz w:val="24"/>
                <w:szCs w:val="24"/>
              </w:rPr>
              <w:t>Ministerial</w:t>
            </w:r>
            <w:r>
              <w:rPr>
                <w:rFonts w:ascii="Arial" w:hAnsi="Arial" w:cs="Arial"/>
                <w:b/>
                <w:sz w:val="24"/>
                <w:szCs w:val="24"/>
              </w:rPr>
              <w:t xml:space="preserve"> Priorities Update Report</w:t>
            </w:r>
          </w:p>
        </w:tc>
      </w:tr>
      <w:tr w:rsidR="00637DC1" w:rsidRPr="00637DC1" w14:paraId="2F142A74" w14:textId="77777777" w:rsidTr="000507F1">
        <w:trPr>
          <w:jc w:val="center"/>
        </w:trPr>
        <w:tc>
          <w:tcPr>
            <w:tcW w:w="2547" w:type="dxa"/>
          </w:tcPr>
          <w:p w14:paraId="11D8E3BB"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Report Author</w:t>
            </w:r>
          </w:p>
        </w:tc>
        <w:tc>
          <w:tcPr>
            <w:tcW w:w="7087" w:type="dxa"/>
            <w:gridSpan w:val="4"/>
          </w:tcPr>
          <w:p w14:paraId="48A52818" w14:textId="17458122" w:rsidR="00637DC1" w:rsidRDefault="00E56926" w:rsidP="00601865">
            <w:pPr>
              <w:spacing w:after="0" w:line="240" w:lineRule="auto"/>
              <w:jc w:val="both"/>
              <w:rPr>
                <w:rFonts w:ascii="Arial" w:hAnsi="Arial" w:cs="Arial"/>
                <w:sz w:val="24"/>
                <w:szCs w:val="24"/>
              </w:rPr>
            </w:pPr>
            <w:r>
              <w:rPr>
                <w:rFonts w:ascii="Arial" w:hAnsi="Arial" w:cs="Arial"/>
                <w:sz w:val="24"/>
                <w:szCs w:val="24"/>
              </w:rPr>
              <w:t xml:space="preserve">Charlotte Angell, Health Board Performance Support Officer </w:t>
            </w:r>
            <w:r w:rsidR="00601865" w:rsidRPr="00637DC1">
              <w:rPr>
                <w:rFonts w:ascii="Arial" w:hAnsi="Arial" w:cs="Arial"/>
                <w:sz w:val="24"/>
                <w:szCs w:val="24"/>
              </w:rPr>
              <w:t xml:space="preserve"> </w:t>
            </w:r>
          </w:p>
          <w:p w14:paraId="5D962237" w14:textId="77777777" w:rsidR="00B1166E" w:rsidRDefault="00B1166E" w:rsidP="00601865">
            <w:pPr>
              <w:spacing w:after="0" w:line="240" w:lineRule="auto"/>
              <w:jc w:val="both"/>
              <w:rPr>
                <w:rFonts w:ascii="Arial" w:hAnsi="Arial" w:cs="Arial"/>
                <w:sz w:val="24"/>
                <w:szCs w:val="24"/>
              </w:rPr>
            </w:pPr>
            <w:r>
              <w:rPr>
                <w:rFonts w:ascii="Arial" w:hAnsi="Arial" w:cs="Arial"/>
                <w:sz w:val="24"/>
                <w:szCs w:val="24"/>
              </w:rPr>
              <w:t xml:space="preserve">Samantha Moss, Deputy Director of Finance </w:t>
            </w:r>
          </w:p>
          <w:p w14:paraId="02FFEC2D" w14:textId="29D3942B" w:rsidR="001C099A" w:rsidRPr="00637DC1" w:rsidRDefault="001C099A" w:rsidP="00601865">
            <w:pPr>
              <w:spacing w:after="0" w:line="240" w:lineRule="auto"/>
              <w:jc w:val="both"/>
              <w:rPr>
                <w:rFonts w:ascii="Arial" w:hAnsi="Arial" w:cs="Arial"/>
                <w:sz w:val="24"/>
                <w:szCs w:val="24"/>
              </w:rPr>
            </w:pPr>
            <w:r>
              <w:rPr>
                <w:rFonts w:ascii="Arial" w:hAnsi="Arial" w:cs="Arial"/>
                <w:sz w:val="24"/>
                <w:szCs w:val="24"/>
              </w:rPr>
              <w:t>Ruth Tovey, Head of Strategic Planning</w:t>
            </w:r>
          </w:p>
        </w:tc>
      </w:tr>
      <w:tr w:rsidR="00637DC1" w:rsidRPr="00637DC1" w14:paraId="37A5C0CE" w14:textId="77777777" w:rsidTr="000507F1">
        <w:trPr>
          <w:jc w:val="center"/>
        </w:trPr>
        <w:tc>
          <w:tcPr>
            <w:tcW w:w="2547" w:type="dxa"/>
          </w:tcPr>
          <w:p w14:paraId="33AD6F26"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Report Sponsor</w:t>
            </w:r>
          </w:p>
        </w:tc>
        <w:tc>
          <w:tcPr>
            <w:tcW w:w="7087" w:type="dxa"/>
            <w:gridSpan w:val="4"/>
          </w:tcPr>
          <w:p w14:paraId="44612227" w14:textId="77777777" w:rsidR="00AF13C9" w:rsidRDefault="00D500AD" w:rsidP="001503E7">
            <w:pPr>
              <w:spacing w:after="0" w:line="240" w:lineRule="auto"/>
              <w:jc w:val="both"/>
              <w:rPr>
                <w:rFonts w:ascii="Arial" w:hAnsi="Arial" w:cs="Arial"/>
                <w:sz w:val="24"/>
                <w:szCs w:val="24"/>
              </w:rPr>
            </w:pPr>
            <w:r w:rsidRPr="00637DC1">
              <w:rPr>
                <w:rFonts w:ascii="Arial" w:hAnsi="Arial" w:cs="Arial"/>
                <w:sz w:val="24"/>
                <w:szCs w:val="24"/>
              </w:rPr>
              <w:t>Darren</w:t>
            </w:r>
            <w:r w:rsidR="00077442" w:rsidRPr="00637DC1">
              <w:rPr>
                <w:rFonts w:ascii="Arial" w:hAnsi="Arial" w:cs="Arial"/>
                <w:sz w:val="24"/>
                <w:szCs w:val="24"/>
              </w:rPr>
              <w:t xml:space="preserve"> Griffiths,</w:t>
            </w:r>
            <w:r w:rsidR="00113ABA" w:rsidRPr="00637DC1">
              <w:rPr>
                <w:rFonts w:ascii="Arial" w:hAnsi="Arial" w:cs="Arial"/>
                <w:sz w:val="24"/>
                <w:szCs w:val="24"/>
              </w:rPr>
              <w:t xml:space="preserve"> </w:t>
            </w:r>
            <w:r w:rsidR="008D14B9">
              <w:rPr>
                <w:rFonts w:ascii="Arial" w:hAnsi="Arial" w:cs="Arial"/>
                <w:sz w:val="24"/>
                <w:szCs w:val="24"/>
              </w:rPr>
              <w:t xml:space="preserve">Executive </w:t>
            </w:r>
            <w:r w:rsidR="00113ABA" w:rsidRPr="00637DC1">
              <w:rPr>
                <w:rFonts w:ascii="Arial" w:hAnsi="Arial" w:cs="Arial"/>
                <w:sz w:val="24"/>
                <w:szCs w:val="24"/>
              </w:rPr>
              <w:t>Director of Finance and Performance</w:t>
            </w:r>
            <w:r w:rsidR="008D14B9">
              <w:rPr>
                <w:rFonts w:ascii="Arial" w:hAnsi="Arial" w:cs="Arial"/>
                <w:sz w:val="24"/>
                <w:szCs w:val="24"/>
              </w:rPr>
              <w:t>, Acting Deputy CEO</w:t>
            </w:r>
            <w:r w:rsidR="00AA68B8" w:rsidRPr="00637DC1">
              <w:rPr>
                <w:rFonts w:ascii="Arial" w:hAnsi="Arial" w:cs="Arial"/>
                <w:sz w:val="24"/>
                <w:szCs w:val="24"/>
              </w:rPr>
              <w:t xml:space="preserve"> </w:t>
            </w:r>
          </w:p>
          <w:p w14:paraId="2E48BDCA" w14:textId="61B7B1D0" w:rsidR="001C099A" w:rsidRPr="00637DC1" w:rsidRDefault="001C099A" w:rsidP="001503E7">
            <w:pPr>
              <w:spacing w:after="0" w:line="240" w:lineRule="auto"/>
              <w:jc w:val="both"/>
              <w:rPr>
                <w:rFonts w:ascii="Arial" w:hAnsi="Arial" w:cs="Arial"/>
                <w:sz w:val="24"/>
                <w:szCs w:val="24"/>
              </w:rPr>
            </w:pPr>
            <w:r>
              <w:rPr>
                <w:rFonts w:ascii="Arial" w:hAnsi="Arial" w:cs="Arial"/>
                <w:sz w:val="24"/>
                <w:szCs w:val="24"/>
              </w:rPr>
              <w:t>Nerissa Vaughan, Interim Director of Strategy</w:t>
            </w:r>
          </w:p>
        </w:tc>
      </w:tr>
      <w:tr w:rsidR="00637DC1" w:rsidRPr="00637DC1" w14:paraId="0D9F21D2" w14:textId="77777777" w:rsidTr="000507F1">
        <w:trPr>
          <w:jc w:val="center"/>
        </w:trPr>
        <w:tc>
          <w:tcPr>
            <w:tcW w:w="2547" w:type="dxa"/>
          </w:tcPr>
          <w:p w14:paraId="6CE2712E"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Presented by</w:t>
            </w:r>
          </w:p>
        </w:tc>
        <w:tc>
          <w:tcPr>
            <w:tcW w:w="7087" w:type="dxa"/>
            <w:gridSpan w:val="4"/>
          </w:tcPr>
          <w:p w14:paraId="2DAE2A72" w14:textId="50FA4E90" w:rsidR="00AF13C9" w:rsidRPr="00637DC1" w:rsidRDefault="008D14B9" w:rsidP="00E01EC1">
            <w:pPr>
              <w:spacing w:after="0" w:line="240" w:lineRule="auto"/>
              <w:jc w:val="both"/>
              <w:rPr>
                <w:rFonts w:ascii="Arial" w:hAnsi="Arial" w:cs="Arial"/>
                <w:sz w:val="24"/>
                <w:szCs w:val="24"/>
              </w:rPr>
            </w:pPr>
            <w:r w:rsidRPr="00637DC1">
              <w:rPr>
                <w:rFonts w:ascii="Arial" w:hAnsi="Arial" w:cs="Arial"/>
                <w:sz w:val="24"/>
                <w:szCs w:val="24"/>
              </w:rPr>
              <w:t xml:space="preserve">Darren Griffiths, </w:t>
            </w:r>
            <w:r>
              <w:rPr>
                <w:rFonts w:ascii="Arial" w:hAnsi="Arial" w:cs="Arial"/>
                <w:sz w:val="24"/>
                <w:szCs w:val="24"/>
              </w:rPr>
              <w:t xml:space="preserve">Executive </w:t>
            </w:r>
            <w:r w:rsidRPr="00637DC1">
              <w:rPr>
                <w:rFonts w:ascii="Arial" w:hAnsi="Arial" w:cs="Arial"/>
                <w:sz w:val="24"/>
                <w:szCs w:val="24"/>
              </w:rPr>
              <w:t>Director of Finance and Performance</w:t>
            </w:r>
            <w:r>
              <w:rPr>
                <w:rFonts w:ascii="Arial" w:hAnsi="Arial" w:cs="Arial"/>
                <w:sz w:val="24"/>
                <w:szCs w:val="24"/>
              </w:rPr>
              <w:t>, Acting Deputy CEO</w:t>
            </w:r>
          </w:p>
        </w:tc>
      </w:tr>
      <w:tr w:rsidR="00637DC1" w:rsidRPr="00637DC1" w14:paraId="75EE7019" w14:textId="77777777" w:rsidTr="000507F1">
        <w:trPr>
          <w:trHeight w:val="70"/>
          <w:jc w:val="center"/>
        </w:trPr>
        <w:tc>
          <w:tcPr>
            <w:tcW w:w="2547" w:type="dxa"/>
          </w:tcPr>
          <w:p w14:paraId="2CE136EE"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 xml:space="preserve">Freedom of Information </w:t>
            </w:r>
          </w:p>
        </w:tc>
        <w:tc>
          <w:tcPr>
            <w:tcW w:w="7087" w:type="dxa"/>
            <w:gridSpan w:val="4"/>
          </w:tcPr>
          <w:p w14:paraId="5705006E" w14:textId="77777777" w:rsidR="00B378F9" w:rsidRPr="00637DC1" w:rsidRDefault="00B378F9" w:rsidP="001503E7">
            <w:pPr>
              <w:spacing w:after="0" w:line="240" w:lineRule="auto"/>
              <w:jc w:val="both"/>
              <w:rPr>
                <w:rFonts w:ascii="Arial" w:hAnsi="Arial" w:cs="Arial"/>
                <w:sz w:val="24"/>
                <w:szCs w:val="24"/>
              </w:rPr>
            </w:pPr>
            <w:r w:rsidRPr="00637DC1">
              <w:rPr>
                <w:rFonts w:ascii="Arial" w:hAnsi="Arial" w:cs="Arial"/>
                <w:sz w:val="24"/>
                <w:szCs w:val="24"/>
              </w:rPr>
              <w:t>Open</w:t>
            </w:r>
          </w:p>
        </w:tc>
      </w:tr>
      <w:tr w:rsidR="00637DC1" w:rsidRPr="00637DC1" w14:paraId="295B8A79" w14:textId="77777777" w:rsidTr="000507F1">
        <w:trPr>
          <w:trHeight w:val="471"/>
          <w:jc w:val="center"/>
        </w:trPr>
        <w:tc>
          <w:tcPr>
            <w:tcW w:w="2547" w:type="dxa"/>
          </w:tcPr>
          <w:p w14:paraId="574F5DC0" w14:textId="77777777" w:rsidR="00B378F9" w:rsidRPr="00637DC1" w:rsidRDefault="00B378F9" w:rsidP="00492E6C">
            <w:pPr>
              <w:spacing w:after="0" w:line="240" w:lineRule="auto"/>
              <w:rPr>
                <w:rFonts w:ascii="Arial" w:hAnsi="Arial" w:cs="Arial"/>
                <w:b/>
                <w:sz w:val="24"/>
                <w:szCs w:val="24"/>
              </w:rPr>
            </w:pPr>
            <w:r w:rsidRPr="00637DC1">
              <w:rPr>
                <w:rFonts w:ascii="Arial" w:hAnsi="Arial" w:cs="Arial"/>
                <w:b/>
                <w:sz w:val="24"/>
                <w:szCs w:val="24"/>
              </w:rPr>
              <w:t>Purpose of the Report</w:t>
            </w:r>
          </w:p>
        </w:tc>
        <w:tc>
          <w:tcPr>
            <w:tcW w:w="7087" w:type="dxa"/>
            <w:gridSpan w:val="4"/>
          </w:tcPr>
          <w:p w14:paraId="1ACC7388" w14:textId="16304BCD" w:rsidR="00492E6C" w:rsidRPr="00637DC1" w:rsidRDefault="00492E6C" w:rsidP="00FB6AA2">
            <w:pPr>
              <w:spacing w:after="0" w:line="240" w:lineRule="auto"/>
              <w:ind w:left="34"/>
              <w:jc w:val="both"/>
              <w:rPr>
                <w:rFonts w:ascii="Arial" w:hAnsi="Arial" w:cs="Arial"/>
                <w:sz w:val="24"/>
                <w:szCs w:val="24"/>
              </w:rPr>
            </w:pPr>
            <w:r w:rsidRPr="00637DC1">
              <w:rPr>
                <w:rFonts w:ascii="Arial" w:hAnsi="Arial" w:cs="Arial"/>
                <w:sz w:val="24"/>
                <w:szCs w:val="24"/>
              </w:rPr>
              <w:t>The purpose of this report</w:t>
            </w:r>
            <w:r w:rsidR="00C53C3F" w:rsidRPr="00637DC1">
              <w:rPr>
                <w:rFonts w:ascii="Arial" w:hAnsi="Arial" w:cs="Arial"/>
                <w:sz w:val="24"/>
                <w:szCs w:val="24"/>
              </w:rPr>
              <w:t xml:space="preserve"> is to provide the </w:t>
            </w:r>
            <w:r w:rsidR="00C3673F" w:rsidRPr="00637DC1">
              <w:rPr>
                <w:rFonts w:ascii="Arial" w:hAnsi="Arial" w:cs="Arial"/>
                <w:sz w:val="24"/>
                <w:szCs w:val="24"/>
              </w:rPr>
              <w:t>Board w</w:t>
            </w:r>
            <w:r w:rsidR="00C53C3F" w:rsidRPr="00637DC1">
              <w:rPr>
                <w:rFonts w:ascii="Arial" w:hAnsi="Arial" w:cs="Arial"/>
                <w:sz w:val="24"/>
                <w:szCs w:val="24"/>
              </w:rPr>
              <w:t xml:space="preserve">ith </w:t>
            </w:r>
            <w:r w:rsidR="00B1166E">
              <w:rPr>
                <w:rFonts w:ascii="Arial" w:hAnsi="Arial" w:cs="Arial"/>
                <w:sz w:val="24"/>
                <w:szCs w:val="24"/>
              </w:rPr>
              <w:t xml:space="preserve">a </w:t>
            </w:r>
            <w:r w:rsidR="00E56926">
              <w:rPr>
                <w:rFonts w:ascii="Arial" w:hAnsi="Arial" w:cs="Arial"/>
                <w:sz w:val="24"/>
                <w:szCs w:val="24"/>
              </w:rPr>
              <w:t xml:space="preserve">quarter 3 </w:t>
            </w:r>
            <w:r w:rsidR="00B1166E">
              <w:rPr>
                <w:rFonts w:ascii="Arial" w:hAnsi="Arial" w:cs="Arial"/>
                <w:sz w:val="24"/>
                <w:szCs w:val="24"/>
              </w:rPr>
              <w:t>update in</w:t>
            </w:r>
            <w:r w:rsidR="00B82C56">
              <w:rPr>
                <w:rFonts w:ascii="Arial" w:hAnsi="Arial" w:cs="Arial"/>
                <w:sz w:val="24"/>
                <w:szCs w:val="24"/>
              </w:rPr>
              <w:t xml:space="preserve"> a series of routine quarterly reports which </w:t>
            </w:r>
            <w:r w:rsidR="00C53C3F" w:rsidRPr="00637DC1">
              <w:rPr>
                <w:rFonts w:ascii="Arial" w:hAnsi="Arial" w:cs="Arial"/>
                <w:sz w:val="24"/>
                <w:szCs w:val="24"/>
              </w:rPr>
              <w:t>update</w:t>
            </w:r>
            <w:r w:rsidR="00B82C56">
              <w:rPr>
                <w:rFonts w:ascii="Arial" w:hAnsi="Arial" w:cs="Arial"/>
                <w:sz w:val="24"/>
                <w:szCs w:val="24"/>
              </w:rPr>
              <w:t xml:space="preserve">s the Board on performance delivery against key Ministerial Priorities as selected by the Board. </w:t>
            </w:r>
          </w:p>
          <w:p w14:paraId="3078E7A6" w14:textId="77777777" w:rsidR="006F4D19" w:rsidRPr="00637DC1" w:rsidRDefault="006F4D19" w:rsidP="00807CA6">
            <w:pPr>
              <w:spacing w:after="0" w:line="240" w:lineRule="auto"/>
              <w:jc w:val="both"/>
              <w:rPr>
                <w:rFonts w:ascii="Arial" w:hAnsi="Arial" w:cs="Arial"/>
                <w:sz w:val="24"/>
                <w:szCs w:val="24"/>
              </w:rPr>
            </w:pPr>
          </w:p>
        </w:tc>
      </w:tr>
      <w:tr w:rsidR="00B1166E" w:rsidRPr="00B1166E" w14:paraId="2CD6828C" w14:textId="77777777" w:rsidTr="000507F1">
        <w:trPr>
          <w:jc w:val="center"/>
        </w:trPr>
        <w:tc>
          <w:tcPr>
            <w:tcW w:w="2547" w:type="dxa"/>
          </w:tcPr>
          <w:p w14:paraId="37DBFC27" w14:textId="77777777" w:rsidR="00E16506" w:rsidRPr="00B04252" w:rsidRDefault="00E16506" w:rsidP="00610DD2">
            <w:pPr>
              <w:spacing w:after="0" w:line="240" w:lineRule="auto"/>
              <w:rPr>
                <w:rFonts w:ascii="Arial" w:hAnsi="Arial" w:cs="Arial"/>
                <w:b/>
                <w:sz w:val="24"/>
                <w:szCs w:val="24"/>
              </w:rPr>
            </w:pPr>
            <w:r w:rsidRPr="00B04252">
              <w:rPr>
                <w:rFonts w:ascii="Arial" w:hAnsi="Arial" w:cs="Arial"/>
                <w:b/>
                <w:sz w:val="24"/>
                <w:szCs w:val="24"/>
              </w:rPr>
              <w:t>Key Issues</w:t>
            </w:r>
          </w:p>
          <w:p w14:paraId="0D6546DA" w14:textId="77777777" w:rsidR="00E16506" w:rsidRPr="00B1166E" w:rsidRDefault="00E16506" w:rsidP="00610DD2">
            <w:pPr>
              <w:spacing w:after="0" w:line="240" w:lineRule="auto"/>
              <w:rPr>
                <w:rFonts w:ascii="Arial" w:hAnsi="Arial" w:cs="Arial"/>
                <w:b/>
                <w:color w:val="FF0000"/>
                <w:sz w:val="24"/>
                <w:szCs w:val="24"/>
              </w:rPr>
            </w:pPr>
          </w:p>
          <w:p w14:paraId="015BD524" w14:textId="77777777" w:rsidR="007E0372" w:rsidRPr="00B1166E" w:rsidRDefault="007E0372" w:rsidP="00610DD2">
            <w:pPr>
              <w:spacing w:after="0" w:line="240" w:lineRule="auto"/>
              <w:rPr>
                <w:rFonts w:ascii="Arial" w:hAnsi="Arial" w:cs="Arial"/>
                <w:b/>
                <w:color w:val="FF0000"/>
                <w:sz w:val="24"/>
                <w:szCs w:val="24"/>
              </w:rPr>
            </w:pPr>
          </w:p>
          <w:p w14:paraId="3B0C858B" w14:textId="77777777" w:rsidR="00E11AAC" w:rsidRPr="00B1166E" w:rsidRDefault="00E11AAC" w:rsidP="00610DD2">
            <w:pPr>
              <w:spacing w:after="0" w:line="240" w:lineRule="auto"/>
              <w:rPr>
                <w:rFonts w:ascii="Arial" w:hAnsi="Arial" w:cs="Arial"/>
                <w:b/>
                <w:color w:val="FF0000"/>
                <w:sz w:val="24"/>
                <w:szCs w:val="24"/>
              </w:rPr>
            </w:pPr>
          </w:p>
          <w:p w14:paraId="6A6BF991" w14:textId="77777777" w:rsidR="00E11AAC" w:rsidRPr="00B1166E" w:rsidRDefault="00E11AAC" w:rsidP="00610DD2">
            <w:pPr>
              <w:spacing w:after="0" w:line="240" w:lineRule="auto"/>
              <w:rPr>
                <w:rFonts w:ascii="Arial" w:hAnsi="Arial" w:cs="Arial"/>
                <w:b/>
                <w:color w:val="FF0000"/>
                <w:sz w:val="24"/>
                <w:szCs w:val="24"/>
              </w:rPr>
            </w:pPr>
          </w:p>
          <w:p w14:paraId="4B520D56" w14:textId="77777777" w:rsidR="00E16506" w:rsidRPr="00B1166E" w:rsidRDefault="00E16506" w:rsidP="00610DD2">
            <w:pPr>
              <w:spacing w:after="0" w:line="240" w:lineRule="auto"/>
              <w:rPr>
                <w:rFonts w:ascii="Arial" w:hAnsi="Arial" w:cs="Arial"/>
                <w:b/>
                <w:color w:val="FF0000"/>
                <w:sz w:val="24"/>
                <w:szCs w:val="24"/>
              </w:rPr>
            </w:pPr>
          </w:p>
          <w:p w14:paraId="25D67808" w14:textId="77777777" w:rsidR="007D635E" w:rsidRPr="00B1166E" w:rsidRDefault="007D635E" w:rsidP="00610DD2">
            <w:pPr>
              <w:spacing w:after="0" w:line="240" w:lineRule="auto"/>
              <w:rPr>
                <w:rFonts w:ascii="Arial" w:hAnsi="Arial" w:cs="Arial"/>
                <w:b/>
                <w:color w:val="FF0000"/>
                <w:sz w:val="24"/>
                <w:szCs w:val="24"/>
              </w:rPr>
            </w:pPr>
          </w:p>
        </w:tc>
        <w:tc>
          <w:tcPr>
            <w:tcW w:w="7087" w:type="dxa"/>
            <w:gridSpan w:val="4"/>
          </w:tcPr>
          <w:p w14:paraId="44AD1748" w14:textId="77777777" w:rsidR="00593F5D" w:rsidRPr="008F0229" w:rsidRDefault="00593F5D" w:rsidP="008A1054">
            <w:pPr>
              <w:spacing w:after="0" w:line="240" w:lineRule="auto"/>
              <w:jc w:val="both"/>
              <w:rPr>
                <w:rFonts w:ascii="Arial" w:hAnsi="Arial" w:cs="Arial"/>
                <w:sz w:val="24"/>
                <w:szCs w:val="24"/>
              </w:rPr>
            </w:pPr>
            <w:r w:rsidRPr="008F0229">
              <w:rPr>
                <w:rFonts w:ascii="Arial" w:hAnsi="Arial" w:cs="Arial"/>
                <w:sz w:val="24"/>
                <w:szCs w:val="24"/>
              </w:rPr>
              <w:t>Ministerial Priorities are reported routinely to the Board via the Integrated Performance report but are contained w</w:t>
            </w:r>
            <w:r w:rsidR="00B82C56" w:rsidRPr="008F0229">
              <w:rPr>
                <w:rFonts w:ascii="Arial" w:hAnsi="Arial" w:cs="Arial"/>
                <w:sz w:val="24"/>
                <w:szCs w:val="24"/>
              </w:rPr>
              <w:t>ithin a range of other measures. This separate priorities focussed report provides the Board with a single assessment of these priorities</w:t>
            </w:r>
            <w:r w:rsidRPr="008F0229">
              <w:rPr>
                <w:rFonts w:ascii="Arial" w:hAnsi="Arial" w:cs="Arial"/>
                <w:sz w:val="24"/>
                <w:szCs w:val="24"/>
              </w:rPr>
              <w:t>.</w:t>
            </w:r>
          </w:p>
          <w:p w14:paraId="3F630870" w14:textId="77777777" w:rsidR="00593F5D" w:rsidRPr="00B1166E" w:rsidRDefault="00593F5D" w:rsidP="008A1054">
            <w:pPr>
              <w:spacing w:after="0" w:line="240" w:lineRule="auto"/>
              <w:jc w:val="both"/>
              <w:rPr>
                <w:rFonts w:ascii="Arial" w:hAnsi="Arial" w:cs="Arial"/>
                <w:color w:val="FF0000"/>
                <w:sz w:val="24"/>
                <w:szCs w:val="24"/>
              </w:rPr>
            </w:pPr>
          </w:p>
          <w:p w14:paraId="55477E03" w14:textId="77777777" w:rsidR="00593F5D" w:rsidRPr="008F0229" w:rsidRDefault="00B82C56" w:rsidP="008A1054">
            <w:pPr>
              <w:spacing w:after="0" w:line="240" w:lineRule="auto"/>
              <w:jc w:val="both"/>
              <w:rPr>
                <w:rFonts w:ascii="Arial" w:hAnsi="Arial" w:cs="Arial"/>
                <w:sz w:val="24"/>
                <w:szCs w:val="24"/>
              </w:rPr>
            </w:pPr>
            <w:r w:rsidRPr="008F0229">
              <w:rPr>
                <w:rFonts w:ascii="Arial" w:hAnsi="Arial" w:cs="Arial"/>
                <w:sz w:val="24"/>
                <w:szCs w:val="24"/>
              </w:rPr>
              <w:t>P</w:t>
            </w:r>
            <w:r w:rsidR="00593F5D" w:rsidRPr="008F0229">
              <w:rPr>
                <w:rFonts w:ascii="Arial" w:hAnsi="Arial" w:cs="Arial"/>
                <w:sz w:val="24"/>
                <w:szCs w:val="24"/>
              </w:rPr>
              <w:t xml:space="preserve">erformance delivery against the </w:t>
            </w:r>
            <w:r w:rsidR="002876E3" w:rsidRPr="008F0229">
              <w:rPr>
                <w:rFonts w:ascii="Arial" w:hAnsi="Arial" w:cs="Arial"/>
                <w:sz w:val="24"/>
                <w:szCs w:val="24"/>
              </w:rPr>
              <w:t>Ministerial</w:t>
            </w:r>
            <w:r w:rsidR="00593F5D" w:rsidRPr="008F0229">
              <w:rPr>
                <w:rFonts w:ascii="Arial" w:hAnsi="Arial" w:cs="Arial"/>
                <w:sz w:val="24"/>
                <w:szCs w:val="24"/>
              </w:rPr>
              <w:t xml:space="preserve"> </w:t>
            </w:r>
            <w:r w:rsidR="00F14093" w:rsidRPr="008F0229">
              <w:rPr>
                <w:rFonts w:ascii="Arial" w:hAnsi="Arial" w:cs="Arial"/>
                <w:sz w:val="24"/>
                <w:szCs w:val="24"/>
              </w:rPr>
              <w:t>Priorities</w:t>
            </w:r>
            <w:r w:rsidR="00593F5D" w:rsidRPr="008F0229">
              <w:rPr>
                <w:rFonts w:ascii="Arial" w:hAnsi="Arial" w:cs="Arial"/>
                <w:sz w:val="24"/>
                <w:szCs w:val="24"/>
              </w:rPr>
              <w:t xml:space="preserve"> is also reflected alongside financial performance and the report draws out the status of the </w:t>
            </w:r>
            <w:r w:rsidRPr="008F0229">
              <w:rPr>
                <w:rFonts w:ascii="Arial" w:hAnsi="Arial" w:cs="Arial"/>
                <w:sz w:val="24"/>
                <w:szCs w:val="24"/>
              </w:rPr>
              <w:t xml:space="preserve">directed </w:t>
            </w:r>
            <w:r w:rsidR="00593F5D" w:rsidRPr="008F0229">
              <w:rPr>
                <w:rFonts w:ascii="Arial" w:hAnsi="Arial" w:cs="Arial"/>
                <w:sz w:val="24"/>
                <w:szCs w:val="24"/>
              </w:rPr>
              <w:t xml:space="preserve">investment plans to support the </w:t>
            </w:r>
            <w:r w:rsidRPr="008F0229">
              <w:rPr>
                <w:rFonts w:ascii="Arial" w:hAnsi="Arial" w:cs="Arial"/>
                <w:sz w:val="24"/>
                <w:szCs w:val="24"/>
              </w:rPr>
              <w:t>delivery of the priorities.</w:t>
            </w:r>
          </w:p>
          <w:p w14:paraId="32BA2450" w14:textId="77777777" w:rsidR="00B82C56" w:rsidRPr="00B1166E" w:rsidRDefault="00B82C56" w:rsidP="008A1054">
            <w:pPr>
              <w:spacing w:after="0" w:line="240" w:lineRule="auto"/>
              <w:jc w:val="both"/>
              <w:rPr>
                <w:rFonts w:ascii="Arial" w:hAnsi="Arial" w:cs="Arial"/>
                <w:color w:val="FF0000"/>
                <w:sz w:val="24"/>
                <w:szCs w:val="24"/>
              </w:rPr>
            </w:pPr>
          </w:p>
          <w:p w14:paraId="2A0FE821" w14:textId="77777777" w:rsidR="00B82C56" w:rsidRPr="008F0229" w:rsidRDefault="002876E3" w:rsidP="008A1054">
            <w:pPr>
              <w:spacing w:after="0" w:line="240" w:lineRule="auto"/>
              <w:jc w:val="both"/>
              <w:rPr>
                <w:rFonts w:ascii="Arial" w:hAnsi="Arial" w:cs="Arial"/>
                <w:sz w:val="24"/>
                <w:szCs w:val="24"/>
              </w:rPr>
            </w:pPr>
            <w:r w:rsidRPr="008F0229">
              <w:rPr>
                <w:rFonts w:ascii="Arial" w:hAnsi="Arial" w:cs="Arial"/>
                <w:sz w:val="24"/>
                <w:szCs w:val="24"/>
              </w:rPr>
              <w:t>The key priority areas are: -</w:t>
            </w:r>
          </w:p>
          <w:p w14:paraId="3F491660" w14:textId="77777777" w:rsidR="002876E3" w:rsidRPr="00B1166E" w:rsidRDefault="002876E3" w:rsidP="008A1054">
            <w:pPr>
              <w:spacing w:after="0" w:line="240" w:lineRule="auto"/>
              <w:jc w:val="both"/>
              <w:rPr>
                <w:rFonts w:ascii="Arial" w:hAnsi="Arial" w:cs="Arial"/>
                <w:color w:val="FF0000"/>
                <w:sz w:val="24"/>
                <w:szCs w:val="24"/>
              </w:rPr>
            </w:pPr>
          </w:p>
          <w:p w14:paraId="71EC394A"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Unscheduled Care – access times</w:t>
            </w:r>
          </w:p>
          <w:p w14:paraId="0E5EB29D" w14:textId="4F9E26A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 xml:space="preserve">Unscheduled Care – ambulance </w:t>
            </w:r>
            <w:r w:rsidR="001C099A">
              <w:rPr>
                <w:rFonts w:ascii="Arial" w:hAnsi="Arial" w:cs="Arial"/>
                <w:sz w:val="24"/>
                <w:szCs w:val="24"/>
              </w:rPr>
              <w:t xml:space="preserve">handover </w:t>
            </w:r>
            <w:r w:rsidRPr="008F0229">
              <w:rPr>
                <w:rFonts w:ascii="Arial" w:hAnsi="Arial" w:cs="Arial"/>
                <w:sz w:val="24"/>
                <w:szCs w:val="24"/>
              </w:rPr>
              <w:t>performance</w:t>
            </w:r>
          </w:p>
          <w:p w14:paraId="61F6E5B5"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Single Cancer Pathway – access times</w:t>
            </w:r>
          </w:p>
          <w:p w14:paraId="57D74531"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Planned Care – access times</w:t>
            </w:r>
          </w:p>
          <w:p w14:paraId="78864CFA"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 xml:space="preserve">Child and Adolescent Mental Health </w:t>
            </w:r>
            <w:r w:rsidR="00943333" w:rsidRPr="008F0229">
              <w:rPr>
                <w:rFonts w:ascii="Arial" w:hAnsi="Arial" w:cs="Arial"/>
                <w:sz w:val="24"/>
                <w:szCs w:val="24"/>
              </w:rPr>
              <w:t xml:space="preserve">Services (CAMHS) </w:t>
            </w:r>
            <w:r w:rsidRPr="008F0229">
              <w:rPr>
                <w:rFonts w:ascii="Arial" w:hAnsi="Arial" w:cs="Arial"/>
                <w:sz w:val="24"/>
                <w:szCs w:val="24"/>
              </w:rPr>
              <w:t xml:space="preserve">and Neuro Development Disorders </w:t>
            </w:r>
            <w:r w:rsidR="00943333" w:rsidRPr="008F0229">
              <w:rPr>
                <w:rFonts w:ascii="Arial" w:hAnsi="Arial" w:cs="Arial"/>
                <w:sz w:val="24"/>
                <w:szCs w:val="24"/>
              </w:rPr>
              <w:t>(NDD)</w:t>
            </w:r>
            <w:r w:rsidR="00173CB2" w:rsidRPr="008F0229">
              <w:rPr>
                <w:rFonts w:ascii="Arial" w:hAnsi="Arial" w:cs="Arial"/>
                <w:sz w:val="24"/>
                <w:szCs w:val="24"/>
              </w:rPr>
              <w:t xml:space="preserve"> </w:t>
            </w:r>
            <w:r w:rsidRPr="008F0229">
              <w:rPr>
                <w:rFonts w:ascii="Arial" w:hAnsi="Arial" w:cs="Arial"/>
                <w:sz w:val="24"/>
                <w:szCs w:val="24"/>
              </w:rPr>
              <w:t>– access times</w:t>
            </w:r>
          </w:p>
          <w:p w14:paraId="53440D67"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Finance</w:t>
            </w:r>
          </w:p>
          <w:p w14:paraId="74C3088C" w14:textId="77777777" w:rsidR="002876E3" w:rsidRPr="00B1166E" w:rsidRDefault="002876E3" w:rsidP="002876E3">
            <w:pPr>
              <w:spacing w:after="0" w:line="240" w:lineRule="auto"/>
              <w:jc w:val="both"/>
              <w:rPr>
                <w:rFonts w:ascii="Arial" w:hAnsi="Arial" w:cs="Arial"/>
                <w:color w:val="FF0000"/>
                <w:sz w:val="24"/>
                <w:szCs w:val="24"/>
              </w:rPr>
            </w:pPr>
          </w:p>
          <w:p w14:paraId="792BE4C8" w14:textId="77777777" w:rsidR="002876E3" w:rsidRPr="008F0229" w:rsidRDefault="002876E3" w:rsidP="002876E3">
            <w:pPr>
              <w:spacing w:after="0" w:line="240" w:lineRule="auto"/>
              <w:jc w:val="both"/>
              <w:rPr>
                <w:rFonts w:ascii="Arial" w:hAnsi="Arial" w:cs="Arial"/>
                <w:sz w:val="24"/>
                <w:szCs w:val="24"/>
              </w:rPr>
            </w:pPr>
            <w:r w:rsidRPr="008F0229">
              <w:rPr>
                <w:rFonts w:ascii="Arial" w:hAnsi="Arial" w:cs="Arial"/>
                <w:sz w:val="24"/>
                <w:szCs w:val="24"/>
              </w:rPr>
              <w:t xml:space="preserve">In each of the sections of the report a confidence of delivery assessment is made and where an area is off target the required corrective actions are set out. </w:t>
            </w:r>
          </w:p>
          <w:p w14:paraId="23F4CBA9" w14:textId="77777777" w:rsidR="00173CB2" w:rsidRPr="00B1166E" w:rsidRDefault="00173CB2" w:rsidP="002876E3">
            <w:pPr>
              <w:spacing w:after="0" w:line="240" w:lineRule="auto"/>
              <w:jc w:val="both"/>
              <w:rPr>
                <w:rFonts w:ascii="Arial" w:hAnsi="Arial" w:cs="Arial"/>
                <w:color w:val="FF0000"/>
                <w:sz w:val="24"/>
                <w:szCs w:val="24"/>
              </w:rPr>
            </w:pPr>
          </w:p>
          <w:p w14:paraId="7D03D1D1" w14:textId="77777777" w:rsidR="00637DC1" w:rsidRDefault="00173CB2" w:rsidP="00637DC1">
            <w:pPr>
              <w:spacing w:after="0" w:line="240" w:lineRule="auto"/>
              <w:jc w:val="both"/>
              <w:rPr>
                <w:rFonts w:ascii="Arial" w:hAnsi="Arial" w:cs="Arial"/>
                <w:sz w:val="24"/>
                <w:szCs w:val="24"/>
              </w:rPr>
            </w:pPr>
            <w:r w:rsidRPr="00B1166E">
              <w:rPr>
                <w:rFonts w:ascii="Arial" w:hAnsi="Arial" w:cs="Arial"/>
                <w:b/>
                <w:sz w:val="24"/>
                <w:szCs w:val="24"/>
              </w:rPr>
              <w:t xml:space="preserve">Appendix </w:t>
            </w:r>
            <w:r w:rsidR="00F238CB" w:rsidRPr="00B1166E">
              <w:rPr>
                <w:rFonts w:ascii="Arial" w:hAnsi="Arial" w:cs="Arial"/>
                <w:b/>
                <w:sz w:val="24"/>
                <w:szCs w:val="24"/>
              </w:rPr>
              <w:t>1</w:t>
            </w:r>
            <w:r w:rsidR="00353850" w:rsidRPr="00B1166E">
              <w:rPr>
                <w:rFonts w:ascii="Arial" w:hAnsi="Arial" w:cs="Arial"/>
                <w:sz w:val="24"/>
                <w:szCs w:val="24"/>
              </w:rPr>
              <w:t xml:space="preserve"> to this report </w:t>
            </w:r>
            <w:r w:rsidR="00E56926">
              <w:rPr>
                <w:rFonts w:ascii="Arial" w:hAnsi="Arial" w:cs="Arial"/>
                <w:sz w:val="24"/>
                <w:szCs w:val="24"/>
              </w:rPr>
              <w:t>is the full Integrated Performance Report as reported to Performance and Finance Committee.</w:t>
            </w:r>
          </w:p>
          <w:p w14:paraId="7561B537" w14:textId="77777777" w:rsidR="00E56926" w:rsidRDefault="00E56926" w:rsidP="00637DC1">
            <w:pPr>
              <w:spacing w:after="0" w:line="240" w:lineRule="auto"/>
              <w:jc w:val="both"/>
              <w:rPr>
                <w:rFonts w:ascii="Arial" w:hAnsi="Arial" w:cs="Arial"/>
                <w:sz w:val="24"/>
                <w:szCs w:val="24"/>
              </w:rPr>
            </w:pPr>
          </w:p>
          <w:p w14:paraId="6C9562C2" w14:textId="2C2C85B4" w:rsidR="00E56926" w:rsidRDefault="00E56926" w:rsidP="00637DC1">
            <w:pPr>
              <w:spacing w:after="0" w:line="240" w:lineRule="auto"/>
              <w:jc w:val="both"/>
              <w:rPr>
                <w:rFonts w:ascii="Arial" w:hAnsi="Arial" w:cs="Arial"/>
                <w:sz w:val="24"/>
                <w:szCs w:val="24"/>
              </w:rPr>
            </w:pPr>
            <w:r>
              <w:rPr>
                <w:rFonts w:ascii="Arial" w:hAnsi="Arial" w:cs="Arial"/>
                <w:sz w:val="24"/>
                <w:szCs w:val="24"/>
              </w:rPr>
              <w:lastRenderedPageBreak/>
              <w:t>Through the Health Board’s ongoing discussions with Welsh Government and the NHS Executive clarity is being sought as to the key metrics to be monitored as part of th</w:t>
            </w:r>
            <w:r w:rsidR="001C099A">
              <w:rPr>
                <w:rFonts w:ascii="Arial" w:hAnsi="Arial" w:cs="Arial"/>
                <w:sz w:val="24"/>
                <w:szCs w:val="24"/>
              </w:rPr>
              <w:t xml:space="preserve">e Targeted Intervention and Enhanced Monitoring </w:t>
            </w:r>
            <w:r>
              <w:rPr>
                <w:rFonts w:ascii="Arial" w:hAnsi="Arial" w:cs="Arial"/>
                <w:sz w:val="24"/>
                <w:szCs w:val="24"/>
              </w:rPr>
              <w:t>process</w:t>
            </w:r>
            <w:r w:rsidR="001C099A">
              <w:rPr>
                <w:rFonts w:ascii="Arial" w:hAnsi="Arial" w:cs="Arial"/>
                <w:sz w:val="24"/>
                <w:szCs w:val="24"/>
              </w:rPr>
              <w:t>es</w:t>
            </w:r>
            <w:r>
              <w:rPr>
                <w:rFonts w:ascii="Arial" w:hAnsi="Arial" w:cs="Arial"/>
                <w:sz w:val="24"/>
                <w:szCs w:val="24"/>
              </w:rPr>
              <w:t xml:space="preserve"> and where improvement is required to de-escalate such areas. </w:t>
            </w:r>
          </w:p>
          <w:p w14:paraId="5BEE3883" w14:textId="77777777" w:rsidR="00E56926" w:rsidRDefault="00E56926" w:rsidP="00637DC1">
            <w:pPr>
              <w:spacing w:after="0" w:line="240" w:lineRule="auto"/>
              <w:jc w:val="both"/>
              <w:rPr>
                <w:rFonts w:ascii="Arial" w:hAnsi="Arial" w:cs="Arial"/>
                <w:sz w:val="24"/>
                <w:szCs w:val="24"/>
              </w:rPr>
            </w:pPr>
          </w:p>
          <w:p w14:paraId="3B82EBB0" w14:textId="77777777" w:rsidR="00E56926" w:rsidRDefault="00E56926" w:rsidP="00637DC1">
            <w:pPr>
              <w:spacing w:after="0" w:line="240" w:lineRule="auto"/>
              <w:jc w:val="both"/>
              <w:rPr>
                <w:rFonts w:ascii="Arial" w:hAnsi="Arial" w:cs="Arial"/>
                <w:sz w:val="24"/>
                <w:szCs w:val="24"/>
              </w:rPr>
            </w:pPr>
            <w:r>
              <w:rPr>
                <w:rFonts w:ascii="Arial" w:hAnsi="Arial" w:cs="Arial"/>
                <w:sz w:val="24"/>
                <w:szCs w:val="24"/>
              </w:rPr>
              <w:t>Once these are agreed this report will be updated to include these, along with 2024/25 Ministerial priorities to provide clarity to the Board on progress and status of actions.</w:t>
            </w:r>
          </w:p>
          <w:p w14:paraId="29AE80FD" w14:textId="77777777" w:rsidR="001C099A" w:rsidRDefault="001C099A" w:rsidP="00637DC1">
            <w:pPr>
              <w:spacing w:after="0" w:line="240" w:lineRule="auto"/>
              <w:jc w:val="both"/>
              <w:rPr>
                <w:rFonts w:ascii="Arial" w:hAnsi="Arial" w:cs="Arial"/>
                <w:sz w:val="24"/>
                <w:szCs w:val="24"/>
              </w:rPr>
            </w:pPr>
          </w:p>
          <w:p w14:paraId="0F85A2AC" w14:textId="5BCD4122" w:rsidR="001C099A" w:rsidRDefault="001C099A" w:rsidP="00637DC1">
            <w:pPr>
              <w:spacing w:after="0" w:line="240" w:lineRule="auto"/>
              <w:jc w:val="both"/>
              <w:rPr>
                <w:rFonts w:ascii="Arial" w:hAnsi="Arial" w:cs="Arial"/>
                <w:sz w:val="24"/>
                <w:szCs w:val="24"/>
              </w:rPr>
            </w:pPr>
            <w:r w:rsidRPr="001C099A">
              <w:rPr>
                <w:rFonts w:ascii="Arial" w:hAnsi="Arial" w:cs="Arial"/>
                <w:b/>
                <w:bCs/>
                <w:sz w:val="24"/>
                <w:szCs w:val="24"/>
              </w:rPr>
              <w:t>Appendix 2</w:t>
            </w:r>
            <w:r>
              <w:rPr>
                <w:rFonts w:ascii="Arial" w:hAnsi="Arial" w:cs="Arial"/>
                <w:sz w:val="24"/>
                <w:szCs w:val="24"/>
              </w:rPr>
              <w:t xml:space="preserve"> provides further information on the detailed elements of the plan that link to the performance delivery. </w:t>
            </w:r>
          </w:p>
          <w:p w14:paraId="0C08133B" w14:textId="00B85AE0" w:rsidR="00E56926" w:rsidRPr="00E56926" w:rsidRDefault="00E56926" w:rsidP="00637DC1">
            <w:pPr>
              <w:spacing w:after="0" w:line="240" w:lineRule="auto"/>
              <w:jc w:val="both"/>
              <w:rPr>
                <w:rFonts w:ascii="Arial" w:hAnsi="Arial" w:cs="Arial"/>
                <w:sz w:val="24"/>
                <w:szCs w:val="24"/>
              </w:rPr>
            </w:pPr>
            <w:r>
              <w:rPr>
                <w:rFonts w:ascii="Arial" w:hAnsi="Arial" w:cs="Arial"/>
                <w:sz w:val="24"/>
                <w:szCs w:val="24"/>
              </w:rPr>
              <w:t xml:space="preserve"> </w:t>
            </w:r>
          </w:p>
        </w:tc>
      </w:tr>
      <w:tr w:rsidR="00B1166E" w:rsidRPr="00B1166E" w14:paraId="0A546088" w14:textId="77777777" w:rsidTr="000507F1">
        <w:trPr>
          <w:trHeight w:val="97"/>
          <w:jc w:val="center"/>
        </w:trPr>
        <w:tc>
          <w:tcPr>
            <w:tcW w:w="2547" w:type="dxa"/>
            <w:vMerge w:val="restart"/>
          </w:tcPr>
          <w:p w14:paraId="3C5AF81C" w14:textId="77777777" w:rsidR="006147EB" w:rsidRPr="00B1166E" w:rsidRDefault="00C132AA" w:rsidP="00610DD2">
            <w:pPr>
              <w:spacing w:after="0" w:line="240" w:lineRule="auto"/>
              <w:rPr>
                <w:rFonts w:ascii="Arial" w:hAnsi="Arial" w:cs="Arial"/>
                <w:b/>
                <w:sz w:val="24"/>
                <w:szCs w:val="24"/>
              </w:rPr>
            </w:pPr>
            <w:r w:rsidRPr="00B1166E">
              <w:rPr>
                <w:rFonts w:ascii="Arial" w:hAnsi="Arial" w:cs="Arial"/>
                <w:b/>
                <w:sz w:val="24"/>
                <w:szCs w:val="24"/>
              </w:rPr>
              <w:lastRenderedPageBreak/>
              <w:t xml:space="preserve">Specific Action Required </w:t>
            </w:r>
          </w:p>
        </w:tc>
        <w:tc>
          <w:tcPr>
            <w:tcW w:w="1843" w:type="dxa"/>
            <w:shd w:val="clear" w:color="auto" w:fill="C6D9F1" w:themeFill="text2" w:themeFillTint="33"/>
          </w:tcPr>
          <w:p w14:paraId="08ED11B2" w14:textId="77777777" w:rsidR="00B378F9" w:rsidRPr="00B1166E" w:rsidRDefault="00B378F9" w:rsidP="00610DD2">
            <w:pPr>
              <w:spacing w:after="0" w:line="240" w:lineRule="auto"/>
              <w:jc w:val="center"/>
              <w:rPr>
                <w:rFonts w:ascii="Arial" w:hAnsi="Arial" w:cs="Arial"/>
                <w:b/>
                <w:sz w:val="24"/>
                <w:szCs w:val="24"/>
              </w:rPr>
            </w:pPr>
            <w:r w:rsidRPr="00B1166E">
              <w:rPr>
                <w:rFonts w:ascii="Arial" w:hAnsi="Arial" w:cs="Arial"/>
                <w:b/>
                <w:sz w:val="24"/>
                <w:szCs w:val="24"/>
              </w:rPr>
              <w:t>Information</w:t>
            </w:r>
          </w:p>
        </w:tc>
        <w:tc>
          <w:tcPr>
            <w:tcW w:w="1559" w:type="dxa"/>
            <w:shd w:val="clear" w:color="auto" w:fill="C6D9F1" w:themeFill="text2" w:themeFillTint="33"/>
          </w:tcPr>
          <w:p w14:paraId="09CC886C" w14:textId="77777777" w:rsidR="00B378F9" w:rsidRPr="00B1166E" w:rsidRDefault="00B378F9" w:rsidP="00610DD2">
            <w:pPr>
              <w:spacing w:after="0" w:line="240" w:lineRule="auto"/>
              <w:jc w:val="center"/>
              <w:rPr>
                <w:rFonts w:ascii="Arial" w:hAnsi="Arial" w:cs="Arial"/>
                <w:b/>
                <w:sz w:val="24"/>
                <w:szCs w:val="24"/>
              </w:rPr>
            </w:pPr>
            <w:r w:rsidRPr="00B1166E">
              <w:rPr>
                <w:rFonts w:ascii="Arial" w:hAnsi="Arial" w:cs="Arial"/>
                <w:b/>
                <w:sz w:val="24"/>
                <w:szCs w:val="24"/>
              </w:rPr>
              <w:t>Discussion</w:t>
            </w:r>
          </w:p>
        </w:tc>
        <w:tc>
          <w:tcPr>
            <w:tcW w:w="2126" w:type="dxa"/>
            <w:shd w:val="clear" w:color="auto" w:fill="C6D9F1" w:themeFill="text2" w:themeFillTint="33"/>
          </w:tcPr>
          <w:p w14:paraId="069A57E7" w14:textId="77777777" w:rsidR="00B378F9" w:rsidRPr="00B1166E" w:rsidRDefault="00B378F9" w:rsidP="00610DD2">
            <w:pPr>
              <w:spacing w:after="0" w:line="240" w:lineRule="auto"/>
              <w:jc w:val="center"/>
              <w:rPr>
                <w:rFonts w:ascii="Arial" w:hAnsi="Arial" w:cs="Arial"/>
                <w:b/>
                <w:sz w:val="24"/>
                <w:szCs w:val="24"/>
              </w:rPr>
            </w:pPr>
            <w:r w:rsidRPr="00B1166E">
              <w:rPr>
                <w:rFonts w:ascii="Arial" w:hAnsi="Arial" w:cs="Arial"/>
                <w:b/>
                <w:sz w:val="24"/>
                <w:szCs w:val="24"/>
              </w:rPr>
              <w:t>Assurance</w:t>
            </w:r>
          </w:p>
        </w:tc>
        <w:tc>
          <w:tcPr>
            <w:tcW w:w="1559" w:type="dxa"/>
            <w:shd w:val="clear" w:color="auto" w:fill="C6D9F1" w:themeFill="text2" w:themeFillTint="33"/>
          </w:tcPr>
          <w:p w14:paraId="6A2AE307" w14:textId="77777777" w:rsidR="00B378F9" w:rsidRPr="00B1166E" w:rsidRDefault="00B378F9" w:rsidP="00610DD2">
            <w:pPr>
              <w:spacing w:after="0" w:line="240" w:lineRule="auto"/>
              <w:jc w:val="center"/>
              <w:rPr>
                <w:rFonts w:ascii="Arial" w:hAnsi="Arial" w:cs="Arial"/>
                <w:b/>
                <w:sz w:val="24"/>
                <w:szCs w:val="24"/>
              </w:rPr>
            </w:pPr>
            <w:r w:rsidRPr="00B1166E">
              <w:rPr>
                <w:rFonts w:ascii="Arial" w:hAnsi="Arial" w:cs="Arial"/>
                <w:b/>
                <w:sz w:val="24"/>
                <w:szCs w:val="24"/>
              </w:rPr>
              <w:t>Approval</w:t>
            </w:r>
          </w:p>
        </w:tc>
      </w:tr>
      <w:tr w:rsidR="00B1166E" w:rsidRPr="00B1166E" w14:paraId="07414D4F" w14:textId="77777777" w:rsidTr="000507F1">
        <w:trPr>
          <w:trHeight w:val="96"/>
          <w:jc w:val="center"/>
        </w:trPr>
        <w:tc>
          <w:tcPr>
            <w:tcW w:w="2547" w:type="dxa"/>
            <w:vMerge/>
          </w:tcPr>
          <w:p w14:paraId="620804D7" w14:textId="77777777" w:rsidR="00B378F9" w:rsidRPr="00B1166E" w:rsidRDefault="00B378F9" w:rsidP="00610DD2">
            <w:pPr>
              <w:spacing w:after="0" w:line="240" w:lineRule="auto"/>
              <w:rPr>
                <w:rFonts w:ascii="Arial" w:hAnsi="Arial" w:cs="Arial"/>
                <w:b/>
                <w:sz w:val="24"/>
                <w:szCs w:val="24"/>
              </w:rPr>
            </w:pPr>
          </w:p>
        </w:tc>
        <w:tc>
          <w:tcPr>
            <w:tcW w:w="1843" w:type="dxa"/>
          </w:tcPr>
          <w:p w14:paraId="68AE983A" w14:textId="77777777" w:rsidR="00B378F9" w:rsidRPr="00B1166E" w:rsidRDefault="00B378F9" w:rsidP="00610DD2">
            <w:pPr>
              <w:spacing w:after="0" w:line="240" w:lineRule="auto"/>
              <w:ind w:right="96"/>
              <w:jc w:val="center"/>
              <w:rPr>
                <w:rFonts w:ascii="Arial" w:hAnsi="Arial" w:cs="Arial"/>
                <w:sz w:val="24"/>
                <w:szCs w:val="24"/>
              </w:rPr>
            </w:pPr>
            <w:r w:rsidRPr="00B1166E">
              <w:rPr>
                <w:rFonts w:ascii="Arial" w:hAnsi="Arial" w:cs="Arial"/>
                <w:sz w:val="32"/>
                <w:szCs w:val="24"/>
              </w:rPr>
              <w:sym w:font="Wingdings" w:char="F0FC"/>
            </w:r>
          </w:p>
        </w:tc>
        <w:tc>
          <w:tcPr>
            <w:tcW w:w="1559" w:type="dxa"/>
          </w:tcPr>
          <w:p w14:paraId="0D12C709" w14:textId="77777777" w:rsidR="00B378F9" w:rsidRPr="00B1166E" w:rsidRDefault="00B378F9" w:rsidP="00610DD2">
            <w:pPr>
              <w:spacing w:after="0" w:line="240" w:lineRule="auto"/>
              <w:ind w:right="96"/>
              <w:jc w:val="center"/>
              <w:rPr>
                <w:rFonts w:ascii="Arial" w:hAnsi="Arial" w:cs="Arial"/>
                <w:sz w:val="24"/>
                <w:szCs w:val="24"/>
              </w:rPr>
            </w:pPr>
          </w:p>
        </w:tc>
        <w:tc>
          <w:tcPr>
            <w:tcW w:w="2126" w:type="dxa"/>
          </w:tcPr>
          <w:p w14:paraId="246A4F35" w14:textId="77777777" w:rsidR="00B378F9" w:rsidRPr="00B1166E" w:rsidRDefault="0089131E" w:rsidP="00610DD2">
            <w:pPr>
              <w:spacing w:after="0" w:line="240" w:lineRule="auto"/>
              <w:ind w:right="96"/>
              <w:jc w:val="center"/>
              <w:rPr>
                <w:rFonts w:ascii="Arial" w:hAnsi="Arial" w:cs="Arial"/>
                <w:sz w:val="24"/>
                <w:szCs w:val="24"/>
              </w:rPr>
            </w:pPr>
            <w:r w:rsidRPr="00B1166E">
              <w:rPr>
                <w:rFonts w:ascii="Arial" w:hAnsi="Arial" w:cs="Arial"/>
                <w:sz w:val="32"/>
                <w:szCs w:val="24"/>
              </w:rPr>
              <w:sym w:font="Wingdings" w:char="F0FC"/>
            </w:r>
          </w:p>
        </w:tc>
        <w:tc>
          <w:tcPr>
            <w:tcW w:w="1559" w:type="dxa"/>
          </w:tcPr>
          <w:p w14:paraId="1D6D5ACE" w14:textId="77777777" w:rsidR="00B378F9" w:rsidRPr="00B1166E" w:rsidRDefault="00B378F9" w:rsidP="00610DD2">
            <w:pPr>
              <w:spacing w:after="0" w:line="240" w:lineRule="auto"/>
              <w:ind w:right="96"/>
              <w:jc w:val="center"/>
              <w:rPr>
                <w:rFonts w:ascii="Arial" w:hAnsi="Arial" w:cs="Arial"/>
                <w:sz w:val="24"/>
                <w:szCs w:val="24"/>
              </w:rPr>
            </w:pPr>
          </w:p>
        </w:tc>
      </w:tr>
      <w:tr w:rsidR="000B0150" w:rsidRPr="00B1166E" w14:paraId="499080B0" w14:textId="77777777" w:rsidTr="000507F1">
        <w:trPr>
          <w:jc w:val="center"/>
        </w:trPr>
        <w:tc>
          <w:tcPr>
            <w:tcW w:w="2547" w:type="dxa"/>
            <w:tcBorders>
              <w:bottom w:val="single" w:sz="4" w:space="0" w:color="auto"/>
            </w:tcBorders>
          </w:tcPr>
          <w:p w14:paraId="6F3F7336" w14:textId="77777777" w:rsidR="00B378F9" w:rsidRPr="00B1166E" w:rsidRDefault="00B378F9" w:rsidP="00610DD2">
            <w:pPr>
              <w:spacing w:after="0" w:line="240" w:lineRule="auto"/>
              <w:rPr>
                <w:rFonts w:ascii="Arial" w:hAnsi="Arial" w:cs="Arial"/>
                <w:b/>
                <w:sz w:val="24"/>
                <w:szCs w:val="24"/>
              </w:rPr>
            </w:pPr>
            <w:r w:rsidRPr="00B1166E">
              <w:rPr>
                <w:rFonts w:ascii="Arial" w:hAnsi="Arial" w:cs="Arial"/>
                <w:b/>
                <w:sz w:val="24"/>
                <w:szCs w:val="24"/>
              </w:rPr>
              <w:t>Recommendations</w:t>
            </w:r>
          </w:p>
          <w:p w14:paraId="7033E290" w14:textId="77777777" w:rsidR="00B378F9" w:rsidRPr="00B1166E" w:rsidRDefault="00B378F9" w:rsidP="00610DD2">
            <w:pPr>
              <w:spacing w:after="0" w:line="240" w:lineRule="auto"/>
              <w:rPr>
                <w:rFonts w:ascii="Arial" w:hAnsi="Arial" w:cs="Arial"/>
                <w:b/>
                <w:sz w:val="24"/>
                <w:szCs w:val="24"/>
              </w:rPr>
            </w:pPr>
          </w:p>
        </w:tc>
        <w:tc>
          <w:tcPr>
            <w:tcW w:w="7087" w:type="dxa"/>
            <w:gridSpan w:val="4"/>
            <w:tcBorders>
              <w:bottom w:val="single" w:sz="4" w:space="0" w:color="auto"/>
            </w:tcBorders>
          </w:tcPr>
          <w:p w14:paraId="1187A993" w14:textId="77777777" w:rsidR="00B378F9" w:rsidRPr="00B1166E" w:rsidRDefault="008F0F1F" w:rsidP="00610DD2">
            <w:pPr>
              <w:spacing w:after="0" w:line="240" w:lineRule="auto"/>
              <w:ind w:right="96"/>
              <w:jc w:val="both"/>
              <w:rPr>
                <w:rFonts w:ascii="Arial" w:hAnsi="Arial" w:cs="Arial"/>
                <w:sz w:val="24"/>
                <w:szCs w:val="24"/>
              </w:rPr>
            </w:pPr>
            <w:r w:rsidRPr="00B1166E">
              <w:rPr>
                <w:rFonts w:ascii="Arial" w:hAnsi="Arial" w:cs="Arial"/>
                <w:sz w:val="24"/>
                <w:szCs w:val="24"/>
              </w:rPr>
              <w:t>The</w:t>
            </w:r>
            <w:r w:rsidR="002C3360" w:rsidRPr="00B1166E">
              <w:rPr>
                <w:rFonts w:ascii="Arial" w:hAnsi="Arial" w:cs="Arial"/>
                <w:sz w:val="24"/>
                <w:szCs w:val="24"/>
              </w:rPr>
              <w:t xml:space="preserve"> Board </w:t>
            </w:r>
            <w:r w:rsidRPr="00B1166E">
              <w:rPr>
                <w:rFonts w:ascii="Arial" w:hAnsi="Arial" w:cs="Arial"/>
                <w:sz w:val="24"/>
                <w:szCs w:val="24"/>
              </w:rPr>
              <w:t xml:space="preserve">is </w:t>
            </w:r>
            <w:r w:rsidR="00B378F9" w:rsidRPr="00B1166E">
              <w:rPr>
                <w:rFonts w:ascii="Arial" w:hAnsi="Arial" w:cs="Arial"/>
                <w:sz w:val="24"/>
                <w:szCs w:val="24"/>
              </w:rPr>
              <w:t>asked to:</w:t>
            </w:r>
          </w:p>
          <w:p w14:paraId="1C81183D" w14:textId="77777777" w:rsidR="00194BA0" w:rsidRPr="00B1166E" w:rsidRDefault="00194BA0" w:rsidP="00194BA0">
            <w:pPr>
              <w:pStyle w:val="ListParagraph"/>
              <w:numPr>
                <w:ilvl w:val="0"/>
                <w:numId w:val="1"/>
              </w:numPr>
              <w:spacing w:after="0" w:line="240" w:lineRule="auto"/>
              <w:jc w:val="both"/>
              <w:rPr>
                <w:rFonts w:ascii="Arial" w:hAnsi="Arial" w:cs="Arial"/>
                <w:sz w:val="24"/>
                <w:szCs w:val="24"/>
              </w:rPr>
            </w:pPr>
            <w:r w:rsidRPr="00B1166E">
              <w:rPr>
                <w:rFonts w:ascii="Arial" w:hAnsi="Arial" w:cs="Arial"/>
                <w:b/>
                <w:sz w:val="24"/>
                <w:szCs w:val="24"/>
              </w:rPr>
              <w:t>NOTE:</w:t>
            </w:r>
            <w:r w:rsidRPr="00B1166E">
              <w:rPr>
                <w:rFonts w:ascii="Arial" w:hAnsi="Arial" w:cs="Arial"/>
                <w:sz w:val="24"/>
                <w:szCs w:val="24"/>
              </w:rPr>
              <w:t xml:space="preserve"> The Health Board perform</w:t>
            </w:r>
            <w:r w:rsidR="00AF13C9" w:rsidRPr="00B1166E">
              <w:rPr>
                <w:rFonts w:ascii="Arial" w:hAnsi="Arial" w:cs="Arial"/>
                <w:sz w:val="24"/>
                <w:szCs w:val="24"/>
              </w:rPr>
              <w:t xml:space="preserve">ance against the </w:t>
            </w:r>
            <w:r w:rsidR="00F14093" w:rsidRPr="00B1166E">
              <w:rPr>
                <w:rFonts w:ascii="Arial" w:hAnsi="Arial" w:cs="Arial"/>
                <w:sz w:val="24"/>
                <w:szCs w:val="24"/>
              </w:rPr>
              <w:t>Ministerial</w:t>
            </w:r>
            <w:r w:rsidR="00AF13C9" w:rsidRPr="00B1166E">
              <w:rPr>
                <w:rFonts w:ascii="Arial" w:hAnsi="Arial" w:cs="Arial"/>
                <w:sz w:val="24"/>
                <w:szCs w:val="24"/>
              </w:rPr>
              <w:t xml:space="preserve"> priorities</w:t>
            </w:r>
          </w:p>
          <w:p w14:paraId="7F91B9CA" w14:textId="77777777" w:rsidR="004D2765" w:rsidRDefault="00194BA0" w:rsidP="00943333">
            <w:pPr>
              <w:pStyle w:val="ListParagraph"/>
              <w:numPr>
                <w:ilvl w:val="0"/>
                <w:numId w:val="1"/>
              </w:numPr>
              <w:spacing w:after="0" w:line="240" w:lineRule="auto"/>
              <w:jc w:val="both"/>
              <w:rPr>
                <w:rFonts w:ascii="Arial" w:hAnsi="Arial" w:cs="Arial"/>
                <w:sz w:val="24"/>
                <w:szCs w:val="24"/>
              </w:rPr>
            </w:pPr>
            <w:r w:rsidRPr="00B1166E">
              <w:rPr>
                <w:rFonts w:ascii="Arial" w:hAnsi="Arial" w:cs="Arial"/>
                <w:b/>
                <w:sz w:val="24"/>
                <w:szCs w:val="24"/>
              </w:rPr>
              <w:t>NOTE:</w:t>
            </w:r>
            <w:r w:rsidR="00AF13C9" w:rsidRPr="00B1166E">
              <w:rPr>
                <w:rFonts w:ascii="Arial" w:hAnsi="Arial" w:cs="Arial"/>
                <w:sz w:val="24"/>
                <w:szCs w:val="24"/>
              </w:rPr>
              <w:t xml:space="preserve"> The actions planned for areas which are </w:t>
            </w:r>
            <w:r w:rsidR="00943333" w:rsidRPr="00B1166E">
              <w:rPr>
                <w:rFonts w:ascii="Arial" w:hAnsi="Arial" w:cs="Arial"/>
                <w:sz w:val="24"/>
                <w:szCs w:val="24"/>
              </w:rPr>
              <w:t xml:space="preserve">outside of </w:t>
            </w:r>
            <w:r w:rsidR="00AF13C9" w:rsidRPr="00B1166E">
              <w:rPr>
                <w:rFonts w:ascii="Arial" w:hAnsi="Arial" w:cs="Arial"/>
                <w:sz w:val="24"/>
                <w:szCs w:val="24"/>
              </w:rPr>
              <w:t>planned trajectory</w:t>
            </w:r>
          </w:p>
          <w:p w14:paraId="1F8B999B" w14:textId="257AB147" w:rsidR="00E56926" w:rsidRPr="00B1166E" w:rsidRDefault="00E56926" w:rsidP="00943333">
            <w:pPr>
              <w:pStyle w:val="ListParagraph"/>
              <w:numPr>
                <w:ilvl w:val="0"/>
                <w:numId w:val="1"/>
              </w:numPr>
              <w:spacing w:after="0" w:line="240" w:lineRule="auto"/>
              <w:jc w:val="both"/>
              <w:rPr>
                <w:rFonts w:ascii="Arial" w:hAnsi="Arial" w:cs="Arial"/>
                <w:sz w:val="24"/>
                <w:szCs w:val="24"/>
              </w:rPr>
            </w:pPr>
            <w:r>
              <w:rPr>
                <w:rFonts w:ascii="Arial" w:hAnsi="Arial" w:cs="Arial"/>
                <w:b/>
                <w:sz w:val="24"/>
                <w:szCs w:val="24"/>
              </w:rPr>
              <w:t>NOTE:</w:t>
            </w:r>
            <w:r>
              <w:rPr>
                <w:rFonts w:ascii="Arial" w:hAnsi="Arial" w:cs="Arial"/>
                <w:sz w:val="24"/>
                <w:szCs w:val="24"/>
              </w:rPr>
              <w:t xml:space="preserve"> The work planned to incorporate performance escalation metrics once agreed with Welsh Government and the NHS Executive.</w:t>
            </w:r>
          </w:p>
        </w:tc>
      </w:tr>
      <w:bookmarkEnd w:id="1"/>
    </w:tbl>
    <w:p w14:paraId="47A5AE50" w14:textId="77777777" w:rsidR="00F60570" w:rsidRPr="00B1166E" w:rsidRDefault="00F60570" w:rsidP="00C3673F">
      <w:pPr>
        <w:spacing w:after="0" w:line="240" w:lineRule="auto"/>
        <w:jc w:val="both"/>
        <w:rPr>
          <w:rFonts w:ascii="Arial" w:hAnsi="Arial" w:cs="Arial"/>
          <w:b/>
          <w:color w:val="FF0000"/>
          <w:sz w:val="24"/>
          <w:szCs w:val="24"/>
        </w:rPr>
      </w:pPr>
    </w:p>
    <w:p w14:paraId="3A1D0CC1" w14:textId="77777777" w:rsidR="00320620" w:rsidRPr="00B1166E" w:rsidRDefault="00320620">
      <w:pPr>
        <w:spacing w:after="160" w:line="259" w:lineRule="auto"/>
        <w:rPr>
          <w:rFonts w:ascii="Arial" w:hAnsi="Arial" w:cs="Arial"/>
          <w:b/>
          <w:color w:val="FF0000"/>
          <w:sz w:val="24"/>
          <w:szCs w:val="24"/>
        </w:rPr>
      </w:pPr>
    </w:p>
    <w:p w14:paraId="077F0BDA" w14:textId="77777777" w:rsidR="003932FC" w:rsidRPr="00B1166E" w:rsidRDefault="003932FC">
      <w:pPr>
        <w:spacing w:after="160" w:line="259" w:lineRule="auto"/>
        <w:rPr>
          <w:rFonts w:ascii="Arial" w:hAnsi="Arial" w:cs="Arial"/>
          <w:b/>
          <w:color w:val="FF0000"/>
          <w:sz w:val="24"/>
          <w:szCs w:val="24"/>
        </w:rPr>
      </w:pPr>
    </w:p>
    <w:p w14:paraId="2FF66577" w14:textId="77777777" w:rsidR="006B62F3" w:rsidRPr="00B1166E" w:rsidRDefault="006B62F3" w:rsidP="00807CA6">
      <w:pPr>
        <w:spacing w:after="0" w:line="240" w:lineRule="auto"/>
        <w:rPr>
          <w:rFonts w:ascii="Arial" w:hAnsi="Arial" w:cs="Arial"/>
          <w:b/>
          <w:color w:val="FF0000"/>
          <w:sz w:val="24"/>
          <w:szCs w:val="24"/>
        </w:rPr>
      </w:pPr>
    </w:p>
    <w:p w14:paraId="1A9F53B5" w14:textId="77777777" w:rsidR="00780E89" w:rsidRPr="00B1166E" w:rsidRDefault="00780E89" w:rsidP="00807CA6">
      <w:pPr>
        <w:spacing w:after="0" w:line="240" w:lineRule="auto"/>
        <w:rPr>
          <w:rFonts w:ascii="Arial" w:hAnsi="Arial" w:cs="Arial"/>
          <w:b/>
          <w:color w:val="FF0000"/>
          <w:sz w:val="24"/>
          <w:szCs w:val="24"/>
        </w:rPr>
      </w:pPr>
    </w:p>
    <w:p w14:paraId="6D5B198C" w14:textId="77777777" w:rsidR="00780E89" w:rsidRPr="00B1166E" w:rsidRDefault="00780E89" w:rsidP="00807CA6">
      <w:pPr>
        <w:spacing w:after="0" w:line="240" w:lineRule="auto"/>
        <w:rPr>
          <w:rFonts w:ascii="Arial" w:hAnsi="Arial" w:cs="Arial"/>
          <w:b/>
          <w:color w:val="FF0000"/>
          <w:sz w:val="24"/>
          <w:szCs w:val="24"/>
        </w:rPr>
      </w:pPr>
    </w:p>
    <w:p w14:paraId="5AF0050C" w14:textId="77777777" w:rsidR="00780E89" w:rsidRPr="00B1166E" w:rsidRDefault="00780E89" w:rsidP="00807CA6">
      <w:pPr>
        <w:spacing w:after="0" w:line="240" w:lineRule="auto"/>
        <w:rPr>
          <w:rFonts w:ascii="Arial" w:hAnsi="Arial" w:cs="Arial"/>
          <w:b/>
          <w:color w:val="FF0000"/>
          <w:sz w:val="24"/>
          <w:szCs w:val="24"/>
        </w:rPr>
      </w:pPr>
    </w:p>
    <w:p w14:paraId="44FE7A7F" w14:textId="77777777" w:rsidR="00780E89" w:rsidRPr="00B1166E" w:rsidRDefault="00780E89" w:rsidP="00807CA6">
      <w:pPr>
        <w:spacing w:after="0" w:line="240" w:lineRule="auto"/>
        <w:rPr>
          <w:rFonts w:ascii="Arial" w:hAnsi="Arial" w:cs="Arial"/>
          <w:b/>
          <w:color w:val="FF0000"/>
          <w:sz w:val="24"/>
          <w:szCs w:val="24"/>
        </w:rPr>
      </w:pPr>
    </w:p>
    <w:p w14:paraId="71AE2B82" w14:textId="77777777" w:rsidR="00780E89" w:rsidRPr="00B1166E" w:rsidRDefault="00780E89" w:rsidP="00807CA6">
      <w:pPr>
        <w:spacing w:after="0" w:line="240" w:lineRule="auto"/>
        <w:rPr>
          <w:rFonts w:ascii="Arial" w:hAnsi="Arial" w:cs="Arial"/>
          <w:b/>
          <w:color w:val="FF0000"/>
          <w:sz w:val="24"/>
          <w:szCs w:val="24"/>
        </w:rPr>
      </w:pPr>
    </w:p>
    <w:p w14:paraId="41C7FE1B" w14:textId="77777777" w:rsidR="00306A79" w:rsidRPr="00B1166E" w:rsidRDefault="00306A79" w:rsidP="00807CA6">
      <w:pPr>
        <w:spacing w:after="0" w:line="240" w:lineRule="auto"/>
        <w:rPr>
          <w:rFonts w:ascii="Arial" w:hAnsi="Arial" w:cs="Arial"/>
          <w:b/>
          <w:color w:val="FF0000"/>
          <w:sz w:val="24"/>
          <w:szCs w:val="24"/>
        </w:rPr>
      </w:pPr>
    </w:p>
    <w:p w14:paraId="306C3098" w14:textId="77777777" w:rsidR="00306A79" w:rsidRPr="00B1166E" w:rsidRDefault="00306A79" w:rsidP="00807CA6">
      <w:pPr>
        <w:spacing w:after="0" w:line="240" w:lineRule="auto"/>
        <w:rPr>
          <w:rFonts w:ascii="Arial" w:hAnsi="Arial" w:cs="Arial"/>
          <w:b/>
          <w:color w:val="FF0000"/>
          <w:sz w:val="24"/>
          <w:szCs w:val="24"/>
        </w:rPr>
      </w:pPr>
    </w:p>
    <w:p w14:paraId="41910871" w14:textId="77777777" w:rsidR="00306A79" w:rsidRPr="00B1166E" w:rsidRDefault="00306A79" w:rsidP="00807CA6">
      <w:pPr>
        <w:spacing w:after="0" w:line="240" w:lineRule="auto"/>
        <w:rPr>
          <w:rFonts w:ascii="Arial" w:hAnsi="Arial" w:cs="Arial"/>
          <w:b/>
          <w:color w:val="FF0000"/>
          <w:sz w:val="24"/>
          <w:szCs w:val="24"/>
        </w:rPr>
      </w:pPr>
    </w:p>
    <w:p w14:paraId="73FDACFE" w14:textId="77777777" w:rsidR="00637DC1" w:rsidRPr="00B1166E" w:rsidRDefault="00637DC1" w:rsidP="00807CA6">
      <w:pPr>
        <w:spacing w:after="0" w:line="240" w:lineRule="auto"/>
        <w:rPr>
          <w:rFonts w:ascii="Arial" w:hAnsi="Arial" w:cs="Arial"/>
          <w:b/>
          <w:color w:val="FF0000"/>
          <w:sz w:val="24"/>
          <w:szCs w:val="24"/>
        </w:rPr>
      </w:pPr>
    </w:p>
    <w:p w14:paraId="65E27339" w14:textId="77777777" w:rsidR="00637DC1" w:rsidRPr="00B1166E" w:rsidRDefault="00637DC1" w:rsidP="00807CA6">
      <w:pPr>
        <w:spacing w:after="0" w:line="240" w:lineRule="auto"/>
        <w:rPr>
          <w:rFonts w:ascii="Arial" w:hAnsi="Arial" w:cs="Arial"/>
          <w:b/>
          <w:color w:val="FF0000"/>
          <w:sz w:val="24"/>
          <w:szCs w:val="24"/>
        </w:rPr>
      </w:pPr>
    </w:p>
    <w:p w14:paraId="3B6B41BA" w14:textId="77777777" w:rsidR="00637DC1" w:rsidRPr="00B1166E" w:rsidRDefault="00637DC1" w:rsidP="00807CA6">
      <w:pPr>
        <w:spacing w:after="0" w:line="240" w:lineRule="auto"/>
        <w:rPr>
          <w:rFonts w:ascii="Arial" w:hAnsi="Arial" w:cs="Arial"/>
          <w:b/>
          <w:color w:val="FF0000"/>
          <w:sz w:val="24"/>
          <w:szCs w:val="24"/>
        </w:rPr>
      </w:pPr>
    </w:p>
    <w:p w14:paraId="1CC54541" w14:textId="77777777" w:rsidR="00194BA0" w:rsidRPr="00B1166E" w:rsidRDefault="00194BA0" w:rsidP="00807CA6">
      <w:pPr>
        <w:spacing w:after="0" w:line="240" w:lineRule="auto"/>
        <w:rPr>
          <w:rFonts w:ascii="Arial" w:hAnsi="Arial" w:cs="Arial"/>
          <w:b/>
          <w:color w:val="FF0000"/>
          <w:sz w:val="24"/>
          <w:szCs w:val="24"/>
        </w:rPr>
      </w:pPr>
    </w:p>
    <w:p w14:paraId="56FE896E" w14:textId="77777777" w:rsidR="00194BA0" w:rsidRPr="00B1166E" w:rsidRDefault="00194BA0" w:rsidP="00807CA6">
      <w:pPr>
        <w:spacing w:after="0" w:line="240" w:lineRule="auto"/>
        <w:rPr>
          <w:rFonts w:ascii="Arial" w:hAnsi="Arial" w:cs="Arial"/>
          <w:b/>
          <w:color w:val="FF0000"/>
          <w:sz w:val="24"/>
          <w:szCs w:val="24"/>
        </w:rPr>
      </w:pPr>
    </w:p>
    <w:p w14:paraId="7DEB315A" w14:textId="77777777" w:rsidR="00194BA0" w:rsidRPr="00B1166E" w:rsidRDefault="00194BA0" w:rsidP="00807CA6">
      <w:pPr>
        <w:spacing w:after="0" w:line="240" w:lineRule="auto"/>
        <w:rPr>
          <w:rFonts w:ascii="Arial" w:hAnsi="Arial" w:cs="Arial"/>
          <w:b/>
          <w:color w:val="FF0000"/>
          <w:sz w:val="24"/>
          <w:szCs w:val="24"/>
        </w:rPr>
      </w:pPr>
    </w:p>
    <w:p w14:paraId="42D13538" w14:textId="77777777" w:rsidR="00194BA0" w:rsidRPr="00B1166E" w:rsidRDefault="00194BA0" w:rsidP="00807CA6">
      <w:pPr>
        <w:spacing w:after="0" w:line="240" w:lineRule="auto"/>
        <w:rPr>
          <w:rFonts w:ascii="Arial" w:hAnsi="Arial" w:cs="Arial"/>
          <w:b/>
          <w:color w:val="FF0000"/>
          <w:sz w:val="24"/>
          <w:szCs w:val="24"/>
        </w:rPr>
      </w:pPr>
    </w:p>
    <w:p w14:paraId="6EF371FE" w14:textId="77777777" w:rsidR="00194BA0" w:rsidRPr="00B1166E" w:rsidRDefault="00194BA0" w:rsidP="00807CA6">
      <w:pPr>
        <w:spacing w:after="0" w:line="240" w:lineRule="auto"/>
        <w:rPr>
          <w:rFonts w:ascii="Arial" w:hAnsi="Arial" w:cs="Arial"/>
          <w:b/>
          <w:color w:val="FF0000"/>
          <w:sz w:val="24"/>
          <w:szCs w:val="24"/>
        </w:rPr>
      </w:pPr>
    </w:p>
    <w:p w14:paraId="0C691683" w14:textId="77777777" w:rsidR="00194BA0" w:rsidRPr="00B1166E" w:rsidRDefault="00194BA0" w:rsidP="00807CA6">
      <w:pPr>
        <w:spacing w:after="0" w:line="240" w:lineRule="auto"/>
        <w:rPr>
          <w:rFonts w:ascii="Arial" w:hAnsi="Arial" w:cs="Arial"/>
          <w:b/>
          <w:color w:val="FF0000"/>
          <w:sz w:val="24"/>
          <w:szCs w:val="24"/>
        </w:rPr>
      </w:pPr>
    </w:p>
    <w:p w14:paraId="36914F2C" w14:textId="77777777" w:rsidR="00194BA0" w:rsidRPr="00B1166E" w:rsidRDefault="00194BA0" w:rsidP="00807CA6">
      <w:pPr>
        <w:spacing w:after="0" w:line="240" w:lineRule="auto"/>
        <w:rPr>
          <w:rFonts w:ascii="Arial" w:hAnsi="Arial" w:cs="Arial"/>
          <w:b/>
          <w:color w:val="FF0000"/>
          <w:sz w:val="24"/>
          <w:szCs w:val="24"/>
        </w:rPr>
      </w:pPr>
    </w:p>
    <w:p w14:paraId="7F970B92" w14:textId="77777777" w:rsidR="00194BA0" w:rsidRPr="00B1166E" w:rsidRDefault="00194BA0" w:rsidP="00807CA6">
      <w:pPr>
        <w:spacing w:after="0" w:line="240" w:lineRule="auto"/>
        <w:rPr>
          <w:rFonts w:ascii="Arial" w:hAnsi="Arial" w:cs="Arial"/>
          <w:b/>
          <w:color w:val="FF0000"/>
          <w:sz w:val="24"/>
          <w:szCs w:val="24"/>
        </w:rPr>
      </w:pPr>
    </w:p>
    <w:p w14:paraId="60A3CFE8" w14:textId="77777777" w:rsidR="00943333" w:rsidRPr="00B1166E" w:rsidRDefault="00943333">
      <w:pPr>
        <w:spacing w:after="160" w:line="259" w:lineRule="auto"/>
        <w:rPr>
          <w:rFonts w:ascii="Arial" w:hAnsi="Arial" w:cs="Arial"/>
          <w:b/>
          <w:color w:val="FF0000"/>
          <w:sz w:val="24"/>
          <w:szCs w:val="24"/>
        </w:rPr>
      </w:pPr>
      <w:r w:rsidRPr="00B1166E">
        <w:rPr>
          <w:rFonts w:ascii="Arial" w:hAnsi="Arial" w:cs="Arial"/>
          <w:b/>
          <w:color w:val="FF0000"/>
          <w:sz w:val="24"/>
          <w:szCs w:val="24"/>
        </w:rPr>
        <w:br w:type="page"/>
      </w:r>
    </w:p>
    <w:p w14:paraId="076BD878" w14:textId="77777777" w:rsidR="00194BA0" w:rsidRPr="00B1166E" w:rsidRDefault="00194BA0" w:rsidP="00807CA6">
      <w:pPr>
        <w:spacing w:after="0" w:line="240" w:lineRule="auto"/>
        <w:rPr>
          <w:rFonts w:ascii="Arial" w:hAnsi="Arial" w:cs="Arial"/>
          <w:b/>
          <w:color w:val="FF0000"/>
          <w:sz w:val="24"/>
          <w:szCs w:val="24"/>
        </w:rPr>
      </w:pPr>
    </w:p>
    <w:p w14:paraId="4F5C1742" w14:textId="6DE49405" w:rsidR="0073267B" w:rsidRPr="00B1166E" w:rsidRDefault="00AF13C9" w:rsidP="00807CA6">
      <w:pPr>
        <w:spacing w:after="0" w:line="240" w:lineRule="auto"/>
        <w:jc w:val="both"/>
        <w:rPr>
          <w:rFonts w:ascii="Arial" w:hAnsi="Arial" w:cs="Arial"/>
          <w:sz w:val="24"/>
          <w:szCs w:val="24"/>
        </w:rPr>
      </w:pPr>
      <w:r w:rsidRPr="00B1166E">
        <w:rPr>
          <w:rFonts w:ascii="Arial" w:hAnsi="Arial" w:cs="Arial"/>
          <w:b/>
          <w:sz w:val="24"/>
          <w:szCs w:val="24"/>
        </w:rPr>
        <w:t xml:space="preserve">QUARTER </w:t>
      </w:r>
      <w:r w:rsidR="00B1166E" w:rsidRPr="00B1166E">
        <w:rPr>
          <w:rFonts w:ascii="Arial" w:hAnsi="Arial" w:cs="Arial"/>
          <w:b/>
          <w:sz w:val="24"/>
          <w:szCs w:val="24"/>
        </w:rPr>
        <w:t>2</w:t>
      </w:r>
      <w:r w:rsidRPr="00B1166E">
        <w:rPr>
          <w:rFonts w:ascii="Arial" w:hAnsi="Arial" w:cs="Arial"/>
          <w:b/>
          <w:sz w:val="24"/>
          <w:szCs w:val="24"/>
        </w:rPr>
        <w:t xml:space="preserve"> KEY PRIORITIES UPDATE REPORT</w:t>
      </w:r>
    </w:p>
    <w:p w14:paraId="1AF52A80" w14:textId="77777777" w:rsidR="00D1001B" w:rsidRPr="00B1166E" w:rsidRDefault="00D1001B" w:rsidP="00807CA6">
      <w:pPr>
        <w:spacing w:after="0" w:line="240" w:lineRule="auto"/>
        <w:jc w:val="both"/>
        <w:rPr>
          <w:rFonts w:ascii="Arial" w:hAnsi="Arial" w:cs="Arial"/>
          <w:sz w:val="24"/>
          <w:szCs w:val="24"/>
        </w:rPr>
      </w:pPr>
    </w:p>
    <w:p w14:paraId="4A6C3D14" w14:textId="77777777" w:rsidR="00943333" w:rsidRPr="00B1166E" w:rsidRDefault="00943333" w:rsidP="00807CA6">
      <w:pPr>
        <w:spacing w:after="0" w:line="240" w:lineRule="auto"/>
        <w:jc w:val="both"/>
        <w:rPr>
          <w:rFonts w:ascii="Arial" w:hAnsi="Arial" w:cs="Arial"/>
          <w:sz w:val="24"/>
          <w:szCs w:val="24"/>
        </w:rPr>
      </w:pPr>
    </w:p>
    <w:p w14:paraId="356FF42B" w14:textId="77777777" w:rsidR="0073267B" w:rsidRPr="00B1166E" w:rsidRDefault="00943333" w:rsidP="00EA4DD0">
      <w:pPr>
        <w:pStyle w:val="ListParagraph"/>
        <w:numPr>
          <w:ilvl w:val="0"/>
          <w:numId w:val="15"/>
        </w:numPr>
        <w:spacing w:after="0" w:line="240" w:lineRule="auto"/>
        <w:ind w:hanging="720"/>
        <w:jc w:val="both"/>
        <w:rPr>
          <w:rFonts w:ascii="Arial" w:hAnsi="Arial" w:cs="Arial"/>
          <w:b/>
          <w:sz w:val="24"/>
          <w:szCs w:val="24"/>
        </w:rPr>
      </w:pPr>
      <w:r w:rsidRPr="00B1166E">
        <w:rPr>
          <w:rFonts w:ascii="Arial" w:hAnsi="Arial" w:cs="Arial"/>
          <w:b/>
          <w:sz w:val="24"/>
          <w:szCs w:val="24"/>
        </w:rPr>
        <w:t>INTRODUCTION</w:t>
      </w:r>
    </w:p>
    <w:p w14:paraId="7DD11869" w14:textId="4F29D6CE" w:rsidR="00943333" w:rsidRPr="00B1166E" w:rsidRDefault="00031801" w:rsidP="009D1CD3">
      <w:pPr>
        <w:spacing w:after="0" w:line="240" w:lineRule="auto"/>
        <w:ind w:left="720"/>
        <w:jc w:val="both"/>
        <w:rPr>
          <w:rFonts w:ascii="Arial" w:hAnsi="Arial" w:cs="Arial"/>
          <w:sz w:val="24"/>
          <w:szCs w:val="24"/>
        </w:rPr>
      </w:pPr>
      <w:r w:rsidRPr="00B1166E">
        <w:rPr>
          <w:rFonts w:ascii="Arial" w:hAnsi="Arial" w:cs="Arial"/>
          <w:sz w:val="24"/>
          <w:szCs w:val="24"/>
        </w:rPr>
        <w:t>This report</w:t>
      </w:r>
      <w:r w:rsidR="0073267B" w:rsidRPr="00B1166E">
        <w:rPr>
          <w:rFonts w:ascii="Arial" w:hAnsi="Arial" w:cs="Arial"/>
          <w:sz w:val="24"/>
          <w:szCs w:val="24"/>
        </w:rPr>
        <w:t xml:space="preserve"> updates the </w:t>
      </w:r>
      <w:r w:rsidR="00637DC1" w:rsidRPr="00B1166E">
        <w:rPr>
          <w:rFonts w:ascii="Arial" w:hAnsi="Arial" w:cs="Arial"/>
          <w:sz w:val="24"/>
          <w:szCs w:val="24"/>
        </w:rPr>
        <w:t>Health</w:t>
      </w:r>
      <w:r w:rsidR="00C3673F" w:rsidRPr="00B1166E">
        <w:rPr>
          <w:rFonts w:ascii="Arial" w:hAnsi="Arial" w:cs="Arial"/>
          <w:sz w:val="24"/>
          <w:szCs w:val="24"/>
        </w:rPr>
        <w:t xml:space="preserve"> Board </w:t>
      </w:r>
      <w:r w:rsidR="0073267B" w:rsidRPr="00B1166E">
        <w:rPr>
          <w:rFonts w:ascii="Arial" w:hAnsi="Arial" w:cs="Arial"/>
          <w:sz w:val="24"/>
          <w:szCs w:val="24"/>
        </w:rPr>
        <w:t xml:space="preserve">on the performance of key </w:t>
      </w:r>
      <w:r w:rsidR="00637DC1" w:rsidRPr="00B1166E">
        <w:rPr>
          <w:rFonts w:ascii="Arial" w:hAnsi="Arial" w:cs="Arial"/>
          <w:sz w:val="24"/>
          <w:szCs w:val="24"/>
        </w:rPr>
        <w:t xml:space="preserve">ministerial priority measures in Quarter </w:t>
      </w:r>
      <w:r w:rsidR="001C099A">
        <w:rPr>
          <w:rFonts w:ascii="Arial" w:hAnsi="Arial" w:cs="Arial"/>
          <w:sz w:val="24"/>
          <w:szCs w:val="24"/>
        </w:rPr>
        <w:t>3</w:t>
      </w:r>
      <w:r w:rsidR="00637DC1" w:rsidRPr="00B1166E">
        <w:rPr>
          <w:rFonts w:ascii="Arial" w:hAnsi="Arial" w:cs="Arial"/>
          <w:sz w:val="24"/>
          <w:szCs w:val="24"/>
        </w:rPr>
        <w:t xml:space="preserve"> (</w:t>
      </w:r>
      <w:r w:rsidR="00A3704C" w:rsidRPr="00B1166E">
        <w:rPr>
          <w:rFonts w:ascii="Arial" w:hAnsi="Arial" w:cs="Arial"/>
          <w:sz w:val="24"/>
          <w:szCs w:val="24"/>
        </w:rPr>
        <w:t>202</w:t>
      </w:r>
      <w:r w:rsidR="00445C36" w:rsidRPr="00B1166E">
        <w:rPr>
          <w:rFonts w:ascii="Arial" w:hAnsi="Arial" w:cs="Arial"/>
          <w:sz w:val="24"/>
          <w:szCs w:val="24"/>
        </w:rPr>
        <w:t>3</w:t>
      </w:r>
      <w:r w:rsidR="00637DC1" w:rsidRPr="00B1166E">
        <w:rPr>
          <w:rFonts w:ascii="Arial" w:hAnsi="Arial" w:cs="Arial"/>
          <w:sz w:val="24"/>
          <w:szCs w:val="24"/>
        </w:rPr>
        <w:t>-24)</w:t>
      </w:r>
      <w:r w:rsidR="003932FC" w:rsidRPr="00B1166E">
        <w:rPr>
          <w:rFonts w:ascii="Arial" w:hAnsi="Arial" w:cs="Arial"/>
          <w:sz w:val="24"/>
          <w:szCs w:val="24"/>
        </w:rPr>
        <w:t>.</w:t>
      </w:r>
      <w:r w:rsidR="006D3B89" w:rsidRPr="00B1166E">
        <w:rPr>
          <w:rFonts w:ascii="Arial" w:hAnsi="Arial" w:cs="Arial"/>
          <w:sz w:val="24"/>
          <w:szCs w:val="24"/>
        </w:rPr>
        <w:t xml:space="preserve"> </w:t>
      </w:r>
      <w:r w:rsidR="0073267B" w:rsidRPr="00B1166E">
        <w:rPr>
          <w:rFonts w:ascii="Arial" w:hAnsi="Arial" w:cs="Arial"/>
          <w:sz w:val="24"/>
          <w:szCs w:val="24"/>
        </w:rPr>
        <w:t xml:space="preserve">This report is not an exhaustive assessment of </w:t>
      </w:r>
      <w:r w:rsidR="00637DC1" w:rsidRPr="00B1166E">
        <w:rPr>
          <w:rFonts w:ascii="Arial" w:hAnsi="Arial" w:cs="Arial"/>
          <w:sz w:val="24"/>
          <w:szCs w:val="24"/>
        </w:rPr>
        <w:t>all performance areas</w:t>
      </w:r>
      <w:r w:rsidR="0073267B" w:rsidRPr="00B1166E">
        <w:rPr>
          <w:rFonts w:ascii="Arial" w:hAnsi="Arial" w:cs="Arial"/>
          <w:sz w:val="24"/>
          <w:szCs w:val="24"/>
        </w:rPr>
        <w:t>, but a highlight report on the</w:t>
      </w:r>
      <w:r w:rsidR="007F0577" w:rsidRPr="00B1166E">
        <w:rPr>
          <w:rFonts w:ascii="Arial" w:hAnsi="Arial" w:cs="Arial"/>
          <w:sz w:val="24"/>
          <w:szCs w:val="24"/>
        </w:rPr>
        <w:t xml:space="preserve"> </w:t>
      </w:r>
      <w:r w:rsidR="00637DC1" w:rsidRPr="00B1166E">
        <w:rPr>
          <w:rFonts w:ascii="Arial" w:hAnsi="Arial" w:cs="Arial"/>
          <w:sz w:val="24"/>
          <w:szCs w:val="24"/>
        </w:rPr>
        <w:t xml:space="preserve">selected ministerial priority performance </w:t>
      </w:r>
      <w:r w:rsidR="007F0577" w:rsidRPr="00B1166E">
        <w:rPr>
          <w:rFonts w:ascii="Arial" w:hAnsi="Arial" w:cs="Arial"/>
          <w:sz w:val="24"/>
          <w:szCs w:val="24"/>
        </w:rPr>
        <w:t xml:space="preserve">areas of </w:t>
      </w:r>
      <w:r w:rsidR="001A7DF6" w:rsidRPr="00B1166E">
        <w:rPr>
          <w:rFonts w:ascii="Arial" w:hAnsi="Arial" w:cs="Arial"/>
          <w:sz w:val="24"/>
          <w:szCs w:val="24"/>
        </w:rPr>
        <w:t>unscheduled</w:t>
      </w:r>
      <w:r w:rsidR="00637DC1" w:rsidRPr="00B1166E">
        <w:rPr>
          <w:rFonts w:ascii="Arial" w:hAnsi="Arial" w:cs="Arial"/>
          <w:sz w:val="24"/>
          <w:szCs w:val="24"/>
        </w:rPr>
        <w:t xml:space="preserve"> care, </w:t>
      </w:r>
      <w:r w:rsidR="0073267B" w:rsidRPr="00B1166E">
        <w:rPr>
          <w:rFonts w:ascii="Arial" w:hAnsi="Arial" w:cs="Arial"/>
          <w:sz w:val="24"/>
          <w:szCs w:val="24"/>
        </w:rPr>
        <w:t>cancer</w:t>
      </w:r>
      <w:r w:rsidR="001A7DF6" w:rsidRPr="00B1166E">
        <w:rPr>
          <w:rFonts w:ascii="Arial" w:hAnsi="Arial" w:cs="Arial"/>
          <w:sz w:val="24"/>
          <w:szCs w:val="24"/>
        </w:rPr>
        <w:t xml:space="preserve"> </w:t>
      </w:r>
      <w:r w:rsidR="00637DC1" w:rsidRPr="00B1166E">
        <w:rPr>
          <w:rFonts w:ascii="Arial" w:hAnsi="Arial" w:cs="Arial"/>
          <w:sz w:val="24"/>
          <w:szCs w:val="24"/>
        </w:rPr>
        <w:t>services, planned care</w:t>
      </w:r>
      <w:r w:rsidR="007F0577" w:rsidRPr="00B1166E">
        <w:rPr>
          <w:rFonts w:ascii="Arial" w:hAnsi="Arial" w:cs="Arial"/>
          <w:sz w:val="24"/>
          <w:szCs w:val="24"/>
        </w:rPr>
        <w:t>,</w:t>
      </w:r>
      <w:r w:rsidR="00637DC1" w:rsidRPr="00B1166E">
        <w:rPr>
          <w:rFonts w:ascii="Arial" w:hAnsi="Arial" w:cs="Arial"/>
          <w:sz w:val="24"/>
          <w:szCs w:val="24"/>
        </w:rPr>
        <w:t xml:space="preserve"> </w:t>
      </w:r>
      <w:r w:rsidR="00943333" w:rsidRPr="00B1166E">
        <w:rPr>
          <w:rFonts w:ascii="Arial" w:hAnsi="Arial" w:cs="Arial"/>
          <w:sz w:val="24"/>
          <w:szCs w:val="24"/>
        </w:rPr>
        <w:t xml:space="preserve">CAMHS, NDD </w:t>
      </w:r>
      <w:r w:rsidR="00637DC1" w:rsidRPr="00B1166E">
        <w:rPr>
          <w:rFonts w:ascii="Arial" w:hAnsi="Arial" w:cs="Arial"/>
          <w:sz w:val="24"/>
          <w:szCs w:val="24"/>
        </w:rPr>
        <w:t>and Finance.</w:t>
      </w:r>
      <w:r w:rsidR="009D1CD3">
        <w:rPr>
          <w:rFonts w:ascii="Arial" w:hAnsi="Arial" w:cs="Arial"/>
          <w:sz w:val="24"/>
          <w:szCs w:val="24"/>
        </w:rPr>
        <w:t xml:space="preserve"> </w:t>
      </w:r>
      <w:r w:rsidR="00943333" w:rsidRPr="00B1166E">
        <w:rPr>
          <w:rFonts w:ascii="Arial" w:hAnsi="Arial" w:cs="Arial"/>
          <w:sz w:val="24"/>
          <w:szCs w:val="24"/>
        </w:rPr>
        <w:t>The metrics reported are as follows: -</w:t>
      </w:r>
    </w:p>
    <w:p w14:paraId="59A26942" w14:textId="77777777" w:rsidR="00943333" w:rsidRPr="00B1166E" w:rsidRDefault="00943333" w:rsidP="00943333">
      <w:pPr>
        <w:spacing w:after="0" w:line="240" w:lineRule="auto"/>
        <w:ind w:left="1080"/>
        <w:jc w:val="both"/>
        <w:rPr>
          <w:rFonts w:ascii="Arial" w:hAnsi="Arial" w:cs="Arial"/>
          <w:sz w:val="24"/>
          <w:szCs w:val="24"/>
        </w:rPr>
      </w:pPr>
    </w:p>
    <w:p w14:paraId="46ACDF38"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Unscheduled Care – access times</w:t>
      </w:r>
    </w:p>
    <w:p w14:paraId="70FC43CD" w14:textId="77777777" w:rsidR="00943333" w:rsidRPr="00B1166E" w:rsidRDefault="00943333" w:rsidP="00AB607E">
      <w:pPr>
        <w:pStyle w:val="ListParagraph"/>
        <w:numPr>
          <w:ilvl w:val="0"/>
          <w:numId w:val="34"/>
        </w:numPr>
        <w:spacing w:after="0" w:line="240" w:lineRule="auto"/>
        <w:jc w:val="both"/>
        <w:rPr>
          <w:rFonts w:ascii="Arial" w:hAnsi="Arial" w:cs="Arial"/>
          <w:sz w:val="24"/>
          <w:szCs w:val="24"/>
        </w:rPr>
      </w:pPr>
      <w:r w:rsidRPr="00B1166E">
        <w:rPr>
          <w:rFonts w:ascii="Arial" w:hAnsi="Arial" w:cs="Arial"/>
          <w:sz w:val="24"/>
          <w:szCs w:val="24"/>
        </w:rPr>
        <w:t>4 hour waits (%) in the Emergency Department (ED)</w:t>
      </w:r>
    </w:p>
    <w:p w14:paraId="18C21539" w14:textId="77777777" w:rsidR="00943333" w:rsidRPr="00B1166E" w:rsidRDefault="00943333" w:rsidP="00AB607E">
      <w:pPr>
        <w:pStyle w:val="ListParagraph"/>
        <w:numPr>
          <w:ilvl w:val="0"/>
          <w:numId w:val="34"/>
        </w:numPr>
        <w:spacing w:after="0" w:line="240" w:lineRule="auto"/>
        <w:jc w:val="both"/>
        <w:rPr>
          <w:rFonts w:ascii="Arial" w:hAnsi="Arial" w:cs="Arial"/>
          <w:sz w:val="24"/>
          <w:szCs w:val="24"/>
        </w:rPr>
      </w:pPr>
      <w:r w:rsidRPr="00B1166E">
        <w:rPr>
          <w:rFonts w:ascii="Arial" w:hAnsi="Arial" w:cs="Arial"/>
          <w:sz w:val="24"/>
          <w:szCs w:val="24"/>
        </w:rPr>
        <w:t>12 hour waits (#) in the ED</w:t>
      </w:r>
    </w:p>
    <w:p w14:paraId="7F36107B" w14:textId="1904E054" w:rsidR="00943333" w:rsidRPr="009D1CD3" w:rsidRDefault="00943333" w:rsidP="009D1CD3">
      <w:pPr>
        <w:spacing w:after="0" w:line="240" w:lineRule="auto"/>
        <w:ind w:left="720"/>
        <w:jc w:val="both"/>
        <w:rPr>
          <w:rFonts w:ascii="Arial" w:hAnsi="Arial" w:cs="Arial"/>
          <w:b/>
          <w:sz w:val="24"/>
          <w:szCs w:val="24"/>
        </w:rPr>
      </w:pPr>
      <w:r w:rsidRPr="00B1166E">
        <w:rPr>
          <w:rFonts w:ascii="Arial" w:hAnsi="Arial" w:cs="Arial"/>
          <w:b/>
          <w:sz w:val="24"/>
          <w:szCs w:val="24"/>
        </w:rPr>
        <w:t>Unscheduled Care – ambulance performance</w:t>
      </w:r>
    </w:p>
    <w:p w14:paraId="58234AE0" w14:textId="77777777" w:rsidR="00943333" w:rsidRPr="00B1166E" w:rsidRDefault="00943333" w:rsidP="00AB607E">
      <w:pPr>
        <w:pStyle w:val="ListParagraph"/>
        <w:numPr>
          <w:ilvl w:val="0"/>
          <w:numId w:val="35"/>
        </w:numPr>
        <w:spacing w:after="0" w:line="240" w:lineRule="auto"/>
        <w:jc w:val="both"/>
        <w:rPr>
          <w:rFonts w:ascii="Arial" w:hAnsi="Arial" w:cs="Arial"/>
          <w:sz w:val="24"/>
          <w:szCs w:val="24"/>
        </w:rPr>
      </w:pPr>
      <w:r w:rsidRPr="00B1166E">
        <w:rPr>
          <w:rFonts w:ascii="Arial" w:hAnsi="Arial" w:cs="Arial"/>
          <w:sz w:val="24"/>
          <w:szCs w:val="24"/>
        </w:rPr>
        <w:t>Ambulance handovers – lost hours (#)</w:t>
      </w:r>
    </w:p>
    <w:p w14:paraId="5CFC4785"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Single Cancer Pathway – access times</w:t>
      </w:r>
    </w:p>
    <w:p w14:paraId="5550927B" w14:textId="77777777" w:rsidR="00943333" w:rsidRPr="00B1166E" w:rsidRDefault="00173CB2" w:rsidP="00AB607E">
      <w:pPr>
        <w:pStyle w:val="ListParagraph"/>
        <w:numPr>
          <w:ilvl w:val="0"/>
          <w:numId w:val="36"/>
        </w:numPr>
        <w:spacing w:after="0" w:line="240" w:lineRule="auto"/>
        <w:jc w:val="both"/>
        <w:rPr>
          <w:rFonts w:ascii="Arial" w:hAnsi="Arial" w:cs="Arial"/>
          <w:sz w:val="24"/>
          <w:szCs w:val="24"/>
        </w:rPr>
      </w:pPr>
      <w:r w:rsidRPr="00B1166E">
        <w:rPr>
          <w:rFonts w:ascii="Arial" w:hAnsi="Arial" w:cs="Arial"/>
          <w:sz w:val="24"/>
          <w:szCs w:val="24"/>
        </w:rPr>
        <w:t>62 day access time delivery (%)</w:t>
      </w:r>
    </w:p>
    <w:p w14:paraId="0F10585F" w14:textId="77777777" w:rsidR="00173CB2" w:rsidRPr="00B1166E" w:rsidRDefault="00173CB2" w:rsidP="00AB607E">
      <w:pPr>
        <w:pStyle w:val="ListParagraph"/>
        <w:numPr>
          <w:ilvl w:val="0"/>
          <w:numId w:val="36"/>
        </w:numPr>
        <w:spacing w:after="0" w:line="240" w:lineRule="auto"/>
        <w:jc w:val="both"/>
        <w:rPr>
          <w:rFonts w:ascii="Arial" w:hAnsi="Arial" w:cs="Arial"/>
          <w:sz w:val="24"/>
          <w:szCs w:val="24"/>
        </w:rPr>
      </w:pPr>
      <w:r w:rsidRPr="00B1166E">
        <w:rPr>
          <w:rFonts w:ascii="Arial" w:hAnsi="Arial" w:cs="Arial"/>
          <w:sz w:val="24"/>
          <w:szCs w:val="24"/>
        </w:rPr>
        <w:t>Patients waiting over 63 days (#)</w:t>
      </w:r>
    </w:p>
    <w:p w14:paraId="011AE645"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Planned Care – access times</w:t>
      </w:r>
    </w:p>
    <w:p w14:paraId="00008990" w14:textId="77777777" w:rsidR="00173CB2" w:rsidRPr="00B1166E" w:rsidRDefault="00173CB2" w:rsidP="00AB607E">
      <w:pPr>
        <w:pStyle w:val="ListParagraph"/>
        <w:numPr>
          <w:ilvl w:val="0"/>
          <w:numId w:val="37"/>
        </w:numPr>
        <w:spacing w:after="0" w:line="240" w:lineRule="auto"/>
        <w:jc w:val="both"/>
        <w:rPr>
          <w:rFonts w:ascii="Arial" w:hAnsi="Arial" w:cs="Arial"/>
          <w:sz w:val="24"/>
          <w:szCs w:val="24"/>
        </w:rPr>
      </w:pPr>
      <w:r w:rsidRPr="00B1166E">
        <w:rPr>
          <w:rFonts w:ascii="Arial" w:hAnsi="Arial" w:cs="Arial"/>
          <w:sz w:val="24"/>
          <w:szCs w:val="24"/>
        </w:rPr>
        <w:t>104 week waits (#) all patients</w:t>
      </w:r>
    </w:p>
    <w:p w14:paraId="2FA9F809" w14:textId="77777777" w:rsidR="00173CB2" w:rsidRDefault="00173CB2" w:rsidP="00AB607E">
      <w:pPr>
        <w:pStyle w:val="ListParagraph"/>
        <w:numPr>
          <w:ilvl w:val="0"/>
          <w:numId w:val="37"/>
        </w:numPr>
        <w:spacing w:after="0" w:line="240" w:lineRule="auto"/>
        <w:jc w:val="both"/>
        <w:rPr>
          <w:rFonts w:ascii="Arial" w:hAnsi="Arial" w:cs="Arial"/>
          <w:sz w:val="24"/>
          <w:szCs w:val="24"/>
        </w:rPr>
      </w:pPr>
      <w:r w:rsidRPr="00B1166E">
        <w:rPr>
          <w:rFonts w:ascii="Arial" w:hAnsi="Arial" w:cs="Arial"/>
          <w:sz w:val="24"/>
          <w:szCs w:val="24"/>
        </w:rPr>
        <w:t>52 week waits (#) outpatients only</w:t>
      </w:r>
    </w:p>
    <w:p w14:paraId="15F5BE36" w14:textId="17B5F5BD" w:rsidR="009D1CD3" w:rsidRPr="00B1166E" w:rsidRDefault="009D1CD3" w:rsidP="00AB607E">
      <w:pPr>
        <w:pStyle w:val="ListParagraph"/>
        <w:numPr>
          <w:ilvl w:val="0"/>
          <w:numId w:val="37"/>
        </w:numPr>
        <w:spacing w:after="0" w:line="240" w:lineRule="auto"/>
        <w:jc w:val="both"/>
        <w:rPr>
          <w:rFonts w:ascii="Arial" w:hAnsi="Arial" w:cs="Arial"/>
          <w:sz w:val="24"/>
          <w:szCs w:val="24"/>
        </w:rPr>
      </w:pPr>
      <w:r>
        <w:rPr>
          <w:rFonts w:ascii="Arial" w:hAnsi="Arial" w:cs="Arial"/>
          <w:sz w:val="24"/>
          <w:szCs w:val="24"/>
        </w:rPr>
        <w:t>Endoscopy 8 week waits (#)</w:t>
      </w:r>
    </w:p>
    <w:p w14:paraId="269D4261"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Child and Adolescent Mental Health Services (CAMHS) and Neuro Development Disorders (NDD)</w:t>
      </w:r>
      <w:r w:rsidR="00173CB2" w:rsidRPr="00B1166E">
        <w:rPr>
          <w:rFonts w:ascii="Arial" w:hAnsi="Arial" w:cs="Arial"/>
          <w:b/>
          <w:sz w:val="24"/>
          <w:szCs w:val="24"/>
        </w:rPr>
        <w:t xml:space="preserve"> </w:t>
      </w:r>
      <w:r w:rsidRPr="00B1166E">
        <w:rPr>
          <w:rFonts w:ascii="Arial" w:hAnsi="Arial" w:cs="Arial"/>
          <w:b/>
          <w:sz w:val="24"/>
          <w:szCs w:val="24"/>
        </w:rPr>
        <w:t>– access times</w:t>
      </w:r>
    </w:p>
    <w:p w14:paraId="2B86355B" w14:textId="5B6FBED7" w:rsidR="00353850" w:rsidRPr="009D1CD3" w:rsidRDefault="00353850" w:rsidP="009D1CD3">
      <w:pPr>
        <w:pStyle w:val="ListParagraph"/>
        <w:numPr>
          <w:ilvl w:val="0"/>
          <w:numId w:val="39"/>
        </w:numPr>
        <w:spacing w:after="0" w:line="240" w:lineRule="auto"/>
        <w:jc w:val="both"/>
        <w:rPr>
          <w:rFonts w:ascii="Arial" w:hAnsi="Arial" w:cs="Arial"/>
          <w:sz w:val="24"/>
          <w:szCs w:val="24"/>
        </w:rPr>
      </w:pPr>
      <w:r w:rsidRPr="00B1166E">
        <w:rPr>
          <w:rFonts w:ascii="Arial" w:hAnsi="Arial" w:cs="Arial"/>
          <w:sz w:val="24"/>
          <w:szCs w:val="24"/>
        </w:rPr>
        <w:t>CAMHS Part 1a – assessments undertaken within 28 days (%)</w:t>
      </w:r>
    </w:p>
    <w:p w14:paraId="2D5E01BF" w14:textId="52264395" w:rsidR="00353850" w:rsidRDefault="00353850" w:rsidP="009D1CD3">
      <w:pPr>
        <w:pStyle w:val="ListParagraph"/>
        <w:numPr>
          <w:ilvl w:val="0"/>
          <w:numId w:val="39"/>
        </w:numPr>
        <w:spacing w:after="0" w:line="240" w:lineRule="auto"/>
        <w:jc w:val="both"/>
        <w:rPr>
          <w:rFonts w:ascii="Arial" w:hAnsi="Arial" w:cs="Arial"/>
          <w:sz w:val="24"/>
          <w:szCs w:val="24"/>
        </w:rPr>
      </w:pPr>
      <w:r w:rsidRPr="00B1166E">
        <w:rPr>
          <w:rFonts w:ascii="Arial" w:hAnsi="Arial" w:cs="Arial"/>
          <w:sz w:val="24"/>
          <w:szCs w:val="24"/>
        </w:rPr>
        <w:t>CAMHS Part 1b – interventions undertaken within 28 days (%)</w:t>
      </w:r>
    </w:p>
    <w:p w14:paraId="6F846918" w14:textId="055BA12D" w:rsidR="009D1CD3" w:rsidRPr="009D1CD3" w:rsidRDefault="009D1CD3" w:rsidP="009D1CD3">
      <w:pPr>
        <w:pStyle w:val="ListParagraph"/>
        <w:numPr>
          <w:ilvl w:val="0"/>
          <w:numId w:val="39"/>
        </w:numPr>
        <w:spacing w:after="0" w:line="240" w:lineRule="auto"/>
        <w:jc w:val="both"/>
        <w:rPr>
          <w:rFonts w:ascii="Arial" w:hAnsi="Arial" w:cs="Arial"/>
          <w:sz w:val="24"/>
          <w:szCs w:val="24"/>
        </w:rPr>
      </w:pPr>
      <w:r>
        <w:rPr>
          <w:rFonts w:ascii="Arial" w:hAnsi="Arial" w:cs="Arial"/>
          <w:sz w:val="24"/>
          <w:szCs w:val="24"/>
        </w:rPr>
        <w:t>CAMHS Part 2 – patients in receipt of secondary mental health Care and Treatment Plan (%)</w:t>
      </w:r>
    </w:p>
    <w:p w14:paraId="0A75D195" w14:textId="77777777" w:rsidR="00173CB2" w:rsidRPr="00B1166E" w:rsidRDefault="00353850" w:rsidP="00AB607E">
      <w:pPr>
        <w:pStyle w:val="ListParagraph"/>
        <w:numPr>
          <w:ilvl w:val="0"/>
          <w:numId w:val="39"/>
        </w:numPr>
        <w:spacing w:after="0" w:line="240" w:lineRule="auto"/>
        <w:jc w:val="both"/>
        <w:rPr>
          <w:rFonts w:ascii="Arial" w:hAnsi="Arial" w:cs="Arial"/>
          <w:sz w:val="24"/>
          <w:szCs w:val="24"/>
        </w:rPr>
      </w:pPr>
      <w:r w:rsidRPr="00B1166E">
        <w:rPr>
          <w:rFonts w:ascii="Arial" w:hAnsi="Arial" w:cs="Arial"/>
          <w:sz w:val="24"/>
          <w:szCs w:val="24"/>
        </w:rPr>
        <w:t>NDD – patients waiting for an ADHD or ASD assessment within 26 weeks (%)</w:t>
      </w:r>
    </w:p>
    <w:p w14:paraId="64F608C2"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Finance</w:t>
      </w:r>
    </w:p>
    <w:p w14:paraId="4DBAED31" w14:textId="77777777" w:rsidR="0073267B" w:rsidRPr="00B1166E" w:rsidRDefault="00173CB2" w:rsidP="00AB607E">
      <w:pPr>
        <w:pStyle w:val="ListParagraph"/>
        <w:numPr>
          <w:ilvl w:val="0"/>
          <w:numId w:val="38"/>
        </w:numPr>
        <w:spacing w:after="0" w:line="240" w:lineRule="auto"/>
        <w:jc w:val="both"/>
        <w:rPr>
          <w:rFonts w:ascii="Arial" w:hAnsi="Arial" w:cs="Arial"/>
          <w:sz w:val="24"/>
          <w:szCs w:val="24"/>
        </w:rPr>
      </w:pPr>
      <w:r w:rsidRPr="00B1166E">
        <w:rPr>
          <w:rFonts w:ascii="Arial" w:hAnsi="Arial" w:cs="Arial"/>
          <w:sz w:val="24"/>
          <w:szCs w:val="24"/>
        </w:rPr>
        <w:t>Spend against plan areas</w:t>
      </w:r>
    </w:p>
    <w:p w14:paraId="172A4E2A" w14:textId="77777777" w:rsidR="00173CB2" w:rsidRPr="00B1166E" w:rsidRDefault="00173CB2" w:rsidP="00AB607E">
      <w:pPr>
        <w:pStyle w:val="ListParagraph"/>
        <w:numPr>
          <w:ilvl w:val="0"/>
          <w:numId w:val="38"/>
        </w:numPr>
        <w:spacing w:after="0" w:line="240" w:lineRule="auto"/>
        <w:jc w:val="both"/>
        <w:rPr>
          <w:rFonts w:ascii="Arial" w:hAnsi="Arial" w:cs="Arial"/>
          <w:sz w:val="24"/>
          <w:szCs w:val="24"/>
        </w:rPr>
      </w:pPr>
      <w:r w:rsidRPr="00B1166E">
        <w:rPr>
          <w:rFonts w:ascii="Arial" w:hAnsi="Arial" w:cs="Arial"/>
          <w:sz w:val="24"/>
          <w:szCs w:val="24"/>
        </w:rPr>
        <w:t>Overall delivery against plan</w:t>
      </w:r>
    </w:p>
    <w:p w14:paraId="4D05612C" w14:textId="77777777" w:rsidR="00E916F6" w:rsidRDefault="00E916F6" w:rsidP="0073267B">
      <w:pPr>
        <w:spacing w:after="0" w:line="240" w:lineRule="auto"/>
        <w:ind w:left="720"/>
        <w:jc w:val="both"/>
        <w:rPr>
          <w:rFonts w:ascii="Arial" w:hAnsi="Arial" w:cs="Arial"/>
          <w:sz w:val="24"/>
          <w:szCs w:val="24"/>
        </w:rPr>
      </w:pPr>
    </w:p>
    <w:p w14:paraId="7EC320D4" w14:textId="362E8209" w:rsidR="001C099A" w:rsidRDefault="001C099A" w:rsidP="0073267B">
      <w:pPr>
        <w:spacing w:after="0" w:line="240" w:lineRule="auto"/>
        <w:ind w:left="720"/>
        <w:jc w:val="both"/>
        <w:rPr>
          <w:rFonts w:ascii="Arial" w:hAnsi="Arial" w:cs="Arial"/>
          <w:sz w:val="24"/>
          <w:szCs w:val="24"/>
        </w:rPr>
      </w:pPr>
      <w:r>
        <w:rPr>
          <w:rFonts w:ascii="Arial" w:hAnsi="Arial" w:cs="Arial"/>
          <w:sz w:val="24"/>
          <w:szCs w:val="24"/>
        </w:rPr>
        <w:t xml:space="preserve">The routine Health Board Integrated Performance Report is attached as </w:t>
      </w:r>
      <w:r w:rsidRPr="001C099A">
        <w:rPr>
          <w:rFonts w:ascii="Arial" w:hAnsi="Arial" w:cs="Arial"/>
          <w:b/>
          <w:bCs/>
          <w:sz w:val="24"/>
          <w:szCs w:val="24"/>
        </w:rPr>
        <w:t>Appendix 1</w:t>
      </w:r>
      <w:r>
        <w:rPr>
          <w:rFonts w:ascii="Arial" w:hAnsi="Arial" w:cs="Arial"/>
          <w:sz w:val="24"/>
          <w:szCs w:val="24"/>
        </w:rPr>
        <w:t xml:space="preserve"> for the Board’s information.</w:t>
      </w:r>
    </w:p>
    <w:p w14:paraId="15510855" w14:textId="77777777" w:rsidR="001C099A" w:rsidRPr="00B1166E" w:rsidRDefault="001C099A" w:rsidP="0073267B">
      <w:pPr>
        <w:spacing w:after="0" w:line="240" w:lineRule="auto"/>
        <w:ind w:left="720"/>
        <w:jc w:val="both"/>
        <w:rPr>
          <w:rFonts w:ascii="Arial" w:hAnsi="Arial" w:cs="Arial"/>
          <w:sz w:val="24"/>
          <w:szCs w:val="24"/>
        </w:rPr>
      </w:pPr>
    </w:p>
    <w:p w14:paraId="626DAC80" w14:textId="2BD2783C" w:rsidR="00EA4DD0" w:rsidRPr="00B1166E" w:rsidRDefault="00EA4DD0" w:rsidP="0073267B">
      <w:pPr>
        <w:spacing w:after="0" w:line="240" w:lineRule="auto"/>
        <w:ind w:left="720"/>
        <w:jc w:val="both"/>
        <w:rPr>
          <w:rFonts w:ascii="Arial" w:hAnsi="Arial" w:cs="Arial"/>
          <w:sz w:val="24"/>
          <w:szCs w:val="24"/>
        </w:rPr>
      </w:pPr>
      <w:r w:rsidRPr="00B1166E">
        <w:rPr>
          <w:rFonts w:ascii="Arial" w:hAnsi="Arial" w:cs="Arial"/>
          <w:sz w:val="24"/>
          <w:szCs w:val="24"/>
        </w:rPr>
        <w:t>Each of the areas has been assessed against delivery using a simple RAG rating. Where areas are off plan further actions for quarter</w:t>
      </w:r>
      <w:r w:rsidR="00B1166E" w:rsidRPr="00B1166E">
        <w:rPr>
          <w:rFonts w:ascii="Arial" w:hAnsi="Arial" w:cs="Arial"/>
          <w:sz w:val="24"/>
          <w:szCs w:val="24"/>
        </w:rPr>
        <w:t xml:space="preserve"> </w:t>
      </w:r>
      <w:r w:rsidR="001C099A">
        <w:rPr>
          <w:rFonts w:ascii="Arial" w:hAnsi="Arial" w:cs="Arial"/>
          <w:sz w:val="24"/>
          <w:szCs w:val="24"/>
        </w:rPr>
        <w:t>4</w:t>
      </w:r>
      <w:r w:rsidRPr="00B1166E">
        <w:rPr>
          <w:rFonts w:ascii="Arial" w:hAnsi="Arial" w:cs="Arial"/>
          <w:sz w:val="24"/>
          <w:szCs w:val="24"/>
        </w:rPr>
        <w:t xml:space="preserve"> are described in the paper. Detailed actions by quarter are provided in </w:t>
      </w:r>
      <w:r w:rsidRPr="00B1166E">
        <w:rPr>
          <w:rFonts w:ascii="Arial" w:hAnsi="Arial" w:cs="Arial"/>
          <w:b/>
          <w:sz w:val="24"/>
          <w:szCs w:val="24"/>
        </w:rPr>
        <w:t xml:space="preserve">Appendix </w:t>
      </w:r>
      <w:r w:rsidR="001C099A">
        <w:rPr>
          <w:rFonts w:ascii="Arial" w:hAnsi="Arial" w:cs="Arial"/>
          <w:b/>
          <w:sz w:val="24"/>
          <w:szCs w:val="24"/>
        </w:rPr>
        <w:t>2</w:t>
      </w:r>
      <w:r w:rsidRPr="00B1166E">
        <w:rPr>
          <w:rFonts w:ascii="Arial" w:hAnsi="Arial" w:cs="Arial"/>
          <w:sz w:val="24"/>
          <w:szCs w:val="24"/>
        </w:rPr>
        <w:t xml:space="preserve"> to this report.</w:t>
      </w:r>
    </w:p>
    <w:p w14:paraId="5C966BD2" w14:textId="77777777" w:rsidR="001C099A" w:rsidRDefault="001C099A" w:rsidP="0073267B">
      <w:pPr>
        <w:spacing w:after="0" w:line="240" w:lineRule="auto"/>
        <w:ind w:left="720"/>
        <w:jc w:val="both"/>
        <w:rPr>
          <w:rFonts w:ascii="Arial" w:hAnsi="Arial" w:cs="Arial"/>
          <w:color w:val="FF0000"/>
          <w:sz w:val="24"/>
          <w:szCs w:val="24"/>
        </w:rPr>
      </w:pPr>
    </w:p>
    <w:p w14:paraId="26F41CAC" w14:textId="77777777" w:rsidR="001C099A" w:rsidRPr="00B1166E" w:rsidRDefault="001C099A" w:rsidP="0073267B">
      <w:pPr>
        <w:spacing w:after="0" w:line="240" w:lineRule="auto"/>
        <w:ind w:left="720"/>
        <w:jc w:val="both"/>
        <w:rPr>
          <w:rFonts w:ascii="Arial" w:hAnsi="Arial" w:cs="Arial"/>
          <w:color w:val="FF0000"/>
          <w:sz w:val="24"/>
          <w:szCs w:val="24"/>
        </w:rPr>
      </w:pPr>
    </w:p>
    <w:p w14:paraId="0891C770" w14:textId="77777777" w:rsidR="0073267B" w:rsidRPr="00B1166E" w:rsidRDefault="00173CB2" w:rsidP="00EA4DD0">
      <w:pPr>
        <w:pStyle w:val="ListParagraph"/>
        <w:numPr>
          <w:ilvl w:val="0"/>
          <w:numId w:val="15"/>
        </w:numPr>
        <w:spacing w:after="0" w:line="240" w:lineRule="auto"/>
        <w:ind w:hanging="720"/>
        <w:jc w:val="both"/>
        <w:rPr>
          <w:rFonts w:ascii="Arial" w:hAnsi="Arial" w:cs="Arial"/>
          <w:b/>
          <w:sz w:val="24"/>
          <w:szCs w:val="24"/>
        </w:rPr>
      </w:pPr>
      <w:r w:rsidRPr="00B1166E">
        <w:rPr>
          <w:rFonts w:ascii="Arial" w:hAnsi="Arial" w:cs="Arial"/>
          <w:b/>
          <w:sz w:val="24"/>
          <w:szCs w:val="24"/>
        </w:rPr>
        <w:t>PERFORMANCE MEASURES</w:t>
      </w:r>
    </w:p>
    <w:p w14:paraId="5B9CD985" w14:textId="77777777" w:rsidR="003B677D" w:rsidRPr="00B1166E" w:rsidRDefault="003B677D" w:rsidP="003B677D">
      <w:pPr>
        <w:spacing w:after="0" w:line="240" w:lineRule="auto"/>
        <w:jc w:val="both"/>
        <w:rPr>
          <w:rFonts w:ascii="Arial" w:hAnsi="Arial" w:cs="Arial"/>
          <w:b/>
          <w:color w:val="FF0000"/>
          <w:sz w:val="24"/>
          <w:szCs w:val="24"/>
        </w:rPr>
      </w:pPr>
    </w:p>
    <w:p w14:paraId="2B51A83F" w14:textId="77777777" w:rsidR="003B677D" w:rsidRPr="00425C6F" w:rsidRDefault="00637DC1" w:rsidP="006E1519">
      <w:pPr>
        <w:shd w:val="clear" w:color="auto" w:fill="DBE5F1" w:themeFill="accent1" w:themeFillTint="33"/>
        <w:spacing w:after="0" w:line="240" w:lineRule="auto"/>
        <w:ind w:left="720"/>
        <w:jc w:val="both"/>
        <w:rPr>
          <w:rFonts w:ascii="Arial" w:hAnsi="Arial" w:cs="Arial"/>
          <w:b/>
          <w:bCs/>
          <w:sz w:val="24"/>
          <w:szCs w:val="24"/>
        </w:rPr>
      </w:pPr>
      <w:r w:rsidRPr="00425C6F">
        <w:rPr>
          <w:rFonts w:ascii="Arial" w:hAnsi="Arial" w:cs="Arial"/>
          <w:b/>
          <w:bCs/>
          <w:sz w:val="24"/>
          <w:szCs w:val="24"/>
        </w:rPr>
        <w:t>Unscheduled Care</w:t>
      </w:r>
    </w:p>
    <w:p w14:paraId="76B0460F" w14:textId="77777777" w:rsidR="006E1519" w:rsidRDefault="006E1519" w:rsidP="00637DC1">
      <w:pPr>
        <w:spacing w:after="0" w:line="240" w:lineRule="auto"/>
        <w:rPr>
          <w:rFonts w:ascii="Arial" w:hAnsi="Arial" w:cs="Arial"/>
          <w:b/>
          <w:color w:val="FF0000"/>
          <w:sz w:val="24"/>
          <w:szCs w:val="24"/>
        </w:rPr>
      </w:pPr>
    </w:p>
    <w:p w14:paraId="357F2CDC" w14:textId="1381C1C2" w:rsidR="001C099A" w:rsidRPr="001C099A" w:rsidRDefault="001C099A" w:rsidP="001C099A">
      <w:pPr>
        <w:spacing w:after="0" w:line="240" w:lineRule="auto"/>
        <w:ind w:firstLine="720"/>
        <w:rPr>
          <w:rFonts w:ascii="Arial" w:hAnsi="Arial" w:cs="Arial"/>
          <w:b/>
          <w:color w:val="000000" w:themeColor="text1"/>
          <w:sz w:val="24"/>
          <w:szCs w:val="24"/>
          <w:u w:val="single"/>
        </w:rPr>
      </w:pPr>
      <w:r w:rsidRPr="001C099A">
        <w:rPr>
          <w:rFonts w:ascii="Arial" w:hAnsi="Arial" w:cs="Arial"/>
          <w:b/>
          <w:color w:val="000000" w:themeColor="text1"/>
          <w:sz w:val="24"/>
          <w:szCs w:val="24"/>
          <w:u w:val="single"/>
        </w:rPr>
        <w:t xml:space="preserve">4 hour Emergency Department (ED) </w:t>
      </w:r>
      <w:r>
        <w:rPr>
          <w:rFonts w:ascii="Arial" w:hAnsi="Arial" w:cs="Arial"/>
          <w:b/>
          <w:color w:val="000000" w:themeColor="text1"/>
          <w:sz w:val="24"/>
          <w:szCs w:val="24"/>
          <w:u w:val="single"/>
        </w:rPr>
        <w:t>a</w:t>
      </w:r>
      <w:r w:rsidRPr="001C099A">
        <w:rPr>
          <w:rFonts w:ascii="Arial" w:hAnsi="Arial" w:cs="Arial"/>
          <w:b/>
          <w:color w:val="000000" w:themeColor="text1"/>
          <w:sz w:val="24"/>
          <w:szCs w:val="24"/>
          <w:u w:val="single"/>
        </w:rPr>
        <w:t>ccess</w:t>
      </w:r>
    </w:p>
    <w:p w14:paraId="0A44D5FE" w14:textId="2681736B" w:rsidR="00425C6F" w:rsidRPr="00B262EF" w:rsidRDefault="00425C6F" w:rsidP="00425C6F">
      <w:pPr>
        <w:pStyle w:val="ListParagraph"/>
        <w:spacing w:after="0" w:line="240" w:lineRule="auto"/>
        <w:jc w:val="both"/>
        <w:rPr>
          <w:rFonts w:ascii="Arial" w:hAnsi="Arial" w:cs="Arial"/>
          <w:color w:val="FF0000"/>
          <w:sz w:val="24"/>
          <w:szCs w:val="24"/>
        </w:rPr>
      </w:pPr>
      <w:r w:rsidRPr="00784E7A">
        <w:rPr>
          <w:rFonts w:ascii="Arial" w:hAnsi="Arial" w:cs="Arial"/>
          <w:sz w:val="24"/>
          <w:szCs w:val="24"/>
        </w:rPr>
        <w:t xml:space="preserve">Unscheduled care performance has seen an improvement throughout Quarter </w:t>
      </w:r>
      <w:r w:rsidR="00E01A26">
        <w:rPr>
          <w:rFonts w:ascii="Arial" w:hAnsi="Arial" w:cs="Arial"/>
          <w:sz w:val="24"/>
          <w:szCs w:val="24"/>
        </w:rPr>
        <w:t>3</w:t>
      </w:r>
      <w:r w:rsidRPr="00784E7A">
        <w:rPr>
          <w:rFonts w:ascii="Arial" w:hAnsi="Arial" w:cs="Arial"/>
          <w:sz w:val="24"/>
          <w:szCs w:val="24"/>
        </w:rPr>
        <w:t xml:space="preserve"> as a result of developing and implementing a new on-boarding/escalation operational </w:t>
      </w:r>
      <w:r w:rsidRPr="00784E7A">
        <w:rPr>
          <w:rFonts w:ascii="Arial" w:hAnsi="Arial" w:cs="Arial"/>
          <w:sz w:val="24"/>
          <w:szCs w:val="24"/>
        </w:rPr>
        <w:lastRenderedPageBreak/>
        <w:t xml:space="preserve">policy to support more timely ambulance handovers. The improvement actions outlined as part of the </w:t>
      </w:r>
      <w:r>
        <w:rPr>
          <w:rFonts w:ascii="Arial" w:hAnsi="Arial" w:cs="Arial"/>
          <w:sz w:val="24"/>
          <w:szCs w:val="24"/>
        </w:rPr>
        <w:t xml:space="preserve">newly implemented Continuous flow model and </w:t>
      </w:r>
      <w:r w:rsidRPr="00784E7A">
        <w:rPr>
          <w:rFonts w:ascii="Arial" w:hAnsi="Arial" w:cs="Arial"/>
          <w:sz w:val="24"/>
          <w:szCs w:val="24"/>
        </w:rPr>
        <w:t>Six Goals programme are supporting unscheduled care performance benefits. Updated 2023/24 performance trajectories can be seen below.</w:t>
      </w:r>
    </w:p>
    <w:p w14:paraId="41A2EB77" w14:textId="77777777" w:rsidR="00173CB2" w:rsidRPr="00B1166E" w:rsidRDefault="00173CB2" w:rsidP="00173CB2">
      <w:pPr>
        <w:pStyle w:val="ListParagraph"/>
        <w:spacing w:after="0" w:line="240" w:lineRule="auto"/>
        <w:jc w:val="both"/>
        <w:rPr>
          <w:rFonts w:ascii="Arial" w:hAnsi="Arial" w:cs="Arial"/>
          <w:color w:val="FF0000"/>
          <w:sz w:val="24"/>
          <w:szCs w:val="24"/>
        </w:rPr>
      </w:pPr>
    </w:p>
    <w:p w14:paraId="26CB73BB" w14:textId="7F0B1E88" w:rsidR="00425C6F" w:rsidRPr="00784E7A" w:rsidRDefault="00425C6F" w:rsidP="00425C6F">
      <w:pPr>
        <w:pStyle w:val="ListParagraph"/>
        <w:spacing w:after="0" w:line="240" w:lineRule="auto"/>
        <w:jc w:val="both"/>
        <w:rPr>
          <w:rFonts w:ascii="Arial" w:hAnsi="Arial" w:cs="Arial"/>
          <w:sz w:val="24"/>
          <w:szCs w:val="24"/>
        </w:rPr>
      </w:pPr>
      <w:r w:rsidRPr="00784E7A">
        <w:rPr>
          <w:rFonts w:ascii="Arial" w:hAnsi="Arial" w:cs="Arial"/>
          <w:sz w:val="24"/>
          <w:szCs w:val="24"/>
        </w:rPr>
        <w:t>Performance against the 4-hour access</w:t>
      </w:r>
      <w:r w:rsidR="001C099A">
        <w:rPr>
          <w:rFonts w:ascii="Arial" w:hAnsi="Arial" w:cs="Arial"/>
          <w:sz w:val="24"/>
          <w:szCs w:val="24"/>
        </w:rPr>
        <w:t xml:space="preserve"> target was on track in October 2023 and was 74.7% at the end of </w:t>
      </w:r>
      <w:proofErr w:type="spellStart"/>
      <w:r w:rsidR="001C099A">
        <w:rPr>
          <w:rFonts w:ascii="Arial" w:hAnsi="Arial" w:cs="Arial"/>
          <w:sz w:val="24"/>
          <w:szCs w:val="24"/>
        </w:rPr>
        <w:t>Decebmer</w:t>
      </w:r>
      <w:proofErr w:type="spellEnd"/>
      <w:r w:rsidR="001C099A">
        <w:rPr>
          <w:rFonts w:ascii="Arial" w:hAnsi="Arial" w:cs="Arial"/>
          <w:sz w:val="24"/>
          <w:szCs w:val="24"/>
        </w:rPr>
        <w:t xml:space="preserve"> 2023. </w:t>
      </w:r>
    </w:p>
    <w:p w14:paraId="29E8EB15" w14:textId="77777777" w:rsidR="0025278A" w:rsidRPr="00B1166E" w:rsidRDefault="0025278A" w:rsidP="00173CB2">
      <w:pPr>
        <w:pStyle w:val="ListParagraph"/>
        <w:spacing w:after="0" w:line="240" w:lineRule="auto"/>
        <w:jc w:val="both"/>
        <w:rPr>
          <w:rFonts w:ascii="Arial" w:hAnsi="Arial" w:cs="Arial"/>
          <w:color w:val="FF0000"/>
          <w:sz w:val="24"/>
          <w:szCs w:val="24"/>
        </w:rPr>
      </w:pPr>
    </w:p>
    <w:p w14:paraId="678F4836" w14:textId="1F1CD61B" w:rsidR="0025278A" w:rsidRPr="00425C6F" w:rsidRDefault="0025278A" w:rsidP="00173CB2">
      <w:pPr>
        <w:pStyle w:val="ListParagraph"/>
        <w:spacing w:after="0" w:line="240" w:lineRule="auto"/>
        <w:jc w:val="both"/>
        <w:rPr>
          <w:rFonts w:ascii="Arial" w:hAnsi="Arial" w:cs="Arial"/>
          <w:b/>
          <w:sz w:val="24"/>
          <w:szCs w:val="24"/>
        </w:rPr>
      </w:pPr>
      <w:r w:rsidRPr="00425C6F">
        <w:rPr>
          <w:rFonts w:ascii="Arial" w:hAnsi="Arial" w:cs="Arial"/>
          <w:b/>
          <w:sz w:val="24"/>
          <w:szCs w:val="24"/>
        </w:rPr>
        <w:t xml:space="preserve">Status - </w:t>
      </w:r>
      <w:r w:rsidR="001C099A" w:rsidRPr="001C099A">
        <w:rPr>
          <w:rFonts w:ascii="Arial" w:hAnsi="Arial" w:cs="Arial"/>
          <w:b/>
          <w:color w:val="FFC000"/>
          <w:sz w:val="24"/>
          <w:szCs w:val="24"/>
        </w:rPr>
        <w:t>AMBER</w:t>
      </w:r>
    </w:p>
    <w:p w14:paraId="7ED239AC" w14:textId="77777777" w:rsidR="00741E2D" w:rsidRPr="00B1166E" w:rsidRDefault="00741E2D" w:rsidP="006323A8">
      <w:pPr>
        <w:pStyle w:val="ListParagraph"/>
        <w:spacing w:after="0" w:line="240" w:lineRule="auto"/>
        <w:jc w:val="both"/>
        <w:rPr>
          <w:rFonts w:ascii="Arial" w:hAnsi="Arial" w:cs="Arial"/>
          <w:color w:val="FF0000"/>
          <w:sz w:val="24"/>
          <w:szCs w:val="24"/>
        </w:rPr>
      </w:pPr>
    </w:p>
    <w:p w14:paraId="61FB7790" w14:textId="5629AB7F" w:rsidR="00741E2D" w:rsidRPr="00B1166E" w:rsidRDefault="001C099A" w:rsidP="00741E2D">
      <w:pPr>
        <w:pStyle w:val="ListParagraph"/>
        <w:spacing w:after="0" w:line="240" w:lineRule="auto"/>
        <w:jc w:val="center"/>
        <w:rPr>
          <w:rFonts w:ascii="Arial" w:hAnsi="Arial" w:cs="Arial"/>
          <w:color w:val="FF0000"/>
          <w:sz w:val="24"/>
          <w:szCs w:val="24"/>
        </w:rPr>
      </w:pPr>
      <w:r>
        <w:rPr>
          <w:rFonts w:ascii="Arial" w:hAnsi="Arial" w:cs="Arial"/>
          <w:noProof/>
          <w:color w:val="FF0000"/>
          <w:sz w:val="24"/>
          <w:szCs w:val="24"/>
        </w:rPr>
        <w:drawing>
          <wp:inline distT="0" distB="0" distL="0" distR="0" wp14:anchorId="64727FA2" wp14:editId="71DA1377">
            <wp:extent cx="5651500" cy="3157855"/>
            <wp:effectExtent l="0" t="0" r="6350" b="4445"/>
            <wp:docPr id="9273818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51500" cy="3157855"/>
                    </a:xfrm>
                    <a:prstGeom prst="rect">
                      <a:avLst/>
                    </a:prstGeom>
                    <a:noFill/>
                  </pic:spPr>
                </pic:pic>
              </a:graphicData>
            </a:graphic>
          </wp:inline>
        </w:drawing>
      </w:r>
    </w:p>
    <w:p w14:paraId="0726C7BA" w14:textId="77777777" w:rsidR="008061F2" w:rsidRDefault="008061F2" w:rsidP="006323A8">
      <w:pPr>
        <w:pStyle w:val="ListParagraph"/>
        <w:spacing w:after="0" w:line="240" w:lineRule="auto"/>
        <w:jc w:val="both"/>
        <w:rPr>
          <w:rFonts w:ascii="Arial" w:hAnsi="Arial" w:cs="Arial"/>
          <w:color w:val="FF0000"/>
          <w:sz w:val="24"/>
          <w:szCs w:val="24"/>
        </w:rPr>
      </w:pPr>
    </w:p>
    <w:p w14:paraId="70798F4D" w14:textId="6755E374" w:rsidR="001C099A" w:rsidRPr="001C099A" w:rsidRDefault="001C099A" w:rsidP="006323A8">
      <w:pPr>
        <w:pStyle w:val="ListParagraph"/>
        <w:spacing w:after="0" w:line="240" w:lineRule="auto"/>
        <w:jc w:val="both"/>
        <w:rPr>
          <w:rFonts w:ascii="Arial" w:hAnsi="Arial" w:cs="Arial"/>
          <w:b/>
          <w:bCs/>
          <w:color w:val="000000" w:themeColor="text1"/>
          <w:sz w:val="24"/>
          <w:szCs w:val="24"/>
          <w:u w:val="single"/>
        </w:rPr>
      </w:pPr>
      <w:r w:rsidRPr="001C099A">
        <w:rPr>
          <w:rFonts w:ascii="Arial" w:hAnsi="Arial" w:cs="Arial"/>
          <w:b/>
          <w:bCs/>
          <w:color w:val="000000" w:themeColor="text1"/>
          <w:sz w:val="24"/>
          <w:szCs w:val="24"/>
          <w:u w:val="single"/>
        </w:rPr>
        <w:t>Patients waiting over 12 hours in ED</w:t>
      </w:r>
    </w:p>
    <w:p w14:paraId="4351C866" w14:textId="35589AC0" w:rsidR="00425C6F" w:rsidRPr="00784E7A" w:rsidRDefault="00425C6F" w:rsidP="00425C6F">
      <w:pPr>
        <w:pStyle w:val="ListParagraph"/>
        <w:spacing w:after="0" w:line="240" w:lineRule="auto"/>
        <w:jc w:val="both"/>
        <w:rPr>
          <w:rFonts w:ascii="Arial" w:hAnsi="Arial" w:cs="Arial"/>
          <w:sz w:val="24"/>
          <w:szCs w:val="24"/>
        </w:rPr>
      </w:pPr>
      <w:r w:rsidRPr="00784E7A">
        <w:rPr>
          <w:rFonts w:ascii="Arial" w:hAnsi="Arial" w:cs="Arial"/>
          <w:sz w:val="24"/>
          <w:szCs w:val="24"/>
        </w:rPr>
        <w:t xml:space="preserve">Performance against the 12-hour wait </w:t>
      </w:r>
      <w:r w:rsidR="001C099A">
        <w:rPr>
          <w:rFonts w:ascii="Arial" w:hAnsi="Arial" w:cs="Arial"/>
          <w:sz w:val="24"/>
          <w:szCs w:val="24"/>
        </w:rPr>
        <w:t xml:space="preserve">improved during the last two months of quarter 3, but remains outside of the agreed reduction profile. </w:t>
      </w:r>
      <w:r w:rsidRPr="00784E7A">
        <w:rPr>
          <w:rFonts w:ascii="Arial" w:hAnsi="Arial" w:cs="Arial"/>
          <w:sz w:val="24"/>
          <w:szCs w:val="24"/>
        </w:rPr>
        <w:t xml:space="preserve">The number of patients waiting over 12-hours in the Emergency Department </w:t>
      </w:r>
      <w:r w:rsidR="001C099A">
        <w:rPr>
          <w:rFonts w:ascii="Arial" w:hAnsi="Arial" w:cs="Arial"/>
          <w:sz w:val="24"/>
          <w:szCs w:val="24"/>
        </w:rPr>
        <w:t>was 994 in December 2023</w:t>
      </w:r>
      <w:r w:rsidRPr="00784E7A">
        <w:rPr>
          <w:rFonts w:ascii="Arial" w:hAnsi="Arial" w:cs="Arial"/>
          <w:sz w:val="24"/>
          <w:szCs w:val="24"/>
        </w:rPr>
        <w:t>.</w:t>
      </w:r>
    </w:p>
    <w:p w14:paraId="3562EAE3" w14:textId="77777777" w:rsidR="00EA4DD0" w:rsidRPr="00B1166E" w:rsidRDefault="00EA4DD0" w:rsidP="00EA4DD0">
      <w:pPr>
        <w:spacing w:after="0" w:line="240" w:lineRule="auto"/>
        <w:ind w:left="720"/>
        <w:contextualSpacing/>
        <w:jc w:val="both"/>
        <w:rPr>
          <w:rFonts w:ascii="Arial" w:hAnsi="Arial" w:cs="Arial"/>
          <w:b/>
          <w:color w:val="FF0000"/>
          <w:sz w:val="24"/>
          <w:szCs w:val="24"/>
        </w:rPr>
      </w:pPr>
    </w:p>
    <w:p w14:paraId="2ED9D42B" w14:textId="52B4F35C" w:rsidR="00EA4DD0" w:rsidRPr="00425C6F" w:rsidRDefault="00EA4DD0" w:rsidP="00EA4DD0">
      <w:pPr>
        <w:spacing w:after="0" w:line="240" w:lineRule="auto"/>
        <w:ind w:left="720"/>
        <w:contextualSpacing/>
        <w:jc w:val="both"/>
        <w:rPr>
          <w:rFonts w:ascii="Arial" w:hAnsi="Arial" w:cs="Arial"/>
          <w:b/>
          <w:sz w:val="24"/>
          <w:szCs w:val="24"/>
        </w:rPr>
      </w:pPr>
      <w:r w:rsidRPr="00425C6F">
        <w:rPr>
          <w:rFonts w:ascii="Arial" w:hAnsi="Arial" w:cs="Arial"/>
          <w:b/>
          <w:sz w:val="24"/>
          <w:szCs w:val="24"/>
        </w:rPr>
        <w:t xml:space="preserve">Status - </w:t>
      </w:r>
      <w:r w:rsidR="00425C6F" w:rsidRPr="00425C6F">
        <w:rPr>
          <w:rFonts w:ascii="Arial" w:hAnsi="Arial" w:cs="Arial"/>
          <w:b/>
          <w:color w:val="FF0000"/>
          <w:sz w:val="24"/>
          <w:szCs w:val="24"/>
        </w:rPr>
        <w:t>RED</w:t>
      </w:r>
    </w:p>
    <w:p w14:paraId="75AD36F5" w14:textId="54EA8FD5" w:rsidR="00DD6582" w:rsidRPr="00B1166E" w:rsidRDefault="001C099A" w:rsidP="00DD6582">
      <w:pPr>
        <w:pStyle w:val="ListParagraph"/>
        <w:spacing w:after="0" w:line="240" w:lineRule="auto"/>
        <w:jc w:val="center"/>
        <w:rPr>
          <w:rFonts w:ascii="Arial" w:hAnsi="Arial" w:cs="Arial"/>
          <w:color w:val="FF0000"/>
          <w:sz w:val="24"/>
          <w:szCs w:val="24"/>
        </w:rPr>
      </w:pPr>
      <w:r>
        <w:rPr>
          <w:rFonts w:ascii="Arial" w:hAnsi="Arial" w:cs="Arial"/>
          <w:noProof/>
          <w:sz w:val="24"/>
          <w:szCs w:val="24"/>
        </w:rPr>
        <w:drawing>
          <wp:inline distT="0" distB="0" distL="0" distR="0" wp14:anchorId="459CB419" wp14:editId="27B60384">
            <wp:extent cx="5323165" cy="2548335"/>
            <wp:effectExtent l="0" t="0" r="0" b="4445"/>
            <wp:docPr id="817076860" name="Picture 3"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076860" name="Picture 3" descr="A graph with numbers and a line&#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4817" cy="2553913"/>
                    </a:xfrm>
                    <a:prstGeom prst="rect">
                      <a:avLst/>
                    </a:prstGeom>
                    <a:noFill/>
                  </pic:spPr>
                </pic:pic>
              </a:graphicData>
            </a:graphic>
          </wp:inline>
        </w:drawing>
      </w:r>
    </w:p>
    <w:p w14:paraId="3AA68BC6" w14:textId="77777777" w:rsidR="00425C6F" w:rsidRDefault="00425C6F" w:rsidP="00173CB2">
      <w:pPr>
        <w:pStyle w:val="ListParagraph"/>
        <w:spacing w:after="0" w:line="240" w:lineRule="auto"/>
        <w:ind w:left="709"/>
        <w:jc w:val="both"/>
        <w:rPr>
          <w:rFonts w:ascii="Arial" w:hAnsi="Arial" w:cs="Arial"/>
          <w:color w:val="FF0000"/>
          <w:sz w:val="24"/>
          <w:szCs w:val="24"/>
        </w:rPr>
      </w:pPr>
    </w:p>
    <w:p w14:paraId="050D7D24" w14:textId="77777777" w:rsidR="00173CB2" w:rsidRPr="00B1166E" w:rsidRDefault="00173CB2" w:rsidP="00A75A2C">
      <w:pPr>
        <w:pStyle w:val="ListParagraph"/>
        <w:spacing w:after="0" w:line="240" w:lineRule="auto"/>
        <w:jc w:val="both"/>
        <w:rPr>
          <w:rFonts w:ascii="Arial" w:hAnsi="Arial" w:cs="Arial"/>
          <w:color w:val="FF0000"/>
          <w:sz w:val="24"/>
          <w:szCs w:val="24"/>
        </w:rPr>
      </w:pPr>
    </w:p>
    <w:p w14:paraId="30FC1907" w14:textId="200A3E16" w:rsidR="00943333" w:rsidRPr="00822538" w:rsidRDefault="001C099A" w:rsidP="00A75A2C">
      <w:pPr>
        <w:pStyle w:val="ListParagraph"/>
        <w:spacing w:after="0" w:line="240" w:lineRule="auto"/>
        <w:jc w:val="both"/>
        <w:rPr>
          <w:rFonts w:ascii="Arial" w:hAnsi="Arial" w:cs="Arial"/>
          <w:b/>
          <w:bCs/>
          <w:color w:val="000000" w:themeColor="text1"/>
          <w:sz w:val="24"/>
          <w:szCs w:val="24"/>
          <w:u w:val="single"/>
        </w:rPr>
      </w:pPr>
      <w:r w:rsidRPr="00822538">
        <w:rPr>
          <w:rFonts w:ascii="Arial" w:hAnsi="Arial" w:cs="Arial"/>
          <w:b/>
          <w:bCs/>
          <w:color w:val="000000" w:themeColor="text1"/>
          <w:sz w:val="24"/>
          <w:szCs w:val="24"/>
          <w:u w:val="single"/>
        </w:rPr>
        <w:t>Number of hours lost to handover delays &gt; 15 minutes</w:t>
      </w:r>
    </w:p>
    <w:p w14:paraId="5258DF22" w14:textId="4F3A0AAB" w:rsidR="00173CB2" w:rsidRPr="007D76F3" w:rsidRDefault="00173CB2" w:rsidP="00173CB2">
      <w:pPr>
        <w:spacing w:after="0" w:line="240" w:lineRule="auto"/>
        <w:ind w:left="720"/>
        <w:jc w:val="both"/>
        <w:rPr>
          <w:rFonts w:ascii="Arial" w:hAnsi="Arial" w:cs="Arial"/>
          <w:sz w:val="24"/>
          <w:szCs w:val="24"/>
        </w:rPr>
      </w:pPr>
      <w:r w:rsidRPr="007D76F3">
        <w:rPr>
          <w:rFonts w:ascii="Arial" w:hAnsi="Arial" w:cs="Arial"/>
          <w:sz w:val="24"/>
          <w:szCs w:val="24"/>
        </w:rPr>
        <w:t xml:space="preserve">The ambulance handover lost hours rate has </w:t>
      </w:r>
      <w:r w:rsidR="00822538">
        <w:rPr>
          <w:rFonts w:ascii="Arial" w:hAnsi="Arial" w:cs="Arial"/>
          <w:sz w:val="24"/>
          <w:szCs w:val="24"/>
        </w:rPr>
        <w:t>remained broadly flat through Quarter 3. In December 2023 3,787 hours were lost to handover delays which is significantly above trajectory. This is a key area of concern relating to Targeted Intervention and the Health Board has plans to implement pathway changes and a frailty model to begin to address the system wide pressures which are leading to these delays.</w:t>
      </w:r>
    </w:p>
    <w:p w14:paraId="36750108" w14:textId="77777777" w:rsidR="00EA4DD0" w:rsidRPr="00B1166E" w:rsidRDefault="00EA4DD0" w:rsidP="00EA4DD0">
      <w:pPr>
        <w:spacing w:after="0" w:line="240" w:lineRule="auto"/>
        <w:ind w:left="720"/>
        <w:contextualSpacing/>
        <w:jc w:val="both"/>
        <w:rPr>
          <w:rFonts w:ascii="Arial" w:hAnsi="Arial" w:cs="Arial"/>
          <w:b/>
          <w:color w:val="FF0000"/>
          <w:sz w:val="24"/>
          <w:szCs w:val="24"/>
        </w:rPr>
      </w:pPr>
    </w:p>
    <w:p w14:paraId="41B5560A" w14:textId="694A2898" w:rsidR="00EA4DD0" w:rsidRPr="007D76F3" w:rsidRDefault="00EA4DD0" w:rsidP="00EA4DD0">
      <w:pPr>
        <w:spacing w:after="0" w:line="240" w:lineRule="auto"/>
        <w:ind w:left="720"/>
        <w:contextualSpacing/>
        <w:jc w:val="both"/>
        <w:rPr>
          <w:rFonts w:ascii="Arial" w:hAnsi="Arial" w:cs="Arial"/>
          <w:b/>
          <w:sz w:val="24"/>
          <w:szCs w:val="24"/>
        </w:rPr>
      </w:pPr>
      <w:r w:rsidRPr="007D76F3">
        <w:rPr>
          <w:rFonts w:ascii="Arial" w:hAnsi="Arial" w:cs="Arial"/>
          <w:b/>
          <w:sz w:val="24"/>
          <w:szCs w:val="24"/>
        </w:rPr>
        <w:t xml:space="preserve">Status - </w:t>
      </w:r>
      <w:r w:rsidR="00822538" w:rsidRPr="00822538">
        <w:rPr>
          <w:rFonts w:ascii="Arial" w:hAnsi="Arial" w:cs="Arial"/>
          <w:b/>
          <w:color w:val="FF0000"/>
          <w:sz w:val="24"/>
          <w:szCs w:val="24"/>
        </w:rPr>
        <w:t>RED</w:t>
      </w:r>
    </w:p>
    <w:p w14:paraId="64B29812" w14:textId="77777777" w:rsidR="00943333" w:rsidRPr="00B1166E" w:rsidRDefault="00943333" w:rsidP="00A75A2C">
      <w:pPr>
        <w:pStyle w:val="ListParagraph"/>
        <w:spacing w:after="0" w:line="240" w:lineRule="auto"/>
        <w:jc w:val="both"/>
        <w:rPr>
          <w:rFonts w:ascii="Arial" w:hAnsi="Arial" w:cs="Arial"/>
          <w:color w:val="FF0000"/>
          <w:sz w:val="24"/>
          <w:szCs w:val="24"/>
        </w:rPr>
      </w:pPr>
    </w:p>
    <w:p w14:paraId="125C1F02" w14:textId="537EB0DE" w:rsidR="00943333" w:rsidRPr="00B1166E" w:rsidRDefault="00943333" w:rsidP="00A75A2C">
      <w:pPr>
        <w:pStyle w:val="ListParagraph"/>
        <w:spacing w:after="0" w:line="240" w:lineRule="auto"/>
        <w:jc w:val="both"/>
        <w:rPr>
          <w:rFonts w:ascii="Arial" w:hAnsi="Arial" w:cs="Arial"/>
          <w:color w:val="FF0000"/>
          <w:sz w:val="24"/>
          <w:szCs w:val="24"/>
        </w:rPr>
      </w:pPr>
    </w:p>
    <w:p w14:paraId="731E3A95" w14:textId="4E88F3C4" w:rsidR="00943333" w:rsidRDefault="00822538" w:rsidP="00A75A2C">
      <w:pPr>
        <w:pStyle w:val="ListParagraph"/>
        <w:spacing w:after="0" w:line="240" w:lineRule="auto"/>
        <w:jc w:val="both"/>
        <w:rPr>
          <w:noProof/>
          <w:color w:val="FF0000"/>
          <w:lang w:eastAsia="en-GB"/>
        </w:rPr>
      </w:pPr>
      <w:r>
        <w:rPr>
          <w:noProof/>
          <w:color w:val="FF0000"/>
          <w:lang w:eastAsia="en-GB"/>
        </w:rPr>
        <w:drawing>
          <wp:inline distT="0" distB="0" distL="0" distR="0" wp14:anchorId="7D994EED" wp14:editId="6E80112B">
            <wp:extent cx="5311140" cy="2518605"/>
            <wp:effectExtent l="0" t="0" r="3810" b="0"/>
            <wp:docPr id="8565640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8883" cy="2531761"/>
                    </a:xfrm>
                    <a:prstGeom prst="rect">
                      <a:avLst/>
                    </a:prstGeom>
                    <a:noFill/>
                  </pic:spPr>
                </pic:pic>
              </a:graphicData>
            </a:graphic>
          </wp:inline>
        </w:drawing>
      </w:r>
    </w:p>
    <w:p w14:paraId="2E5F235A" w14:textId="77777777" w:rsidR="00943333" w:rsidRPr="00B1166E" w:rsidRDefault="00943333" w:rsidP="00A75A2C">
      <w:pPr>
        <w:pStyle w:val="ListParagraph"/>
        <w:spacing w:after="0" w:line="240" w:lineRule="auto"/>
        <w:jc w:val="both"/>
        <w:rPr>
          <w:rFonts w:ascii="Arial" w:hAnsi="Arial" w:cs="Arial"/>
          <w:color w:val="FF0000"/>
          <w:sz w:val="24"/>
          <w:szCs w:val="24"/>
        </w:rPr>
      </w:pPr>
    </w:p>
    <w:p w14:paraId="12DC042C" w14:textId="77777777" w:rsidR="006512DD" w:rsidRPr="007D76F3" w:rsidRDefault="006512DD" w:rsidP="006512DD">
      <w:pPr>
        <w:shd w:val="clear" w:color="auto" w:fill="DBE5F1" w:themeFill="accent1" w:themeFillTint="33"/>
        <w:spacing w:after="0" w:line="240" w:lineRule="auto"/>
        <w:ind w:left="720"/>
        <w:jc w:val="both"/>
        <w:rPr>
          <w:rFonts w:ascii="Arial" w:hAnsi="Arial" w:cs="Arial"/>
          <w:b/>
          <w:bCs/>
          <w:sz w:val="24"/>
          <w:szCs w:val="24"/>
        </w:rPr>
      </w:pPr>
      <w:r w:rsidRPr="007D76F3">
        <w:rPr>
          <w:rFonts w:ascii="Arial" w:hAnsi="Arial" w:cs="Arial"/>
          <w:b/>
          <w:bCs/>
          <w:sz w:val="24"/>
          <w:szCs w:val="24"/>
        </w:rPr>
        <w:t>Cancer</w:t>
      </w:r>
    </w:p>
    <w:p w14:paraId="1D98C29C" w14:textId="77777777" w:rsidR="008B39B9" w:rsidRPr="00B1166E" w:rsidRDefault="008B39B9" w:rsidP="00335D50">
      <w:pPr>
        <w:pStyle w:val="ListParagraph"/>
        <w:spacing w:after="0" w:line="240" w:lineRule="auto"/>
        <w:ind w:left="709"/>
        <w:jc w:val="both"/>
        <w:rPr>
          <w:rFonts w:ascii="Arial" w:hAnsi="Arial" w:cs="Arial"/>
          <w:color w:val="FF0000"/>
          <w:sz w:val="24"/>
          <w:szCs w:val="24"/>
        </w:rPr>
      </w:pPr>
    </w:p>
    <w:p w14:paraId="0CC0B0B2" w14:textId="3D21F711" w:rsidR="00822538" w:rsidRPr="00822538" w:rsidRDefault="00822538" w:rsidP="008B39B9">
      <w:pPr>
        <w:spacing w:after="0" w:line="240" w:lineRule="auto"/>
        <w:ind w:left="709"/>
        <w:jc w:val="both"/>
        <w:rPr>
          <w:rFonts w:ascii="Arial" w:hAnsi="Arial" w:cs="Arial"/>
          <w:b/>
          <w:bCs/>
          <w:sz w:val="24"/>
          <w:szCs w:val="24"/>
          <w:u w:val="single"/>
        </w:rPr>
      </w:pPr>
      <w:r w:rsidRPr="00822538">
        <w:rPr>
          <w:rFonts w:ascii="Arial" w:hAnsi="Arial" w:cs="Arial"/>
          <w:b/>
          <w:bCs/>
          <w:sz w:val="24"/>
          <w:szCs w:val="24"/>
          <w:u w:val="single"/>
        </w:rPr>
        <w:t>Access to cancer treatment within 62 days</w:t>
      </w:r>
    </w:p>
    <w:p w14:paraId="086E9E1C" w14:textId="69701ACA" w:rsidR="008B39B9" w:rsidRPr="007D76F3" w:rsidRDefault="008B39B9" w:rsidP="008B39B9">
      <w:pPr>
        <w:spacing w:after="0" w:line="240" w:lineRule="auto"/>
        <w:ind w:left="709"/>
        <w:jc w:val="both"/>
        <w:rPr>
          <w:rFonts w:ascii="Arial" w:hAnsi="Arial" w:cs="Arial"/>
          <w:sz w:val="24"/>
          <w:szCs w:val="24"/>
        </w:rPr>
      </w:pPr>
      <w:r w:rsidRPr="007D76F3">
        <w:rPr>
          <w:rFonts w:ascii="Arial" w:hAnsi="Arial" w:cs="Arial"/>
          <w:sz w:val="24"/>
          <w:szCs w:val="24"/>
        </w:rPr>
        <w:t xml:space="preserve">The final SCP performance for </w:t>
      </w:r>
      <w:r w:rsidR="00822538">
        <w:rPr>
          <w:rFonts w:ascii="Arial" w:hAnsi="Arial" w:cs="Arial"/>
          <w:sz w:val="24"/>
          <w:szCs w:val="24"/>
        </w:rPr>
        <w:t xml:space="preserve">December </w:t>
      </w:r>
      <w:r w:rsidRPr="007D76F3">
        <w:rPr>
          <w:rFonts w:ascii="Arial" w:hAnsi="Arial" w:cs="Arial"/>
          <w:sz w:val="24"/>
          <w:szCs w:val="24"/>
        </w:rPr>
        <w:t xml:space="preserve">2023 </w:t>
      </w:r>
      <w:r w:rsidR="00E732DB" w:rsidRPr="007D76F3">
        <w:rPr>
          <w:rFonts w:ascii="Arial" w:hAnsi="Arial" w:cs="Arial"/>
          <w:sz w:val="24"/>
          <w:szCs w:val="24"/>
        </w:rPr>
        <w:t>was</w:t>
      </w:r>
      <w:r w:rsidRPr="007D76F3">
        <w:rPr>
          <w:rFonts w:ascii="Arial" w:hAnsi="Arial" w:cs="Arial"/>
          <w:sz w:val="24"/>
          <w:szCs w:val="24"/>
        </w:rPr>
        <w:t xml:space="preserve"> </w:t>
      </w:r>
      <w:r w:rsidR="00822538">
        <w:rPr>
          <w:rFonts w:ascii="Arial" w:hAnsi="Arial" w:cs="Arial"/>
          <w:sz w:val="24"/>
          <w:szCs w:val="24"/>
        </w:rPr>
        <w:t>51</w:t>
      </w:r>
      <w:r w:rsidRPr="007D76F3">
        <w:rPr>
          <w:rFonts w:ascii="Arial" w:hAnsi="Arial" w:cs="Arial"/>
          <w:sz w:val="24"/>
          <w:szCs w:val="24"/>
        </w:rPr>
        <w:t>%</w:t>
      </w:r>
      <w:r w:rsidR="00E732DB" w:rsidRPr="007D76F3">
        <w:rPr>
          <w:rFonts w:ascii="Arial" w:hAnsi="Arial" w:cs="Arial"/>
          <w:sz w:val="24"/>
          <w:szCs w:val="24"/>
        </w:rPr>
        <w:t>,</w:t>
      </w:r>
      <w:r w:rsidRPr="007D76F3">
        <w:rPr>
          <w:rFonts w:ascii="Arial" w:hAnsi="Arial" w:cs="Arial"/>
          <w:sz w:val="24"/>
          <w:szCs w:val="24"/>
        </w:rPr>
        <w:t xml:space="preserve"> which is a</w:t>
      </w:r>
      <w:r w:rsidR="007D76F3" w:rsidRPr="007D76F3">
        <w:rPr>
          <w:rFonts w:ascii="Arial" w:hAnsi="Arial" w:cs="Arial"/>
          <w:sz w:val="24"/>
          <w:szCs w:val="24"/>
        </w:rPr>
        <w:t xml:space="preserve"> minor</w:t>
      </w:r>
      <w:r w:rsidRPr="007D76F3">
        <w:rPr>
          <w:rFonts w:ascii="Arial" w:hAnsi="Arial" w:cs="Arial"/>
          <w:sz w:val="24"/>
          <w:szCs w:val="24"/>
        </w:rPr>
        <w:t xml:space="preserve"> deterioration on the previous month from </w:t>
      </w:r>
      <w:r w:rsidR="00822538">
        <w:rPr>
          <w:rFonts w:ascii="Arial" w:hAnsi="Arial" w:cs="Arial"/>
          <w:sz w:val="24"/>
          <w:szCs w:val="24"/>
        </w:rPr>
        <w:t>53</w:t>
      </w:r>
      <w:r w:rsidRPr="007D76F3">
        <w:rPr>
          <w:rFonts w:ascii="Arial" w:hAnsi="Arial" w:cs="Arial"/>
          <w:sz w:val="24"/>
          <w:szCs w:val="24"/>
        </w:rPr>
        <w:t>%.</w:t>
      </w:r>
      <w:r w:rsidR="00E732DB" w:rsidRPr="007D76F3">
        <w:rPr>
          <w:rFonts w:ascii="Arial" w:hAnsi="Arial" w:cs="Arial"/>
          <w:sz w:val="24"/>
          <w:szCs w:val="24"/>
        </w:rPr>
        <w:t xml:space="preserve"> </w:t>
      </w:r>
      <w:r w:rsidRPr="007D76F3">
        <w:rPr>
          <w:rFonts w:ascii="Arial" w:hAnsi="Arial" w:cs="Arial"/>
          <w:sz w:val="24"/>
          <w:szCs w:val="24"/>
        </w:rPr>
        <w:t xml:space="preserve">As with unscheduled care, cancer performance has been escalated internally to increased monitoring and a detailed recovery plan is currently in place. </w:t>
      </w:r>
      <w:r w:rsidR="007D76F3">
        <w:rPr>
          <w:rFonts w:ascii="Arial" w:hAnsi="Arial" w:cs="Arial"/>
          <w:sz w:val="24"/>
          <w:szCs w:val="24"/>
        </w:rPr>
        <w:t xml:space="preserve">The management of cancer performance is now being led by the COO and the Interim </w:t>
      </w:r>
      <w:r w:rsidR="00822538">
        <w:rPr>
          <w:rFonts w:ascii="Arial" w:hAnsi="Arial" w:cs="Arial"/>
          <w:sz w:val="24"/>
          <w:szCs w:val="24"/>
        </w:rPr>
        <w:t>M</w:t>
      </w:r>
      <w:r w:rsidR="007D76F3">
        <w:rPr>
          <w:rFonts w:ascii="Arial" w:hAnsi="Arial" w:cs="Arial"/>
          <w:sz w:val="24"/>
          <w:szCs w:val="24"/>
        </w:rPr>
        <w:t xml:space="preserve">edical Director. </w:t>
      </w:r>
      <w:r w:rsidRPr="007D76F3">
        <w:rPr>
          <w:rFonts w:ascii="Arial" w:hAnsi="Arial" w:cs="Arial"/>
          <w:sz w:val="24"/>
          <w:szCs w:val="24"/>
        </w:rPr>
        <w:t>The 2023/24 Single Cancer Pathway trajectory can be found below</w:t>
      </w:r>
      <w:r w:rsidR="00822538">
        <w:rPr>
          <w:rFonts w:ascii="Arial" w:hAnsi="Arial" w:cs="Arial"/>
          <w:sz w:val="24"/>
          <w:szCs w:val="24"/>
        </w:rPr>
        <w:t>.</w:t>
      </w:r>
    </w:p>
    <w:p w14:paraId="16B45DEF" w14:textId="77777777" w:rsidR="008B39B9" w:rsidRPr="00B1166E" w:rsidRDefault="008B39B9" w:rsidP="00335D50">
      <w:pPr>
        <w:pStyle w:val="ListParagraph"/>
        <w:spacing w:after="0" w:line="240" w:lineRule="auto"/>
        <w:ind w:left="709"/>
        <w:jc w:val="both"/>
        <w:rPr>
          <w:rFonts w:ascii="Arial" w:hAnsi="Arial" w:cs="Arial"/>
          <w:color w:val="FF0000"/>
          <w:sz w:val="24"/>
          <w:szCs w:val="24"/>
        </w:rPr>
      </w:pPr>
    </w:p>
    <w:p w14:paraId="2084516C" w14:textId="77777777" w:rsidR="00EA4DD0" w:rsidRPr="007D76F3" w:rsidRDefault="00EA4DD0" w:rsidP="00EA4DD0">
      <w:pPr>
        <w:pStyle w:val="ListParagraph"/>
        <w:spacing w:after="0" w:line="240" w:lineRule="auto"/>
        <w:ind w:left="709"/>
        <w:jc w:val="both"/>
        <w:rPr>
          <w:rFonts w:ascii="Arial" w:hAnsi="Arial" w:cs="Arial"/>
          <w:b/>
          <w:sz w:val="24"/>
          <w:szCs w:val="24"/>
        </w:rPr>
      </w:pPr>
      <w:r w:rsidRPr="007D76F3">
        <w:rPr>
          <w:rFonts w:ascii="Arial" w:hAnsi="Arial" w:cs="Arial"/>
          <w:b/>
          <w:sz w:val="24"/>
          <w:szCs w:val="24"/>
        </w:rPr>
        <w:t xml:space="preserve">Status: </w:t>
      </w:r>
      <w:r w:rsidRPr="007D76F3">
        <w:rPr>
          <w:rFonts w:ascii="Arial" w:hAnsi="Arial" w:cs="Arial"/>
          <w:b/>
          <w:color w:val="FF0000"/>
          <w:sz w:val="24"/>
          <w:szCs w:val="24"/>
        </w:rPr>
        <w:t>RED</w:t>
      </w:r>
    </w:p>
    <w:p w14:paraId="0F346D89" w14:textId="19926D06" w:rsidR="008B39B9" w:rsidRPr="00B1166E" w:rsidRDefault="00822538" w:rsidP="00335D50">
      <w:pPr>
        <w:pStyle w:val="ListParagraph"/>
        <w:spacing w:after="0" w:line="240" w:lineRule="auto"/>
        <w:ind w:left="709"/>
        <w:jc w:val="both"/>
        <w:rPr>
          <w:rFonts w:ascii="Arial" w:hAnsi="Arial" w:cs="Arial"/>
          <w:color w:val="FF0000"/>
          <w:sz w:val="24"/>
          <w:szCs w:val="24"/>
        </w:rPr>
      </w:pPr>
      <w:r>
        <w:rPr>
          <w:rFonts w:ascii="Arial" w:hAnsi="Arial" w:cs="Arial"/>
          <w:noProof/>
          <w:color w:val="FF0000"/>
          <w:sz w:val="24"/>
          <w:szCs w:val="24"/>
        </w:rPr>
        <w:lastRenderedPageBreak/>
        <w:drawing>
          <wp:inline distT="0" distB="0" distL="0" distR="0" wp14:anchorId="3F87D0F4" wp14:editId="0223411F">
            <wp:extent cx="5543550" cy="2362200"/>
            <wp:effectExtent l="0" t="0" r="0" b="0"/>
            <wp:docPr id="4977197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43550" cy="2362200"/>
                    </a:xfrm>
                    <a:prstGeom prst="rect">
                      <a:avLst/>
                    </a:prstGeom>
                    <a:noFill/>
                  </pic:spPr>
                </pic:pic>
              </a:graphicData>
            </a:graphic>
          </wp:inline>
        </w:drawing>
      </w:r>
    </w:p>
    <w:p w14:paraId="2628C0DF" w14:textId="77777777" w:rsidR="007D76F3" w:rsidRDefault="007D76F3" w:rsidP="00E449FF">
      <w:pPr>
        <w:pStyle w:val="ListParagraph"/>
        <w:spacing w:after="0" w:line="240" w:lineRule="auto"/>
        <w:ind w:left="709"/>
        <w:jc w:val="both"/>
        <w:rPr>
          <w:rFonts w:ascii="Arial" w:hAnsi="Arial" w:cs="Arial"/>
          <w:color w:val="FF0000"/>
          <w:sz w:val="24"/>
          <w:szCs w:val="24"/>
        </w:rPr>
      </w:pPr>
    </w:p>
    <w:p w14:paraId="12798307" w14:textId="19721455" w:rsidR="00822538" w:rsidRPr="00822538" w:rsidRDefault="00822538" w:rsidP="00E449FF">
      <w:pPr>
        <w:pStyle w:val="ListParagraph"/>
        <w:spacing w:after="0" w:line="240" w:lineRule="auto"/>
        <w:ind w:left="709"/>
        <w:jc w:val="both"/>
        <w:rPr>
          <w:rFonts w:ascii="Arial" w:hAnsi="Arial" w:cs="Arial"/>
          <w:b/>
          <w:bCs/>
          <w:color w:val="000000" w:themeColor="text1"/>
          <w:sz w:val="24"/>
          <w:szCs w:val="24"/>
          <w:u w:val="single"/>
        </w:rPr>
      </w:pPr>
      <w:r w:rsidRPr="00822538">
        <w:rPr>
          <w:rFonts w:ascii="Arial" w:hAnsi="Arial" w:cs="Arial"/>
          <w:b/>
          <w:bCs/>
          <w:color w:val="000000" w:themeColor="text1"/>
          <w:sz w:val="24"/>
          <w:szCs w:val="24"/>
          <w:u w:val="single"/>
        </w:rPr>
        <w:t>Single cancer pathway backlog volume – 63 days and over</w:t>
      </w:r>
    </w:p>
    <w:p w14:paraId="5C1FAADB" w14:textId="695BA0C7" w:rsidR="0025278A" w:rsidRDefault="00335D50" w:rsidP="007D76F3">
      <w:pPr>
        <w:pStyle w:val="ListParagraph"/>
        <w:spacing w:after="0" w:line="240" w:lineRule="auto"/>
        <w:ind w:left="709"/>
        <w:jc w:val="both"/>
        <w:rPr>
          <w:rFonts w:ascii="Arial" w:hAnsi="Arial" w:cs="Arial"/>
          <w:sz w:val="24"/>
          <w:szCs w:val="24"/>
        </w:rPr>
      </w:pPr>
      <w:r w:rsidRPr="007D76F3">
        <w:rPr>
          <w:rFonts w:ascii="Arial" w:hAnsi="Arial" w:cs="Arial"/>
          <w:sz w:val="24"/>
          <w:szCs w:val="24"/>
        </w:rPr>
        <w:t>Single Cancer Pathway (SCP) Backlog figures ha</w:t>
      </w:r>
      <w:r w:rsidR="00822538">
        <w:rPr>
          <w:rFonts w:ascii="Arial" w:hAnsi="Arial" w:cs="Arial"/>
          <w:sz w:val="24"/>
          <w:szCs w:val="24"/>
        </w:rPr>
        <w:t>d</w:t>
      </w:r>
      <w:r w:rsidRPr="007D76F3">
        <w:rPr>
          <w:rFonts w:ascii="Arial" w:hAnsi="Arial" w:cs="Arial"/>
          <w:sz w:val="24"/>
          <w:szCs w:val="24"/>
        </w:rPr>
        <w:t xml:space="preserve"> seen an improvement </w:t>
      </w:r>
      <w:r w:rsidR="00822538">
        <w:rPr>
          <w:rFonts w:ascii="Arial" w:hAnsi="Arial" w:cs="Arial"/>
          <w:sz w:val="24"/>
          <w:szCs w:val="24"/>
        </w:rPr>
        <w:t xml:space="preserve">across quarter 3 but saw rise in the last few weeks of December 2023. </w:t>
      </w:r>
      <w:r w:rsidRPr="007D76F3">
        <w:rPr>
          <w:rFonts w:ascii="Arial" w:hAnsi="Arial" w:cs="Arial"/>
          <w:sz w:val="24"/>
          <w:szCs w:val="24"/>
        </w:rPr>
        <w:t xml:space="preserve">The total backlog at </w:t>
      </w:r>
      <w:r w:rsidR="00822538">
        <w:rPr>
          <w:rFonts w:ascii="Arial" w:hAnsi="Arial" w:cs="Arial"/>
          <w:sz w:val="24"/>
          <w:szCs w:val="24"/>
        </w:rPr>
        <w:t>07/01/24</w:t>
      </w:r>
      <w:r w:rsidRPr="007D76F3">
        <w:rPr>
          <w:rFonts w:ascii="Arial" w:hAnsi="Arial" w:cs="Arial"/>
          <w:sz w:val="24"/>
          <w:szCs w:val="24"/>
        </w:rPr>
        <w:t xml:space="preserve"> was </w:t>
      </w:r>
      <w:r w:rsidR="0025278A" w:rsidRPr="007D76F3">
        <w:rPr>
          <w:rFonts w:ascii="Arial" w:hAnsi="Arial" w:cs="Arial"/>
          <w:sz w:val="24"/>
          <w:szCs w:val="24"/>
        </w:rPr>
        <w:t>3</w:t>
      </w:r>
      <w:r w:rsidR="00822538">
        <w:rPr>
          <w:rFonts w:ascii="Arial" w:hAnsi="Arial" w:cs="Arial"/>
          <w:sz w:val="24"/>
          <w:szCs w:val="24"/>
        </w:rPr>
        <w:t>02</w:t>
      </w:r>
      <w:r w:rsidR="0025278A" w:rsidRPr="007D76F3">
        <w:rPr>
          <w:rFonts w:ascii="Arial" w:hAnsi="Arial" w:cs="Arial"/>
          <w:sz w:val="24"/>
          <w:szCs w:val="24"/>
        </w:rPr>
        <w:t xml:space="preserve"> against a trajectory of </w:t>
      </w:r>
      <w:r w:rsidR="007D76F3" w:rsidRPr="007D76F3">
        <w:rPr>
          <w:rFonts w:ascii="Arial" w:hAnsi="Arial" w:cs="Arial"/>
          <w:sz w:val="24"/>
          <w:szCs w:val="24"/>
        </w:rPr>
        <w:t>27</w:t>
      </w:r>
      <w:r w:rsidR="00822538">
        <w:rPr>
          <w:rFonts w:ascii="Arial" w:hAnsi="Arial" w:cs="Arial"/>
          <w:sz w:val="24"/>
          <w:szCs w:val="24"/>
        </w:rPr>
        <w:t>2</w:t>
      </w:r>
      <w:r w:rsidR="0025278A" w:rsidRPr="007D76F3">
        <w:rPr>
          <w:rFonts w:ascii="Arial" w:hAnsi="Arial" w:cs="Arial"/>
          <w:sz w:val="24"/>
          <w:szCs w:val="24"/>
        </w:rPr>
        <w:t>.</w:t>
      </w:r>
      <w:r w:rsidR="00E449FF" w:rsidRPr="007D76F3">
        <w:rPr>
          <w:rFonts w:ascii="Arial" w:hAnsi="Arial" w:cs="Arial"/>
          <w:sz w:val="24"/>
          <w:szCs w:val="24"/>
        </w:rPr>
        <w:t xml:space="preserve"> </w:t>
      </w:r>
      <w:r w:rsidR="0025278A" w:rsidRPr="007D76F3">
        <w:rPr>
          <w:rFonts w:ascii="Arial" w:hAnsi="Arial" w:cs="Arial"/>
          <w:sz w:val="24"/>
          <w:szCs w:val="24"/>
        </w:rPr>
        <w:t>The main tumour sites that make up the backlog are as follows: -</w:t>
      </w:r>
    </w:p>
    <w:p w14:paraId="109A9E74" w14:textId="77777777" w:rsidR="00822538" w:rsidRPr="007D76F3" w:rsidRDefault="00822538" w:rsidP="007D76F3">
      <w:pPr>
        <w:pStyle w:val="ListParagraph"/>
        <w:spacing w:after="0" w:line="240" w:lineRule="auto"/>
        <w:ind w:left="709"/>
        <w:jc w:val="both"/>
        <w:rPr>
          <w:rFonts w:ascii="Arial" w:hAnsi="Arial" w:cs="Arial"/>
          <w:sz w:val="24"/>
          <w:szCs w:val="24"/>
        </w:rPr>
      </w:pPr>
    </w:p>
    <w:p w14:paraId="45EA7125" w14:textId="7EE8A64F" w:rsidR="0025278A" w:rsidRPr="007D76F3" w:rsidRDefault="00E449FF" w:rsidP="00AB607E">
      <w:pPr>
        <w:pStyle w:val="ListParagraph"/>
        <w:numPr>
          <w:ilvl w:val="0"/>
          <w:numId w:val="40"/>
        </w:numPr>
        <w:spacing w:after="0" w:line="240" w:lineRule="auto"/>
        <w:jc w:val="both"/>
        <w:rPr>
          <w:rFonts w:ascii="Arial" w:hAnsi="Arial" w:cs="Arial"/>
          <w:sz w:val="24"/>
          <w:szCs w:val="24"/>
        </w:rPr>
      </w:pPr>
      <w:r w:rsidRPr="007D76F3">
        <w:rPr>
          <w:rFonts w:ascii="Arial" w:hAnsi="Arial" w:cs="Arial"/>
          <w:sz w:val="24"/>
          <w:szCs w:val="24"/>
        </w:rPr>
        <w:t xml:space="preserve">Gynaecology – </w:t>
      </w:r>
      <w:r w:rsidR="007D76F3" w:rsidRPr="007D76F3">
        <w:rPr>
          <w:rFonts w:ascii="Arial" w:hAnsi="Arial" w:cs="Arial"/>
          <w:sz w:val="24"/>
          <w:szCs w:val="24"/>
        </w:rPr>
        <w:t>6</w:t>
      </w:r>
      <w:r w:rsidR="00822538">
        <w:rPr>
          <w:rFonts w:ascii="Arial" w:hAnsi="Arial" w:cs="Arial"/>
          <w:sz w:val="24"/>
          <w:szCs w:val="24"/>
        </w:rPr>
        <w:t>0</w:t>
      </w:r>
    </w:p>
    <w:p w14:paraId="6BBB7272" w14:textId="6190E1ED" w:rsidR="007D76F3" w:rsidRPr="007D76F3" w:rsidRDefault="007D76F3" w:rsidP="00AB607E">
      <w:pPr>
        <w:pStyle w:val="ListParagraph"/>
        <w:numPr>
          <w:ilvl w:val="0"/>
          <w:numId w:val="40"/>
        </w:numPr>
        <w:spacing w:after="0" w:line="240" w:lineRule="auto"/>
        <w:jc w:val="both"/>
        <w:rPr>
          <w:rFonts w:ascii="Arial" w:hAnsi="Arial" w:cs="Arial"/>
          <w:sz w:val="24"/>
          <w:szCs w:val="24"/>
        </w:rPr>
      </w:pPr>
      <w:r w:rsidRPr="007D76F3">
        <w:rPr>
          <w:rFonts w:ascii="Arial" w:hAnsi="Arial" w:cs="Arial"/>
          <w:sz w:val="24"/>
          <w:szCs w:val="24"/>
        </w:rPr>
        <w:t>Urological – 5</w:t>
      </w:r>
      <w:r w:rsidR="00822538">
        <w:rPr>
          <w:rFonts w:ascii="Arial" w:hAnsi="Arial" w:cs="Arial"/>
          <w:sz w:val="24"/>
          <w:szCs w:val="24"/>
        </w:rPr>
        <w:t>6</w:t>
      </w:r>
    </w:p>
    <w:p w14:paraId="4E036D42" w14:textId="6BEE721F" w:rsidR="00E449FF" w:rsidRPr="007D76F3" w:rsidRDefault="00E449FF" w:rsidP="00AB607E">
      <w:pPr>
        <w:pStyle w:val="ListParagraph"/>
        <w:numPr>
          <w:ilvl w:val="0"/>
          <w:numId w:val="40"/>
        </w:numPr>
        <w:spacing w:after="0" w:line="240" w:lineRule="auto"/>
        <w:jc w:val="both"/>
        <w:rPr>
          <w:rFonts w:ascii="Arial" w:hAnsi="Arial" w:cs="Arial"/>
          <w:sz w:val="24"/>
          <w:szCs w:val="24"/>
        </w:rPr>
      </w:pPr>
      <w:r w:rsidRPr="007D76F3">
        <w:rPr>
          <w:rFonts w:ascii="Arial" w:hAnsi="Arial" w:cs="Arial"/>
          <w:sz w:val="24"/>
          <w:szCs w:val="24"/>
        </w:rPr>
        <w:t xml:space="preserve">Lower GI – </w:t>
      </w:r>
      <w:r w:rsidR="00822538">
        <w:rPr>
          <w:rFonts w:ascii="Arial" w:hAnsi="Arial" w:cs="Arial"/>
          <w:sz w:val="24"/>
          <w:szCs w:val="24"/>
        </w:rPr>
        <w:t>52</w:t>
      </w:r>
    </w:p>
    <w:p w14:paraId="259C075F" w14:textId="0C5B87DE" w:rsidR="007D76F3" w:rsidRPr="007D76F3" w:rsidRDefault="00822538" w:rsidP="00AB607E">
      <w:pPr>
        <w:pStyle w:val="ListParagraph"/>
        <w:numPr>
          <w:ilvl w:val="0"/>
          <w:numId w:val="40"/>
        </w:numPr>
        <w:spacing w:after="0" w:line="240" w:lineRule="auto"/>
        <w:jc w:val="both"/>
        <w:rPr>
          <w:rFonts w:ascii="Arial" w:hAnsi="Arial" w:cs="Arial"/>
          <w:sz w:val="24"/>
          <w:szCs w:val="24"/>
        </w:rPr>
      </w:pPr>
      <w:r>
        <w:rPr>
          <w:rFonts w:ascii="Arial" w:hAnsi="Arial" w:cs="Arial"/>
          <w:sz w:val="24"/>
          <w:szCs w:val="24"/>
        </w:rPr>
        <w:t>Upper GI - 37</w:t>
      </w:r>
    </w:p>
    <w:p w14:paraId="41E5B992" w14:textId="77777777" w:rsidR="00173CB2" w:rsidRPr="00B1166E" w:rsidRDefault="00173CB2" w:rsidP="00335D50">
      <w:pPr>
        <w:pStyle w:val="ListParagraph"/>
        <w:spacing w:after="0" w:line="240" w:lineRule="auto"/>
        <w:ind w:left="709"/>
        <w:jc w:val="both"/>
        <w:rPr>
          <w:rFonts w:ascii="Arial" w:hAnsi="Arial" w:cs="Arial"/>
          <w:color w:val="FF0000"/>
          <w:sz w:val="24"/>
          <w:szCs w:val="24"/>
        </w:rPr>
      </w:pPr>
    </w:p>
    <w:p w14:paraId="250CF593" w14:textId="39655EA7" w:rsidR="00EA4DD0" w:rsidRPr="007D76F3" w:rsidRDefault="00EA4DD0" w:rsidP="00EA4DD0">
      <w:pPr>
        <w:pStyle w:val="ListParagraph"/>
        <w:spacing w:after="0" w:line="240" w:lineRule="auto"/>
        <w:jc w:val="both"/>
        <w:rPr>
          <w:rFonts w:ascii="Arial" w:hAnsi="Arial" w:cs="Arial"/>
          <w:b/>
          <w:sz w:val="24"/>
          <w:szCs w:val="24"/>
        </w:rPr>
      </w:pPr>
      <w:r w:rsidRPr="007D76F3">
        <w:rPr>
          <w:rFonts w:ascii="Arial" w:hAnsi="Arial" w:cs="Arial"/>
          <w:b/>
          <w:sz w:val="24"/>
          <w:szCs w:val="24"/>
        </w:rPr>
        <w:t xml:space="preserve">Status </w:t>
      </w:r>
      <w:r w:rsidR="00E732DB" w:rsidRPr="007D76F3">
        <w:rPr>
          <w:rFonts w:ascii="Arial" w:hAnsi="Arial" w:cs="Arial"/>
          <w:b/>
          <w:sz w:val="24"/>
          <w:szCs w:val="24"/>
        </w:rPr>
        <w:t>–</w:t>
      </w:r>
      <w:r w:rsidRPr="007D76F3">
        <w:rPr>
          <w:rFonts w:ascii="Arial" w:hAnsi="Arial" w:cs="Arial"/>
          <w:b/>
          <w:sz w:val="24"/>
          <w:szCs w:val="24"/>
        </w:rPr>
        <w:t xml:space="preserve"> </w:t>
      </w:r>
      <w:r w:rsidR="007D76F3" w:rsidRPr="007D76F3">
        <w:rPr>
          <w:rFonts w:ascii="Arial" w:hAnsi="Arial" w:cs="Arial"/>
          <w:b/>
          <w:color w:val="F79646" w:themeColor="accent6"/>
          <w:sz w:val="24"/>
          <w:szCs w:val="24"/>
        </w:rPr>
        <w:t>AMBER</w:t>
      </w:r>
    </w:p>
    <w:p w14:paraId="7D35D294" w14:textId="77777777" w:rsidR="008B39B9" w:rsidRPr="007D76F3" w:rsidRDefault="00173CB2" w:rsidP="00173CB2">
      <w:pPr>
        <w:pStyle w:val="ListParagraph"/>
        <w:spacing w:after="0" w:line="240" w:lineRule="auto"/>
        <w:ind w:left="709"/>
        <w:jc w:val="center"/>
        <w:rPr>
          <w:rFonts w:ascii="Arial" w:hAnsi="Arial" w:cs="Arial"/>
          <w:b/>
          <w:bCs/>
          <w:sz w:val="24"/>
          <w:szCs w:val="24"/>
        </w:rPr>
      </w:pPr>
      <w:r w:rsidRPr="007D76F3">
        <w:rPr>
          <w:rFonts w:ascii="Arial" w:hAnsi="Arial" w:cs="Arial"/>
          <w:b/>
          <w:bCs/>
          <w:sz w:val="24"/>
          <w:szCs w:val="24"/>
        </w:rPr>
        <w:t>SCP Backlog waiting over 63 days</w:t>
      </w:r>
    </w:p>
    <w:p w14:paraId="14DC713A" w14:textId="43871CC0" w:rsidR="00671BE5" w:rsidRPr="00B1166E" w:rsidRDefault="00822538" w:rsidP="00036A53">
      <w:pPr>
        <w:pStyle w:val="ListParagraph"/>
        <w:spacing w:after="0" w:line="240" w:lineRule="auto"/>
        <w:ind w:left="709"/>
        <w:jc w:val="both"/>
        <w:rPr>
          <w:rFonts w:ascii="Arial" w:hAnsi="Arial" w:cs="Arial"/>
          <w:color w:val="FF0000"/>
          <w:sz w:val="24"/>
          <w:szCs w:val="24"/>
        </w:rPr>
      </w:pPr>
      <w:r>
        <w:rPr>
          <w:noProof/>
          <w:lang w:eastAsia="en-GB"/>
        </w:rPr>
        <w:drawing>
          <wp:inline distT="0" distB="0" distL="0" distR="0" wp14:anchorId="3166D5EE" wp14:editId="75F8EB84">
            <wp:extent cx="6029960" cy="2518385"/>
            <wp:effectExtent l="0" t="0" r="8890" b="1587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7F0827A" w14:textId="77777777" w:rsidR="008E170B" w:rsidRPr="00B1166E" w:rsidRDefault="008E170B" w:rsidP="004D728E">
      <w:pPr>
        <w:spacing w:after="0" w:line="240" w:lineRule="auto"/>
        <w:ind w:left="709" w:hanging="709"/>
        <w:jc w:val="both"/>
        <w:rPr>
          <w:rFonts w:ascii="Arial" w:hAnsi="Arial" w:cs="Arial"/>
          <w:color w:val="FF0000"/>
          <w:sz w:val="24"/>
          <w:szCs w:val="24"/>
        </w:rPr>
      </w:pPr>
    </w:p>
    <w:p w14:paraId="430F8B16" w14:textId="4D5BF174" w:rsidR="00E449FF" w:rsidRPr="00B1166E" w:rsidRDefault="00E449FF" w:rsidP="004D728E">
      <w:pPr>
        <w:spacing w:after="0" w:line="240" w:lineRule="auto"/>
        <w:ind w:left="709" w:hanging="709"/>
        <w:jc w:val="both"/>
        <w:rPr>
          <w:rFonts w:ascii="Arial" w:hAnsi="Arial" w:cs="Arial"/>
          <w:color w:val="FF0000"/>
          <w:sz w:val="24"/>
          <w:szCs w:val="24"/>
        </w:rPr>
      </w:pPr>
      <w:r w:rsidRPr="00B1166E">
        <w:rPr>
          <w:rFonts w:ascii="Arial" w:hAnsi="Arial" w:cs="Arial"/>
          <w:color w:val="FF0000"/>
          <w:sz w:val="24"/>
          <w:szCs w:val="24"/>
        </w:rPr>
        <w:tab/>
      </w:r>
      <w:r w:rsidRPr="007D76F3">
        <w:rPr>
          <w:rFonts w:ascii="Arial" w:hAnsi="Arial" w:cs="Arial"/>
          <w:sz w:val="24"/>
          <w:szCs w:val="24"/>
        </w:rPr>
        <w:t xml:space="preserve">The actions required to recover the SCP percentage target to trajectory as planned for Quarter </w:t>
      </w:r>
      <w:r w:rsidR="00822538">
        <w:rPr>
          <w:rFonts w:ascii="Arial" w:hAnsi="Arial" w:cs="Arial"/>
          <w:sz w:val="24"/>
          <w:szCs w:val="24"/>
        </w:rPr>
        <w:t>4</w:t>
      </w:r>
      <w:r w:rsidRPr="007D76F3">
        <w:rPr>
          <w:rFonts w:ascii="Arial" w:hAnsi="Arial" w:cs="Arial"/>
          <w:sz w:val="24"/>
          <w:szCs w:val="24"/>
        </w:rPr>
        <w:t xml:space="preserve"> are: -</w:t>
      </w:r>
    </w:p>
    <w:p w14:paraId="4657A129" w14:textId="77777777" w:rsidR="00E449FF" w:rsidRPr="00B1166E" w:rsidRDefault="00E449FF" w:rsidP="004D728E">
      <w:pPr>
        <w:spacing w:after="0" w:line="240" w:lineRule="auto"/>
        <w:ind w:left="709" w:hanging="709"/>
        <w:jc w:val="both"/>
        <w:rPr>
          <w:rFonts w:ascii="Arial" w:hAnsi="Arial" w:cs="Arial"/>
          <w:color w:val="FF0000"/>
          <w:sz w:val="24"/>
          <w:szCs w:val="24"/>
        </w:rPr>
      </w:pPr>
    </w:p>
    <w:p w14:paraId="4DC6F478" w14:textId="0AA5D22D" w:rsidR="00E449FF" w:rsidRPr="007D76F3" w:rsidRDefault="00E732DB" w:rsidP="00E449FF">
      <w:pPr>
        <w:spacing w:after="0" w:line="240" w:lineRule="auto"/>
        <w:ind w:left="709"/>
        <w:jc w:val="both"/>
        <w:rPr>
          <w:rFonts w:ascii="Arial" w:hAnsi="Arial" w:cs="Arial"/>
          <w:b/>
          <w:sz w:val="24"/>
          <w:szCs w:val="24"/>
        </w:rPr>
      </w:pPr>
      <w:r w:rsidRPr="007D76F3">
        <w:rPr>
          <w:rFonts w:ascii="Arial" w:hAnsi="Arial" w:cs="Arial"/>
          <w:b/>
          <w:sz w:val="24"/>
          <w:szCs w:val="24"/>
        </w:rPr>
        <w:t>Actions:</w:t>
      </w:r>
    </w:p>
    <w:p w14:paraId="167CBD7A" w14:textId="7614400E" w:rsidR="00E732DB" w:rsidRPr="007D76F3" w:rsidRDefault="00E732DB" w:rsidP="00AB607E">
      <w:pPr>
        <w:pStyle w:val="ListParagraph"/>
        <w:numPr>
          <w:ilvl w:val="0"/>
          <w:numId w:val="42"/>
        </w:numPr>
        <w:spacing w:after="0" w:line="240" w:lineRule="auto"/>
        <w:jc w:val="both"/>
        <w:rPr>
          <w:rFonts w:ascii="Arial" w:hAnsi="Arial" w:cs="Arial"/>
          <w:bCs/>
          <w:sz w:val="24"/>
          <w:szCs w:val="24"/>
        </w:rPr>
      </w:pPr>
      <w:r w:rsidRPr="007D76F3">
        <w:rPr>
          <w:rFonts w:ascii="Arial" w:hAnsi="Arial" w:cs="Arial"/>
          <w:bCs/>
          <w:sz w:val="24"/>
          <w:szCs w:val="24"/>
        </w:rPr>
        <w:t>Maintain a focus on reducing backlog volumes aligned to the trajectory</w:t>
      </w:r>
    </w:p>
    <w:p w14:paraId="01EA553F" w14:textId="451F9933" w:rsidR="00E732DB" w:rsidRPr="002061FD" w:rsidRDefault="007D76F3" w:rsidP="00AB607E">
      <w:pPr>
        <w:pStyle w:val="ListParagraph"/>
        <w:numPr>
          <w:ilvl w:val="0"/>
          <w:numId w:val="42"/>
        </w:numPr>
        <w:spacing w:after="0" w:line="240" w:lineRule="auto"/>
        <w:jc w:val="both"/>
        <w:rPr>
          <w:rFonts w:ascii="Arial" w:hAnsi="Arial" w:cs="Arial"/>
          <w:bCs/>
          <w:sz w:val="24"/>
          <w:szCs w:val="24"/>
        </w:rPr>
      </w:pPr>
      <w:r w:rsidRPr="002061FD">
        <w:rPr>
          <w:rFonts w:ascii="Arial" w:hAnsi="Arial" w:cs="Arial"/>
          <w:bCs/>
          <w:sz w:val="24"/>
          <w:szCs w:val="24"/>
        </w:rPr>
        <w:t>Weekly t</w:t>
      </w:r>
      <w:r w:rsidR="00E732DB" w:rsidRPr="002061FD">
        <w:rPr>
          <w:rFonts w:ascii="Arial" w:hAnsi="Arial" w:cs="Arial"/>
          <w:bCs/>
          <w:sz w:val="24"/>
          <w:szCs w:val="24"/>
        </w:rPr>
        <w:t>umour site review meetings</w:t>
      </w:r>
      <w:r w:rsidRPr="002061FD">
        <w:rPr>
          <w:rFonts w:ascii="Arial" w:hAnsi="Arial" w:cs="Arial"/>
          <w:bCs/>
          <w:sz w:val="24"/>
          <w:szCs w:val="24"/>
        </w:rPr>
        <w:t xml:space="preserve"> are underway </w:t>
      </w:r>
      <w:r w:rsidR="00E732DB" w:rsidRPr="002061FD">
        <w:rPr>
          <w:rFonts w:ascii="Arial" w:hAnsi="Arial" w:cs="Arial"/>
          <w:bCs/>
          <w:sz w:val="24"/>
          <w:szCs w:val="24"/>
        </w:rPr>
        <w:t>to ensure focus on key issues</w:t>
      </w:r>
    </w:p>
    <w:p w14:paraId="10547AF4" w14:textId="77777777" w:rsidR="005440EA" w:rsidRDefault="00E732DB" w:rsidP="005440EA">
      <w:pPr>
        <w:pStyle w:val="ListParagraph"/>
        <w:numPr>
          <w:ilvl w:val="0"/>
          <w:numId w:val="42"/>
        </w:numPr>
        <w:spacing w:after="0" w:line="240" w:lineRule="auto"/>
        <w:jc w:val="both"/>
        <w:rPr>
          <w:rFonts w:ascii="Arial" w:hAnsi="Arial" w:cs="Arial"/>
          <w:bCs/>
          <w:sz w:val="24"/>
          <w:szCs w:val="24"/>
        </w:rPr>
      </w:pPr>
      <w:r w:rsidRPr="002061FD">
        <w:rPr>
          <w:rFonts w:ascii="Arial" w:hAnsi="Arial" w:cs="Arial"/>
          <w:bCs/>
          <w:sz w:val="24"/>
          <w:szCs w:val="24"/>
        </w:rPr>
        <w:t xml:space="preserve">Over-arching </w:t>
      </w:r>
      <w:r w:rsidR="00822538">
        <w:rPr>
          <w:rFonts w:ascii="Arial" w:hAnsi="Arial" w:cs="Arial"/>
          <w:bCs/>
          <w:sz w:val="24"/>
          <w:szCs w:val="24"/>
        </w:rPr>
        <w:t>weekly focussed c</w:t>
      </w:r>
      <w:r w:rsidRPr="002061FD">
        <w:rPr>
          <w:rFonts w:ascii="Arial" w:hAnsi="Arial" w:cs="Arial"/>
          <w:bCs/>
          <w:sz w:val="24"/>
          <w:szCs w:val="24"/>
        </w:rPr>
        <w:t xml:space="preserve">ancer </w:t>
      </w:r>
      <w:r w:rsidR="00822538">
        <w:rPr>
          <w:rFonts w:ascii="Arial" w:hAnsi="Arial" w:cs="Arial"/>
          <w:bCs/>
          <w:sz w:val="24"/>
          <w:szCs w:val="24"/>
        </w:rPr>
        <w:t>improvement meetings have</w:t>
      </w:r>
      <w:r w:rsidR="002061FD" w:rsidRPr="002061FD">
        <w:rPr>
          <w:rFonts w:ascii="Arial" w:hAnsi="Arial" w:cs="Arial"/>
          <w:bCs/>
          <w:sz w:val="24"/>
          <w:szCs w:val="24"/>
        </w:rPr>
        <w:t xml:space="preserve"> been established by the Interim Medical Director</w:t>
      </w:r>
      <w:r w:rsidRPr="002061FD">
        <w:rPr>
          <w:rFonts w:ascii="Arial" w:hAnsi="Arial" w:cs="Arial"/>
          <w:bCs/>
          <w:sz w:val="24"/>
          <w:szCs w:val="24"/>
        </w:rPr>
        <w:t xml:space="preserve"> </w:t>
      </w:r>
    </w:p>
    <w:p w14:paraId="5E18DE79" w14:textId="65B88110" w:rsidR="00E732DB" w:rsidRPr="005440EA" w:rsidRDefault="005440EA" w:rsidP="005440EA">
      <w:pPr>
        <w:pStyle w:val="ListParagraph"/>
        <w:numPr>
          <w:ilvl w:val="0"/>
          <w:numId w:val="42"/>
        </w:numPr>
        <w:spacing w:after="0" w:line="240" w:lineRule="auto"/>
        <w:jc w:val="both"/>
        <w:rPr>
          <w:rFonts w:ascii="Arial" w:hAnsi="Arial" w:cs="Arial"/>
          <w:bCs/>
          <w:sz w:val="24"/>
          <w:szCs w:val="24"/>
        </w:rPr>
      </w:pPr>
      <w:r w:rsidRPr="005440EA">
        <w:rPr>
          <w:rFonts w:ascii="Arial" w:hAnsi="Arial" w:cs="Arial"/>
          <w:bCs/>
          <w:sz w:val="24"/>
          <w:szCs w:val="24"/>
        </w:rPr>
        <w:lastRenderedPageBreak/>
        <w:t>Focus on 1</w:t>
      </w:r>
      <w:r w:rsidRPr="005440EA">
        <w:rPr>
          <w:rFonts w:ascii="Arial" w:hAnsi="Arial" w:cs="Arial"/>
          <w:bCs/>
          <w:sz w:val="24"/>
          <w:szCs w:val="24"/>
          <w:vertAlign w:val="superscript"/>
        </w:rPr>
        <w:t>st</w:t>
      </w:r>
      <w:r w:rsidRPr="005440EA">
        <w:rPr>
          <w:rFonts w:ascii="Arial" w:hAnsi="Arial" w:cs="Arial"/>
          <w:bCs/>
          <w:sz w:val="24"/>
          <w:szCs w:val="24"/>
        </w:rPr>
        <w:t xml:space="preserve"> </w:t>
      </w:r>
      <w:r>
        <w:rPr>
          <w:rFonts w:ascii="Arial" w:hAnsi="Arial" w:cs="Arial"/>
          <w:bCs/>
          <w:sz w:val="24"/>
          <w:szCs w:val="24"/>
        </w:rPr>
        <w:t>o</w:t>
      </w:r>
      <w:r w:rsidRPr="005440EA">
        <w:rPr>
          <w:rFonts w:ascii="Arial" w:hAnsi="Arial" w:cs="Arial"/>
          <w:bCs/>
          <w:sz w:val="24"/>
          <w:szCs w:val="24"/>
        </w:rPr>
        <w:t>utpatient appointment within 10 days and Decision To Treat achieved within 31days</w:t>
      </w:r>
    </w:p>
    <w:p w14:paraId="78D3FEC7" w14:textId="77777777" w:rsidR="00E732DB" w:rsidRPr="00B1166E" w:rsidRDefault="00E732DB" w:rsidP="00E449FF">
      <w:pPr>
        <w:spacing w:after="0" w:line="240" w:lineRule="auto"/>
        <w:ind w:left="709"/>
        <w:jc w:val="both"/>
        <w:rPr>
          <w:rFonts w:ascii="Arial" w:hAnsi="Arial" w:cs="Arial"/>
          <w:b/>
          <w:color w:val="FF0000"/>
          <w:sz w:val="24"/>
          <w:szCs w:val="24"/>
        </w:rPr>
      </w:pPr>
    </w:p>
    <w:p w14:paraId="649D81D3" w14:textId="77777777" w:rsidR="002E530B" w:rsidRPr="002061FD" w:rsidRDefault="006512DD" w:rsidP="006E1519">
      <w:pPr>
        <w:shd w:val="clear" w:color="auto" w:fill="DBE5F1" w:themeFill="accent1" w:themeFillTint="33"/>
        <w:spacing w:after="0" w:line="240" w:lineRule="auto"/>
        <w:ind w:left="709"/>
        <w:jc w:val="both"/>
        <w:rPr>
          <w:rFonts w:ascii="Arial" w:hAnsi="Arial" w:cs="Arial"/>
          <w:b/>
          <w:sz w:val="24"/>
          <w:szCs w:val="24"/>
        </w:rPr>
      </w:pPr>
      <w:r w:rsidRPr="002061FD">
        <w:rPr>
          <w:rFonts w:ascii="Arial" w:hAnsi="Arial" w:cs="Arial"/>
          <w:b/>
          <w:sz w:val="24"/>
          <w:szCs w:val="24"/>
        </w:rPr>
        <w:t>Planned Care</w:t>
      </w:r>
    </w:p>
    <w:p w14:paraId="098A5A84" w14:textId="77777777" w:rsidR="00F567B9" w:rsidRDefault="00F567B9" w:rsidP="005440EA">
      <w:pPr>
        <w:spacing w:after="0" w:line="240" w:lineRule="auto"/>
        <w:ind w:left="720"/>
        <w:rPr>
          <w:rFonts w:ascii="Arial" w:hAnsi="Arial" w:cs="Arial"/>
          <w:color w:val="FF0000"/>
          <w:sz w:val="24"/>
          <w:szCs w:val="24"/>
        </w:rPr>
      </w:pPr>
    </w:p>
    <w:p w14:paraId="093AAC4A" w14:textId="42852201" w:rsidR="005440EA" w:rsidRPr="005440EA" w:rsidRDefault="005440EA" w:rsidP="005440EA">
      <w:pPr>
        <w:spacing w:after="0" w:line="240" w:lineRule="auto"/>
        <w:ind w:left="720"/>
        <w:rPr>
          <w:rFonts w:ascii="Arial" w:hAnsi="Arial" w:cs="Arial"/>
          <w:b/>
          <w:bCs/>
          <w:color w:val="000000" w:themeColor="text1"/>
          <w:sz w:val="24"/>
          <w:szCs w:val="24"/>
          <w:u w:val="single"/>
        </w:rPr>
      </w:pPr>
      <w:r w:rsidRPr="005440EA">
        <w:rPr>
          <w:rFonts w:ascii="Arial" w:hAnsi="Arial" w:cs="Arial"/>
          <w:b/>
          <w:bCs/>
          <w:color w:val="000000" w:themeColor="text1"/>
          <w:sz w:val="24"/>
          <w:szCs w:val="24"/>
          <w:u w:val="single"/>
        </w:rPr>
        <w:t>Patients waiting over 104 weeks (All Pathways)</w:t>
      </w:r>
    </w:p>
    <w:p w14:paraId="1BBF2BC8" w14:textId="05DE2C2D" w:rsidR="00920DCD" w:rsidRPr="002061FD" w:rsidRDefault="00E63CD5" w:rsidP="0073267B">
      <w:pPr>
        <w:pStyle w:val="ListParagraph"/>
        <w:spacing w:after="0" w:line="240" w:lineRule="auto"/>
        <w:jc w:val="both"/>
        <w:rPr>
          <w:rFonts w:ascii="Arial" w:hAnsi="Arial" w:cs="Arial"/>
          <w:sz w:val="24"/>
          <w:szCs w:val="24"/>
        </w:rPr>
      </w:pPr>
      <w:r w:rsidRPr="002061FD">
        <w:rPr>
          <w:rFonts w:ascii="Arial" w:hAnsi="Arial" w:cs="Arial"/>
          <w:sz w:val="24"/>
          <w:szCs w:val="24"/>
        </w:rPr>
        <w:t xml:space="preserve">The number of patients waiting over 104 weeks </w:t>
      </w:r>
      <w:r w:rsidR="00034FD9" w:rsidRPr="002061FD">
        <w:rPr>
          <w:rFonts w:ascii="Arial" w:hAnsi="Arial" w:cs="Arial"/>
          <w:sz w:val="24"/>
          <w:szCs w:val="24"/>
        </w:rPr>
        <w:t>on all stages of their RTT pathway</w:t>
      </w:r>
      <w:r w:rsidRPr="002061FD">
        <w:rPr>
          <w:rFonts w:ascii="Arial" w:hAnsi="Arial" w:cs="Arial"/>
          <w:sz w:val="24"/>
          <w:szCs w:val="24"/>
        </w:rPr>
        <w:t xml:space="preserve"> saw a further reduction in</w:t>
      </w:r>
      <w:r w:rsidR="00450D19" w:rsidRPr="002061FD">
        <w:rPr>
          <w:rFonts w:ascii="Arial" w:hAnsi="Arial" w:cs="Arial"/>
          <w:sz w:val="24"/>
          <w:szCs w:val="24"/>
        </w:rPr>
        <w:t xml:space="preserve"> </w:t>
      </w:r>
      <w:r w:rsidR="005440EA">
        <w:rPr>
          <w:rFonts w:ascii="Arial" w:hAnsi="Arial" w:cs="Arial"/>
          <w:sz w:val="24"/>
          <w:szCs w:val="24"/>
        </w:rPr>
        <w:t>December 2023 to 2,969 and has improved consistently across Quarter 3</w:t>
      </w:r>
      <w:r w:rsidRPr="002061FD">
        <w:rPr>
          <w:rFonts w:ascii="Arial" w:hAnsi="Arial" w:cs="Arial"/>
          <w:sz w:val="24"/>
          <w:szCs w:val="24"/>
        </w:rPr>
        <w:t xml:space="preserve">. </w:t>
      </w:r>
    </w:p>
    <w:p w14:paraId="0FFF697B" w14:textId="77777777" w:rsidR="00920DCD" w:rsidRPr="008D14B9" w:rsidRDefault="00920DCD" w:rsidP="0073267B">
      <w:pPr>
        <w:pStyle w:val="ListParagraph"/>
        <w:spacing w:after="0" w:line="240" w:lineRule="auto"/>
        <w:jc w:val="both"/>
        <w:rPr>
          <w:rFonts w:ascii="Arial" w:hAnsi="Arial" w:cs="Arial"/>
          <w:sz w:val="24"/>
          <w:szCs w:val="24"/>
        </w:rPr>
      </w:pPr>
    </w:p>
    <w:p w14:paraId="547E54A5" w14:textId="23B30B54" w:rsidR="007027FC" w:rsidRPr="008D14B9" w:rsidRDefault="00E449FF" w:rsidP="0073267B">
      <w:pPr>
        <w:pStyle w:val="ListParagraph"/>
        <w:spacing w:after="0" w:line="240" w:lineRule="auto"/>
        <w:jc w:val="both"/>
        <w:rPr>
          <w:rFonts w:ascii="Arial" w:hAnsi="Arial" w:cs="Arial"/>
          <w:sz w:val="24"/>
          <w:szCs w:val="24"/>
        </w:rPr>
      </w:pPr>
      <w:r w:rsidRPr="008D14B9">
        <w:rPr>
          <w:rFonts w:ascii="Arial" w:hAnsi="Arial" w:cs="Arial"/>
          <w:sz w:val="24"/>
          <w:szCs w:val="24"/>
        </w:rPr>
        <w:t xml:space="preserve">A substantial amount of resource is contained within the overall financial plan (£22.9m) to support the delivery of the planned care target. The plan for this area is currently under review to align the planned resource to optimise the target delivery. The target is that 1% or fewer of patients should be waiting under 104 weeks by March 2024. </w:t>
      </w:r>
    </w:p>
    <w:p w14:paraId="0D822A4B" w14:textId="77777777" w:rsidR="00E449FF" w:rsidRPr="008D14B9" w:rsidRDefault="00E449FF" w:rsidP="0073267B">
      <w:pPr>
        <w:pStyle w:val="ListParagraph"/>
        <w:spacing w:after="0" w:line="240" w:lineRule="auto"/>
        <w:jc w:val="both"/>
        <w:rPr>
          <w:rFonts w:ascii="Arial" w:hAnsi="Arial" w:cs="Arial"/>
          <w:sz w:val="24"/>
          <w:szCs w:val="24"/>
        </w:rPr>
      </w:pPr>
    </w:p>
    <w:p w14:paraId="08B00BE7" w14:textId="57BF5B6C" w:rsidR="00EA4DD0" w:rsidRPr="008D14B9" w:rsidRDefault="008D14B9" w:rsidP="0073267B">
      <w:pPr>
        <w:pStyle w:val="ListParagraph"/>
        <w:spacing w:after="0" w:line="240" w:lineRule="auto"/>
        <w:jc w:val="both"/>
        <w:rPr>
          <w:rFonts w:ascii="Arial" w:hAnsi="Arial" w:cs="Arial"/>
          <w:sz w:val="24"/>
          <w:szCs w:val="24"/>
        </w:rPr>
      </w:pPr>
      <w:r w:rsidRPr="008D14B9">
        <w:rPr>
          <w:rFonts w:ascii="Arial" w:hAnsi="Arial" w:cs="Arial"/>
          <w:sz w:val="24"/>
          <w:szCs w:val="24"/>
        </w:rPr>
        <w:t xml:space="preserve">The Board will be aware that the Health Board has also been allocated £15.5m (£14m for orthopaedics and £1.5m for endoscopy) from the Welsh Government regional allocation funding which was top sliced this year. </w:t>
      </w:r>
    </w:p>
    <w:p w14:paraId="632316A6" w14:textId="77777777" w:rsidR="008D14B9" w:rsidRPr="00B1166E" w:rsidRDefault="008D14B9" w:rsidP="0073267B">
      <w:pPr>
        <w:pStyle w:val="ListParagraph"/>
        <w:spacing w:after="0" w:line="240" w:lineRule="auto"/>
        <w:jc w:val="both"/>
        <w:rPr>
          <w:rFonts w:ascii="Arial" w:hAnsi="Arial" w:cs="Arial"/>
          <w:color w:val="FF0000"/>
          <w:sz w:val="24"/>
          <w:szCs w:val="24"/>
        </w:rPr>
      </w:pPr>
    </w:p>
    <w:p w14:paraId="64C55496" w14:textId="77777777" w:rsidR="00EA4DD0" w:rsidRPr="002061FD" w:rsidRDefault="00EA4DD0" w:rsidP="00EA4DD0">
      <w:pPr>
        <w:spacing w:after="0" w:line="240" w:lineRule="auto"/>
        <w:ind w:left="720"/>
        <w:contextualSpacing/>
        <w:jc w:val="both"/>
        <w:rPr>
          <w:rFonts w:ascii="Arial" w:hAnsi="Arial" w:cs="Arial"/>
          <w:b/>
          <w:sz w:val="24"/>
          <w:szCs w:val="24"/>
        </w:rPr>
      </w:pPr>
      <w:r w:rsidRPr="002061FD">
        <w:rPr>
          <w:rFonts w:ascii="Arial" w:hAnsi="Arial" w:cs="Arial"/>
          <w:b/>
          <w:sz w:val="24"/>
          <w:szCs w:val="24"/>
        </w:rPr>
        <w:t xml:space="preserve">Status - </w:t>
      </w:r>
      <w:r w:rsidRPr="002061FD">
        <w:rPr>
          <w:rFonts w:ascii="Arial" w:hAnsi="Arial" w:cs="Arial"/>
          <w:b/>
          <w:color w:val="F79646" w:themeColor="accent6"/>
          <w:sz w:val="24"/>
          <w:szCs w:val="24"/>
        </w:rPr>
        <w:t>AMBER</w:t>
      </w:r>
    </w:p>
    <w:p w14:paraId="34DD670E" w14:textId="0B097479" w:rsidR="007027FC" w:rsidRPr="00B1166E" w:rsidRDefault="005440EA" w:rsidP="00034789">
      <w:pPr>
        <w:pStyle w:val="ListParagraph"/>
        <w:spacing w:after="0" w:line="240" w:lineRule="auto"/>
        <w:jc w:val="center"/>
        <w:rPr>
          <w:rFonts w:ascii="Arial" w:hAnsi="Arial" w:cs="Arial"/>
          <w:color w:val="FF0000"/>
          <w:sz w:val="24"/>
          <w:szCs w:val="24"/>
        </w:rPr>
      </w:pPr>
      <w:r>
        <w:rPr>
          <w:rFonts w:ascii="Arial" w:hAnsi="Arial" w:cs="Arial"/>
          <w:noProof/>
          <w:sz w:val="24"/>
          <w:szCs w:val="24"/>
        </w:rPr>
        <w:drawing>
          <wp:inline distT="0" distB="0" distL="0" distR="0" wp14:anchorId="04C609EC" wp14:editId="62F94C13">
            <wp:extent cx="5480050" cy="2600325"/>
            <wp:effectExtent l="0" t="0" r="6350" b="9525"/>
            <wp:docPr id="1610689856" name="Picture 6" descr="A graph of a number of patients waiting over 104 week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689856" name="Picture 6" descr="A graph of a number of patients waiting over 104 weeks&#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02218" cy="2610844"/>
                    </a:xfrm>
                    <a:prstGeom prst="rect">
                      <a:avLst/>
                    </a:prstGeom>
                    <a:noFill/>
                  </pic:spPr>
                </pic:pic>
              </a:graphicData>
            </a:graphic>
          </wp:inline>
        </w:drawing>
      </w:r>
    </w:p>
    <w:p w14:paraId="7312BC51" w14:textId="77777777" w:rsidR="00F238CB" w:rsidRPr="00B1166E" w:rsidRDefault="00F238CB" w:rsidP="00F238CB">
      <w:pPr>
        <w:pStyle w:val="ListParagraph"/>
        <w:spacing w:after="0" w:line="240" w:lineRule="auto"/>
        <w:jc w:val="both"/>
        <w:rPr>
          <w:rFonts w:ascii="Arial" w:hAnsi="Arial" w:cs="Arial"/>
          <w:b/>
          <w:color w:val="FF0000"/>
          <w:sz w:val="24"/>
          <w:szCs w:val="24"/>
        </w:rPr>
      </w:pPr>
    </w:p>
    <w:p w14:paraId="30CF6D6B" w14:textId="77777777" w:rsidR="00F238CB" w:rsidRPr="002061FD" w:rsidRDefault="00F238CB" w:rsidP="00F238CB">
      <w:pPr>
        <w:pStyle w:val="ListParagraph"/>
        <w:spacing w:after="0" w:line="240" w:lineRule="auto"/>
        <w:jc w:val="both"/>
        <w:rPr>
          <w:rFonts w:ascii="Arial" w:hAnsi="Arial" w:cs="Arial"/>
          <w:sz w:val="24"/>
          <w:szCs w:val="24"/>
        </w:rPr>
      </w:pPr>
      <w:r w:rsidRPr="002061FD">
        <w:rPr>
          <w:rFonts w:ascii="Arial" w:hAnsi="Arial" w:cs="Arial"/>
          <w:b/>
          <w:sz w:val="24"/>
          <w:szCs w:val="24"/>
        </w:rPr>
        <w:t xml:space="preserve">ACTION: </w:t>
      </w:r>
      <w:r w:rsidRPr="002061FD">
        <w:rPr>
          <w:rFonts w:ascii="Arial" w:hAnsi="Arial" w:cs="Arial"/>
          <w:bCs/>
          <w:sz w:val="24"/>
          <w:szCs w:val="24"/>
        </w:rPr>
        <w:t>Implement planned care efficiency measures which include; over-booking clinics, improving treat in turn rates, increasing capacity, validation of pathways and internal administrative and clinical validation.</w:t>
      </w:r>
    </w:p>
    <w:p w14:paraId="20A57904" w14:textId="77777777" w:rsidR="00450D19" w:rsidRDefault="00450D19" w:rsidP="0073267B">
      <w:pPr>
        <w:pStyle w:val="ListParagraph"/>
        <w:spacing w:after="0" w:line="240" w:lineRule="auto"/>
        <w:jc w:val="both"/>
        <w:rPr>
          <w:rFonts w:ascii="Arial" w:hAnsi="Arial" w:cs="Arial"/>
          <w:color w:val="FF0000"/>
          <w:sz w:val="24"/>
          <w:szCs w:val="24"/>
        </w:rPr>
      </w:pPr>
    </w:p>
    <w:p w14:paraId="24B672BA" w14:textId="26842881" w:rsidR="005440EA" w:rsidRPr="005440EA" w:rsidRDefault="005440EA" w:rsidP="0073267B">
      <w:pPr>
        <w:pStyle w:val="ListParagraph"/>
        <w:spacing w:after="0" w:line="240" w:lineRule="auto"/>
        <w:jc w:val="both"/>
        <w:rPr>
          <w:rFonts w:ascii="Arial" w:hAnsi="Arial" w:cs="Arial"/>
          <w:b/>
          <w:bCs/>
          <w:color w:val="000000" w:themeColor="text1"/>
          <w:sz w:val="24"/>
          <w:szCs w:val="24"/>
          <w:u w:val="single"/>
        </w:rPr>
      </w:pPr>
      <w:r w:rsidRPr="005440EA">
        <w:rPr>
          <w:rFonts w:ascii="Arial" w:hAnsi="Arial" w:cs="Arial"/>
          <w:b/>
          <w:bCs/>
          <w:color w:val="000000" w:themeColor="text1"/>
          <w:sz w:val="24"/>
          <w:szCs w:val="24"/>
          <w:u w:val="single"/>
        </w:rPr>
        <w:t>Patient waiting over 52 weeks for a first outpatient appointment</w:t>
      </w:r>
    </w:p>
    <w:p w14:paraId="07204B73" w14:textId="2FB6FE0C" w:rsidR="00E9519D" w:rsidRPr="002061FD" w:rsidRDefault="00D516C6" w:rsidP="00E9519D">
      <w:pPr>
        <w:pStyle w:val="ListParagraph"/>
        <w:spacing w:after="0" w:line="240" w:lineRule="auto"/>
        <w:jc w:val="both"/>
        <w:rPr>
          <w:rFonts w:ascii="Arial" w:hAnsi="Arial" w:cs="Arial"/>
          <w:sz w:val="24"/>
          <w:szCs w:val="24"/>
        </w:rPr>
      </w:pPr>
      <w:r w:rsidRPr="002061FD">
        <w:rPr>
          <w:rFonts w:ascii="Arial" w:hAnsi="Arial" w:cs="Arial"/>
          <w:sz w:val="24"/>
          <w:szCs w:val="24"/>
        </w:rPr>
        <w:t>The number of patients waiting over 52 weeks at Stage 1</w:t>
      </w:r>
      <w:r w:rsidR="00034FD9" w:rsidRPr="002061FD">
        <w:rPr>
          <w:rFonts w:ascii="Arial" w:hAnsi="Arial" w:cs="Arial"/>
          <w:sz w:val="24"/>
          <w:szCs w:val="24"/>
        </w:rPr>
        <w:t xml:space="preserve"> (new outpatient)</w:t>
      </w:r>
      <w:r w:rsidRPr="002061FD">
        <w:rPr>
          <w:rFonts w:ascii="Arial" w:hAnsi="Arial" w:cs="Arial"/>
          <w:sz w:val="24"/>
          <w:szCs w:val="24"/>
        </w:rPr>
        <w:t xml:space="preserve"> </w:t>
      </w:r>
      <w:r w:rsidR="005440EA">
        <w:rPr>
          <w:rFonts w:ascii="Arial" w:hAnsi="Arial" w:cs="Arial"/>
          <w:sz w:val="24"/>
          <w:szCs w:val="24"/>
        </w:rPr>
        <w:t>fell below 52 weeks in October 2023 in line with plan. This has remained the case through the quarter and is therefore meeting the national target</w:t>
      </w:r>
      <w:r w:rsidR="002061FD" w:rsidRPr="002061FD">
        <w:rPr>
          <w:rFonts w:ascii="Arial" w:hAnsi="Arial" w:cs="Arial"/>
          <w:sz w:val="24"/>
          <w:szCs w:val="24"/>
        </w:rPr>
        <w:t xml:space="preserve">. </w:t>
      </w:r>
      <w:r w:rsidR="00301E38" w:rsidRPr="002061FD">
        <w:rPr>
          <w:rFonts w:ascii="Arial" w:hAnsi="Arial" w:cs="Arial"/>
          <w:sz w:val="24"/>
          <w:szCs w:val="24"/>
        </w:rPr>
        <w:t xml:space="preserve"> </w:t>
      </w:r>
    </w:p>
    <w:p w14:paraId="7CFB28B4" w14:textId="77777777" w:rsidR="00EA4DD0" w:rsidRPr="00B1166E" w:rsidRDefault="00EA4DD0" w:rsidP="00E9519D">
      <w:pPr>
        <w:pStyle w:val="ListParagraph"/>
        <w:spacing w:after="0" w:line="240" w:lineRule="auto"/>
        <w:jc w:val="both"/>
        <w:rPr>
          <w:rFonts w:ascii="Arial" w:hAnsi="Arial" w:cs="Arial"/>
          <w:color w:val="FF0000"/>
          <w:sz w:val="24"/>
          <w:szCs w:val="24"/>
        </w:rPr>
      </w:pPr>
    </w:p>
    <w:p w14:paraId="4A558EDB" w14:textId="77777777" w:rsidR="00EA4DD0" w:rsidRPr="002061FD" w:rsidRDefault="00EA4DD0" w:rsidP="00EA4DD0">
      <w:pPr>
        <w:pStyle w:val="ListParagraph"/>
        <w:spacing w:after="0" w:line="240" w:lineRule="auto"/>
        <w:jc w:val="both"/>
        <w:rPr>
          <w:rFonts w:ascii="Arial" w:hAnsi="Arial" w:cs="Arial"/>
          <w:b/>
          <w:sz w:val="24"/>
          <w:szCs w:val="24"/>
        </w:rPr>
      </w:pPr>
      <w:r w:rsidRPr="002061FD">
        <w:rPr>
          <w:rFonts w:ascii="Arial" w:hAnsi="Arial" w:cs="Arial"/>
          <w:b/>
          <w:sz w:val="24"/>
          <w:szCs w:val="24"/>
        </w:rPr>
        <w:t xml:space="preserve">Status - </w:t>
      </w:r>
      <w:r w:rsidRPr="002061FD">
        <w:rPr>
          <w:rFonts w:ascii="Arial" w:hAnsi="Arial" w:cs="Arial"/>
          <w:b/>
          <w:color w:val="00B050"/>
          <w:sz w:val="24"/>
          <w:szCs w:val="24"/>
        </w:rPr>
        <w:t>GREEN</w:t>
      </w:r>
    </w:p>
    <w:p w14:paraId="4F563F00" w14:textId="70EBCC40" w:rsidR="00995493" w:rsidRPr="00B1166E" w:rsidRDefault="002061FD" w:rsidP="002061FD">
      <w:pPr>
        <w:pStyle w:val="ListParagraph"/>
        <w:spacing w:after="0" w:line="240" w:lineRule="auto"/>
        <w:jc w:val="center"/>
        <w:rPr>
          <w:rFonts w:ascii="Arial" w:hAnsi="Arial" w:cs="Arial"/>
          <w:color w:val="FF0000"/>
          <w:sz w:val="24"/>
          <w:szCs w:val="24"/>
        </w:rPr>
      </w:pPr>
      <w:r>
        <w:rPr>
          <w:noProof/>
          <w:lang w:eastAsia="en-GB"/>
        </w:rPr>
        <w:lastRenderedPageBreak/>
        <w:drawing>
          <wp:inline distT="0" distB="0" distL="0" distR="0" wp14:anchorId="79309976" wp14:editId="282A6DE9">
            <wp:extent cx="5572125" cy="2825750"/>
            <wp:effectExtent l="0" t="0" r="9525" b="0"/>
            <wp:docPr id="1131818123" name="Picture 1" descr="A graph with orange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818123" name="Picture 1" descr="A graph with orange and blue lines&#10;&#10;Description automatically generated"/>
                    <pic:cNvPicPr/>
                  </pic:nvPicPr>
                  <pic:blipFill>
                    <a:blip r:embed="rId15"/>
                    <a:stretch>
                      <a:fillRect/>
                    </a:stretch>
                  </pic:blipFill>
                  <pic:spPr>
                    <a:xfrm>
                      <a:off x="0" y="0"/>
                      <a:ext cx="5579800" cy="2829642"/>
                    </a:xfrm>
                    <a:prstGeom prst="rect">
                      <a:avLst/>
                    </a:prstGeom>
                  </pic:spPr>
                </pic:pic>
              </a:graphicData>
            </a:graphic>
          </wp:inline>
        </w:drawing>
      </w:r>
    </w:p>
    <w:p w14:paraId="2B94C23F" w14:textId="77777777" w:rsidR="003B42BA" w:rsidRDefault="003B42BA" w:rsidP="00AE6C71">
      <w:pPr>
        <w:pStyle w:val="ListParagraph"/>
        <w:spacing w:after="0" w:line="240" w:lineRule="auto"/>
        <w:jc w:val="both"/>
        <w:rPr>
          <w:rFonts w:ascii="Arial" w:hAnsi="Arial" w:cs="Arial"/>
          <w:color w:val="FF0000"/>
          <w:sz w:val="24"/>
          <w:szCs w:val="24"/>
        </w:rPr>
      </w:pPr>
    </w:p>
    <w:p w14:paraId="3D357F71" w14:textId="0FFE422D" w:rsidR="005440EA" w:rsidRPr="005440EA" w:rsidRDefault="005440EA" w:rsidP="00AE6C71">
      <w:pPr>
        <w:pStyle w:val="ListParagraph"/>
        <w:spacing w:after="0" w:line="240" w:lineRule="auto"/>
        <w:jc w:val="both"/>
        <w:rPr>
          <w:rFonts w:ascii="Arial" w:hAnsi="Arial" w:cs="Arial"/>
          <w:b/>
          <w:bCs/>
          <w:color w:val="000000" w:themeColor="text1"/>
          <w:sz w:val="24"/>
          <w:szCs w:val="24"/>
          <w:u w:val="single"/>
        </w:rPr>
      </w:pPr>
      <w:r w:rsidRPr="005440EA">
        <w:rPr>
          <w:rFonts w:ascii="Arial" w:hAnsi="Arial" w:cs="Arial"/>
          <w:b/>
          <w:bCs/>
          <w:color w:val="000000" w:themeColor="text1"/>
          <w:sz w:val="24"/>
          <w:szCs w:val="24"/>
          <w:u w:val="single"/>
        </w:rPr>
        <w:t>Patients waiting over 8 weeks for diagnostic endoscopy</w:t>
      </w:r>
    </w:p>
    <w:p w14:paraId="3ABBBBDE" w14:textId="34BBC22E" w:rsidR="00AE6C71" w:rsidRPr="00B1166E" w:rsidRDefault="00AE6C71" w:rsidP="00AE6C71">
      <w:pPr>
        <w:pStyle w:val="ListParagraph"/>
        <w:spacing w:after="0" w:line="240" w:lineRule="auto"/>
        <w:jc w:val="both"/>
        <w:rPr>
          <w:rFonts w:ascii="Arial" w:hAnsi="Arial" w:cs="Arial"/>
          <w:color w:val="FF0000"/>
          <w:sz w:val="24"/>
          <w:szCs w:val="24"/>
        </w:rPr>
      </w:pPr>
      <w:r w:rsidRPr="008045AF">
        <w:rPr>
          <w:rFonts w:ascii="Arial" w:hAnsi="Arial" w:cs="Arial"/>
          <w:sz w:val="24"/>
          <w:szCs w:val="24"/>
        </w:rPr>
        <w:t xml:space="preserve">The number of patients waiting over 8 weeks for a diagnostic endoscopy has </w:t>
      </w:r>
      <w:r w:rsidR="002E44FB" w:rsidRPr="008045AF">
        <w:rPr>
          <w:rFonts w:ascii="Arial" w:hAnsi="Arial" w:cs="Arial"/>
          <w:sz w:val="24"/>
          <w:szCs w:val="24"/>
        </w:rPr>
        <w:t>de</w:t>
      </w:r>
      <w:r w:rsidR="009F7F0C" w:rsidRPr="008045AF">
        <w:rPr>
          <w:rFonts w:ascii="Arial" w:hAnsi="Arial" w:cs="Arial"/>
          <w:sz w:val="24"/>
          <w:szCs w:val="24"/>
        </w:rPr>
        <w:t>creased</w:t>
      </w:r>
      <w:r w:rsidRPr="008045AF">
        <w:rPr>
          <w:rFonts w:ascii="Arial" w:hAnsi="Arial" w:cs="Arial"/>
          <w:sz w:val="24"/>
          <w:szCs w:val="24"/>
        </w:rPr>
        <w:t xml:space="preserve"> </w:t>
      </w:r>
      <w:r w:rsidR="005440EA">
        <w:rPr>
          <w:rFonts w:ascii="Arial" w:hAnsi="Arial" w:cs="Arial"/>
          <w:sz w:val="24"/>
          <w:szCs w:val="24"/>
        </w:rPr>
        <w:t xml:space="preserve">across Quarter 3 but saw a small increase in December 2023. At the end of </w:t>
      </w:r>
      <w:r w:rsidR="008045AF" w:rsidRPr="008045AF">
        <w:rPr>
          <w:rFonts w:ascii="Arial" w:hAnsi="Arial" w:cs="Arial"/>
          <w:sz w:val="24"/>
          <w:szCs w:val="24"/>
        </w:rPr>
        <w:t xml:space="preserve">September </w:t>
      </w:r>
      <w:r w:rsidR="009F7F0C" w:rsidRPr="008045AF">
        <w:rPr>
          <w:rFonts w:ascii="Arial" w:hAnsi="Arial" w:cs="Arial"/>
          <w:sz w:val="24"/>
          <w:szCs w:val="24"/>
        </w:rPr>
        <w:t>2023</w:t>
      </w:r>
      <w:r w:rsidRPr="008045AF">
        <w:rPr>
          <w:rFonts w:ascii="Arial" w:hAnsi="Arial" w:cs="Arial"/>
          <w:sz w:val="24"/>
          <w:szCs w:val="24"/>
        </w:rPr>
        <w:t xml:space="preserve"> </w:t>
      </w:r>
      <w:r w:rsidR="005440EA">
        <w:rPr>
          <w:rFonts w:ascii="Arial" w:hAnsi="Arial" w:cs="Arial"/>
          <w:sz w:val="24"/>
          <w:szCs w:val="24"/>
        </w:rPr>
        <w:t xml:space="preserve">there were </w:t>
      </w:r>
      <w:r w:rsidR="004C5344" w:rsidRPr="008045AF">
        <w:rPr>
          <w:rFonts w:ascii="Arial" w:hAnsi="Arial" w:cs="Arial"/>
          <w:sz w:val="24"/>
          <w:szCs w:val="24"/>
        </w:rPr>
        <w:t>4,</w:t>
      </w:r>
      <w:r w:rsidR="008045AF" w:rsidRPr="008045AF">
        <w:rPr>
          <w:rFonts w:ascii="Arial" w:hAnsi="Arial" w:cs="Arial"/>
          <w:sz w:val="24"/>
          <w:szCs w:val="24"/>
        </w:rPr>
        <w:t>148</w:t>
      </w:r>
      <w:r w:rsidR="005D2064" w:rsidRPr="008045AF">
        <w:rPr>
          <w:rFonts w:ascii="Arial" w:hAnsi="Arial" w:cs="Arial"/>
          <w:sz w:val="24"/>
          <w:szCs w:val="24"/>
        </w:rPr>
        <w:t xml:space="preserve"> </w:t>
      </w:r>
      <w:r w:rsidRPr="008045AF">
        <w:rPr>
          <w:rFonts w:ascii="Arial" w:hAnsi="Arial" w:cs="Arial"/>
          <w:sz w:val="24"/>
          <w:szCs w:val="24"/>
        </w:rPr>
        <w:t xml:space="preserve">patients </w:t>
      </w:r>
      <w:r w:rsidR="005440EA">
        <w:rPr>
          <w:rFonts w:ascii="Arial" w:hAnsi="Arial" w:cs="Arial"/>
          <w:sz w:val="24"/>
          <w:szCs w:val="24"/>
        </w:rPr>
        <w:t xml:space="preserve">waiting over 8 weeks and at the end of December 2023 this had improved to 3,553. It is anticipated that performance will improve after the Christmas break and across Quarter 4. </w:t>
      </w:r>
      <w:r w:rsidR="009F7F0C" w:rsidRPr="008045AF">
        <w:rPr>
          <w:rFonts w:ascii="Arial" w:hAnsi="Arial" w:cs="Arial"/>
          <w:sz w:val="24"/>
          <w:szCs w:val="24"/>
        </w:rPr>
        <w:t>T</w:t>
      </w:r>
      <w:r w:rsidRPr="008045AF">
        <w:rPr>
          <w:rFonts w:ascii="Arial" w:hAnsi="Arial" w:cs="Arial"/>
          <w:sz w:val="24"/>
          <w:szCs w:val="24"/>
        </w:rPr>
        <w:t xml:space="preserve">he figures are </w:t>
      </w:r>
      <w:r w:rsidR="007C0C07" w:rsidRPr="008045AF">
        <w:rPr>
          <w:rFonts w:ascii="Arial" w:hAnsi="Arial" w:cs="Arial"/>
          <w:sz w:val="24"/>
          <w:szCs w:val="24"/>
        </w:rPr>
        <w:t xml:space="preserve">currently </w:t>
      </w:r>
      <w:r w:rsidR="00D14CFA" w:rsidRPr="008045AF">
        <w:rPr>
          <w:rFonts w:ascii="Arial" w:hAnsi="Arial" w:cs="Arial"/>
          <w:sz w:val="24"/>
          <w:szCs w:val="24"/>
        </w:rPr>
        <w:t xml:space="preserve">slightly </w:t>
      </w:r>
      <w:r w:rsidR="008045AF" w:rsidRPr="008045AF">
        <w:rPr>
          <w:rFonts w:ascii="Arial" w:hAnsi="Arial" w:cs="Arial"/>
          <w:sz w:val="24"/>
          <w:szCs w:val="24"/>
        </w:rPr>
        <w:t xml:space="preserve">outperforming </w:t>
      </w:r>
      <w:r w:rsidRPr="008045AF">
        <w:rPr>
          <w:rFonts w:ascii="Arial" w:hAnsi="Arial" w:cs="Arial"/>
          <w:sz w:val="24"/>
          <w:szCs w:val="24"/>
        </w:rPr>
        <w:t xml:space="preserve">the </w:t>
      </w:r>
      <w:r w:rsidR="003B24E8" w:rsidRPr="008045AF">
        <w:rPr>
          <w:rFonts w:ascii="Arial" w:hAnsi="Arial" w:cs="Arial"/>
          <w:sz w:val="24"/>
          <w:szCs w:val="24"/>
        </w:rPr>
        <w:t xml:space="preserve">submitted </w:t>
      </w:r>
      <w:r w:rsidRPr="008045AF">
        <w:rPr>
          <w:rFonts w:ascii="Arial" w:hAnsi="Arial" w:cs="Arial"/>
          <w:sz w:val="24"/>
          <w:szCs w:val="24"/>
        </w:rPr>
        <w:t>trajectory</w:t>
      </w:r>
      <w:r w:rsidR="008045AF" w:rsidRPr="008045AF">
        <w:rPr>
          <w:rFonts w:ascii="Arial" w:hAnsi="Arial" w:cs="Arial"/>
          <w:sz w:val="24"/>
          <w:szCs w:val="24"/>
        </w:rPr>
        <w:t xml:space="preserve"> and the</w:t>
      </w:r>
      <w:r w:rsidR="009F7F0C" w:rsidRPr="008045AF">
        <w:rPr>
          <w:rFonts w:ascii="Arial" w:hAnsi="Arial" w:cs="Arial"/>
          <w:sz w:val="24"/>
          <w:szCs w:val="24"/>
        </w:rPr>
        <w:t xml:space="preserve"> </w:t>
      </w:r>
      <w:r w:rsidRPr="008045AF">
        <w:rPr>
          <w:rFonts w:ascii="Arial" w:hAnsi="Arial" w:cs="Arial"/>
          <w:sz w:val="24"/>
          <w:szCs w:val="24"/>
        </w:rPr>
        <w:t xml:space="preserve">Endoscopy team </w:t>
      </w:r>
      <w:r w:rsidR="004C5344" w:rsidRPr="008045AF">
        <w:rPr>
          <w:rFonts w:ascii="Arial" w:hAnsi="Arial" w:cs="Arial"/>
          <w:sz w:val="24"/>
          <w:szCs w:val="24"/>
        </w:rPr>
        <w:t xml:space="preserve">continue to </w:t>
      </w:r>
      <w:r w:rsidRPr="008045AF">
        <w:rPr>
          <w:rFonts w:ascii="Arial" w:hAnsi="Arial" w:cs="Arial"/>
          <w:sz w:val="24"/>
          <w:szCs w:val="24"/>
        </w:rPr>
        <w:t xml:space="preserve">implement several actions to support future </w:t>
      </w:r>
      <w:r w:rsidR="002E44FB" w:rsidRPr="008045AF">
        <w:rPr>
          <w:rFonts w:ascii="Arial" w:hAnsi="Arial" w:cs="Arial"/>
          <w:sz w:val="24"/>
          <w:szCs w:val="24"/>
        </w:rPr>
        <w:t>improvement and continue to maintain their two</w:t>
      </w:r>
      <w:r w:rsidR="008045AF">
        <w:rPr>
          <w:rFonts w:ascii="Arial" w:hAnsi="Arial" w:cs="Arial"/>
          <w:sz w:val="24"/>
          <w:szCs w:val="24"/>
        </w:rPr>
        <w:t>-</w:t>
      </w:r>
      <w:r w:rsidR="002E44FB" w:rsidRPr="008045AF">
        <w:rPr>
          <w:rFonts w:ascii="Arial" w:hAnsi="Arial" w:cs="Arial"/>
          <w:sz w:val="24"/>
          <w:szCs w:val="24"/>
        </w:rPr>
        <w:t>week cancer waits.</w:t>
      </w:r>
      <w:r w:rsidR="00D14CFA" w:rsidRPr="008045AF">
        <w:rPr>
          <w:rFonts w:ascii="Arial" w:hAnsi="Arial" w:cs="Arial"/>
          <w:sz w:val="24"/>
          <w:szCs w:val="24"/>
        </w:rPr>
        <w:t xml:space="preserve"> </w:t>
      </w:r>
      <w:r w:rsidR="005440EA">
        <w:rPr>
          <w:rFonts w:ascii="Arial" w:hAnsi="Arial" w:cs="Arial"/>
          <w:sz w:val="24"/>
          <w:szCs w:val="24"/>
        </w:rPr>
        <w:t>A detail demand and capacity exercise is also underway and will report in Quarter 1 of 2024/25.</w:t>
      </w:r>
    </w:p>
    <w:p w14:paraId="4F22F775" w14:textId="77777777" w:rsidR="00EA4DD0" w:rsidRPr="00B1166E" w:rsidRDefault="00EA4DD0" w:rsidP="00AE6C71">
      <w:pPr>
        <w:pStyle w:val="ListParagraph"/>
        <w:spacing w:after="0" w:line="240" w:lineRule="auto"/>
        <w:jc w:val="both"/>
        <w:rPr>
          <w:rFonts w:ascii="Arial" w:hAnsi="Arial" w:cs="Arial"/>
          <w:color w:val="FF0000"/>
          <w:sz w:val="24"/>
          <w:szCs w:val="24"/>
        </w:rPr>
      </w:pPr>
    </w:p>
    <w:p w14:paraId="0B7C2C1B" w14:textId="77777777" w:rsidR="00EA4DD0" w:rsidRPr="00B1166E" w:rsidRDefault="00EA4DD0" w:rsidP="00EA4DD0">
      <w:pPr>
        <w:spacing w:after="0" w:line="240" w:lineRule="auto"/>
        <w:ind w:left="720"/>
        <w:contextualSpacing/>
        <w:jc w:val="both"/>
        <w:rPr>
          <w:rFonts w:ascii="Arial" w:hAnsi="Arial" w:cs="Arial"/>
          <w:b/>
          <w:color w:val="FF0000"/>
          <w:sz w:val="24"/>
          <w:szCs w:val="24"/>
        </w:rPr>
      </w:pPr>
      <w:r w:rsidRPr="00AB607E">
        <w:rPr>
          <w:rFonts w:ascii="Arial" w:hAnsi="Arial" w:cs="Arial"/>
          <w:b/>
          <w:sz w:val="24"/>
          <w:szCs w:val="24"/>
        </w:rPr>
        <w:t xml:space="preserve">Status - </w:t>
      </w:r>
      <w:r w:rsidRPr="00AB607E">
        <w:rPr>
          <w:rFonts w:ascii="Arial" w:hAnsi="Arial" w:cs="Arial"/>
          <w:b/>
          <w:color w:val="FFC000"/>
          <w:sz w:val="24"/>
          <w:szCs w:val="24"/>
        </w:rPr>
        <w:t>AMBER</w:t>
      </w:r>
    </w:p>
    <w:p w14:paraId="35B4D12A" w14:textId="59614C1B" w:rsidR="002E44FB" w:rsidRPr="00B1166E" w:rsidRDefault="005440EA" w:rsidP="00AB607E">
      <w:pPr>
        <w:pStyle w:val="ListParagraph"/>
        <w:spacing w:after="0" w:line="240" w:lineRule="auto"/>
        <w:jc w:val="center"/>
        <w:rPr>
          <w:rFonts w:ascii="Arial" w:hAnsi="Arial" w:cs="Arial"/>
          <w:color w:val="FF0000"/>
          <w:sz w:val="24"/>
          <w:szCs w:val="24"/>
        </w:rPr>
      </w:pPr>
      <w:r>
        <w:rPr>
          <w:rFonts w:ascii="Arial" w:hAnsi="Arial" w:cs="Arial"/>
          <w:noProof/>
          <w:color w:val="FF0000"/>
          <w:sz w:val="24"/>
          <w:szCs w:val="24"/>
        </w:rPr>
        <w:drawing>
          <wp:inline distT="0" distB="0" distL="0" distR="0" wp14:anchorId="70E78C4A" wp14:editId="484A3F93">
            <wp:extent cx="5572125" cy="2562225"/>
            <wp:effectExtent l="0" t="0" r="9525" b="9525"/>
            <wp:docPr id="341460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72125" cy="2562225"/>
                    </a:xfrm>
                    <a:prstGeom prst="rect">
                      <a:avLst/>
                    </a:prstGeom>
                    <a:noFill/>
                  </pic:spPr>
                </pic:pic>
              </a:graphicData>
            </a:graphic>
          </wp:inline>
        </w:drawing>
      </w:r>
    </w:p>
    <w:p w14:paraId="25541BEA" w14:textId="6A67A7B6" w:rsidR="00D4217E" w:rsidRPr="008045AF" w:rsidRDefault="00D4217E" w:rsidP="00D4217E">
      <w:pPr>
        <w:pStyle w:val="ListParagraph"/>
        <w:spacing w:after="0" w:line="240" w:lineRule="auto"/>
        <w:jc w:val="both"/>
        <w:rPr>
          <w:rFonts w:ascii="Arial" w:hAnsi="Arial" w:cs="Arial"/>
          <w:b/>
          <w:bCs/>
          <w:sz w:val="24"/>
          <w:szCs w:val="24"/>
        </w:rPr>
      </w:pPr>
      <w:r w:rsidRPr="008045AF">
        <w:rPr>
          <w:rFonts w:ascii="Arial" w:hAnsi="Arial" w:cs="Arial"/>
          <w:b/>
          <w:sz w:val="24"/>
          <w:szCs w:val="24"/>
        </w:rPr>
        <w:t>ACTION:</w:t>
      </w:r>
      <w:r w:rsidRPr="008045AF">
        <w:rPr>
          <w:rFonts w:ascii="Arial" w:hAnsi="Arial" w:cs="Arial"/>
          <w:sz w:val="24"/>
          <w:szCs w:val="24"/>
        </w:rPr>
        <w:t xml:space="preserve"> </w:t>
      </w:r>
      <w:r w:rsidR="008045AF" w:rsidRPr="008045AF">
        <w:rPr>
          <w:rFonts w:ascii="Arial" w:hAnsi="Arial" w:cs="Arial"/>
          <w:sz w:val="24"/>
          <w:szCs w:val="24"/>
        </w:rPr>
        <w:t xml:space="preserve">Undertake Endoscopy waiting list validation exercise to ensure the position is an accurate reflection of the position- </w:t>
      </w:r>
      <w:r w:rsidR="008045AF" w:rsidRPr="008045AF">
        <w:rPr>
          <w:rFonts w:ascii="Arial" w:hAnsi="Arial" w:cs="Arial"/>
          <w:b/>
          <w:bCs/>
          <w:sz w:val="24"/>
          <w:szCs w:val="24"/>
        </w:rPr>
        <w:t>November 2023</w:t>
      </w:r>
    </w:p>
    <w:p w14:paraId="26BFAE29" w14:textId="77777777" w:rsidR="004D2765" w:rsidRPr="00B1166E" w:rsidRDefault="004D2765" w:rsidP="00637DC1">
      <w:pPr>
        <w:pStyle w:val="NoSpacing"/>
        <w:rPr>
          <w:rFonts w:ascii="Arial" w:hAnsi="Arial" w:cs="Arial"/>
          <w:color w:val="FF0000"/>
          <w:sz w:val="24"/>
          <w:szCs w:val="24"/>
        </w:rPr>
      </w:pPr>
      <w:bookmarkStart w:id="2" w:name="_Hlk131506833"/>
      <w:bookmarkStart w:id="3" w:name="_Hlk119936923"/>
      <w:bookmarkStart w:id="4" w:name="_Hlk116898435"/>
    </w:p>
    <w:p w14:paraId="01912650" w14:textId="77777777" w:rsidR="00DB5E53" w:rsidRPr="008045AF" w:rsidRDefault="00DB5E53" w:rsidP="00DB5E53">
      <w:pPr>
        <w:shd w:val="clear" w:color="auto" w:fill="DBE5F1" w:themeFill="accent1" w:themeFillTint="33"/>
        <w:spacing w:after="0" w:line="240" w:lineRule="auto"/>
        <w:ind w:left="709"/>
        <w:jc w:val="both"/>
        <w:rPr>
          <w:rFonts w:ascii="Arial" w:hAnsi="Arial" w:cs="Arial"/>
          <w:b/>
          <w:sz w:val="24"/>
          <w:szCs w:val="24"/>
        </w:rPr>
      </w:pPr>
      <w:r w:rsidRPr="008045AF">
        <w:rPr>
          <w:rFonts w:ascii="Arial" w:hAnsi="Arial" w:cs="Arial"/>
          <w:b/>
          <w:sz w:val="24"/>
          <w:szCs w:val="24"/>
        </w:rPr>
        <w:t xml:space="preserve">CAMHS </w:t>
      </w:r>
    </w:p>
    <w:p w14:paraId="38778535" w14:textId="77777777" w:rsidR="00DB5E53" w:rsidRPr="00B1166E" w:rsidRDefault="00DB5E53" w:rsidP="00AB4713">
      <w:pPr>
        <w:pStyle w:val="NoSpacing"/>
        <w:ind w:left="720"/>
        <w:rPr>
          <w:rFonts w:ascii="Arial" w:hAnsi="Arial" w:cs="Arial"/>
          <w:color w:val="FF0000"/>
          <w:sz w:val="24"/>
          <w:szCs w:val="24"/>
        </w:rPr>
      </w:pPr>
    </w:p>
    <w:p w14:paraId="232FEA82" w14:textId="49CA74C7" w:rsidR="005440EA" w:rsidRPr="005440EA" w:rsidRDefault="005440EA" w:rsidP="005B09DA">
      <w:pPr>
        <w:pStyle w:val="NoSpacing"/>
        <w:ind w:left="720"/>
        <w:jc w:val="both"/>
        <w:rPr>
          <w:rFonts w:ascii="Arial" w:hAnsi="Arial" w:cs="Arial"/>
          <w:b/>
          <w:bCs/>
          <w:sz w:val="24"/>
          <w:szCs w:val="24"/>
          <w:u w:val="single"/>
        </w:rPr>
      </w:pPr>
      <w:r w:rsidRPr="005440EA">
        <w:rPr>
          <w:rFonts w:ascii="Arial" w:hAnsi="Arial" w:cs="Arial"/>
          <w:b/>
          <w:bCs/>
          <w:sz w:val="24"/>
          <w:szCs w:val="24"/>
          <w:u w:val="single"/>
        </w:rPr>
        <w:t>CAMHS access for assessment and intervention access times</w:t>
      </w:r>
    </w:p>
    <w:p w14:paraId="5C3E1A4B" w14:textId="3E05CC5E" w:rsidR="005B09DA" w:rsidRPr="008045AF" w:rsidRDefault="00C63D0C" w:rsidP="005B09DA">
      <w:pPr>
        <w:pStyle w:val="NoSpacing"/>
        <w:ind w:left="720"/>
        <w:jc w:val="both"/>
        <w:rPr>
          <w:rFonts w:ascii="Arial" w:hAnsi="Arial" w:cs="Arial"/>
          <w:sz w:val="24"/>
          <w:szCs w:val="24"/>
        </w:rPr>
      </w:pPr>
      <w:r w:rsidRPr="008045AF">
        <w:rPr>
          <w:rFonts w:ascii="Arial" w:hAnsi="Arial" w:cs="Arial"/>
          <w:sz w:val="24"/>
          <w:szCs w:val="24"/>
        </w:rPr>
        <w:lastRenderedPageBreak/>
        <w:t xml:space="preserve">Performance against the CAMHS performance targets can be seen in the graphs below. As a Health Board, we </w:t>
      </w:r>
      <w:r w:rsidR="008045AF" w:rsidRPr="008045AF">
        <w:rPr>
          <w:rFonts w:ascii="Arial" w:hAnsi="Arial" w:cs="Arial"/>
          <w:sz w:val="24"/>
          <w:szCs w:val="24"/>
        </w:rPr>
        <w:t>are outperforming the submitted Welsh Government Trajectories</w:t>
      </w:r>
      <w:r w:rsidR="005440EA">
        <w:rPr>
          <w:rFonts w:ascii="Arial" w:hAnsi="Arial" w:cs="Arial"/>
          <w:sz w:val="24"/>
          <w:szCs w:val="24"/>
        </w:rPr>
        <w:t xml:space="preserve"> and are now providing far greater access to assessments and interventions for both part </w:t>
      </w:r>
      <w:r w:rsidR="009D1CD3">
        <w:rPr>
          <w:rFonts w:ascii="Arial" w:hAnsi="Arial" w:cs="Arial"/>
          <w:sz w:val="24"/>
          <w:szCs w:val="24"/>
        </w:rPr>
        <w:t>1</w:t>
      </w:r>
      <w:r w:rsidR="005440EA">
        <w:rPr>
          <w:rFonts w:ascii="Arial" w:hAnsi="Arial" w:cs="Arial"/>
          <w:sz w:val="24"/>
          <w:szCs w:val="24"/>
        </w:rPr>
        <w:t xml:space="preserve">A and part </w:t>
      </w:r>
      <w:r w:rsidR="009D1CD3">
        <w:rPr>
          <w:rFonts w:ascii="Arial" w:hAnsi="Arial" w:cs="Arial"/>
          <w:sz w:val="24"/>
          <w:szCs w:val="24"/>
        </w:rPr>
        <w:t>1</w:t>
      </w:r>
      <w:r w:rsidR="005440EA">
        <w:rPr>
          <w:rFonts w:ascii="Arial" w:hAnsi="Arial" w:cs="Arial"/>
          <w:sz w:val="24"/>
          <w:szCs w:val="24"/>
        </w:rPr>
        <w:t>B measures.</w:t>
      </w:r>
    </w:p>
    <w:p w14:paraId="5583A4F5" w14:textId="77777777" w:rsidR="00EA4DD0" w:rsidRPr="00B1166E" w:rsidRDefault="00EA4DD0" w:rsidP="00EA4DD0">
      <w:pPr>
        <w:pStyle w:val="ListParagraph"/>
        <w:spacing w:after="0" w:line="240" w:lineRule="auto"/>
        <w:ind w:left="709"/>
        <w:jc w:val="both"/>
        <w:rPr>
          <w:rFonts w:ascii="Arial" w:hAnsi="Arial" w:cs="Arial"/>
          <w:b/>
          <w:color w:val="FF0000"/>
          <w:sz w:val="24"/>
          <w:szCs w:val="24"/>
        </w:rPr>
      </w:pPr>
    </w:p>
    <w:p w14:paraId="365C328E" w14:textId="65C4DAFD" w:rsidR="00EA4DD0" w:rsidRPr="008045AF" w:rsidRDefault="00EA4DD0" w:rsidP="00EA4DD0">
      <w:pPr>
        <w:pStyle w:val="ListParagraph"/>
        <w:spacing w:after="0" w:line="240" w:lineRule="auto"/>
        <w:ind w:left="709"/>
        <w:jc w:val="both"/>
        <w:rPr>
          <w:rFonts w:ascii="Arial" w:hAnsi="Arial" w:cs="Arial"/>
          <w:b/>
          <w:sz w:val="24"/>
          <w:szCs w:val="24"/>
        </w:rPr>
      </w:pPr>
      <w:r w:rsidRPr="008045AF">
        <w:rPr>
          <w:rFonts w:ascii="Arial" w:hAnsi="Arial" w:cs="Arial"/>
          <w:b/>
          <w:sz w:val="24"/>
          <w:szCs w:val="24"/>
        </w:rPr>
        <w:t xml:space="preserve">Status: </w:t>
      </w:r>
      <w:r w:rsidR="005440EA" w:rsidRPr="005440EA">
        <w:rPr>
          <w:rFonts w:ascii="Arial" w:hAnsi="Arial" w:cs="Arial"/>
          <w:b/>
          <w:color w:val="00B050"/>
          <w:sz w:val="24"/>
          <w:szCs w:val="24"/>
        </w:rPr>
        <w:t>GREEN</w:t>
      </w:r>
    </w:p>
    <w:p w14:paraId="14DEA476" w14:textId="76EEE063" w:rsidR="00C63D0C" w:rsidRPr="00B1166E" w:rsidRDefault="00C63D0C" w:rsidP="002A54A1">
      <w:pPr>
        <w:pStyle w:val="NoSpacing"/>
        <w:ind w:left="720"/>
        <w:jc w:val="center"/>
        <w:rPr>
          <w:rFonts w:ascii="Arial" w:hAnsi="Arial" w:cs="Arial"/>
          <w:color w:val="FF0000"/>
          <w:sz w:val="24"/>
          <w:szCs w:val="24"/>
        </w:rPr>
      </w:pPr>
    </w:p>
    <w:p w14:paraId="4EB7E518" w14:textId="5A62D5AD" w:rsidR="00E732DB" w:rsidRPr="00B1166E" w:rsidRDefault="005440EA" w:rsidP="00EA4DD0">
      <w:pPr>
        <w:pStyle w:val="ListParagraph"/>
        <w:spacing w:after="0" w:line="240" w:lineRule="auto"/>
        <w:jc w:val="both"/>
        <w:rPr>
          <w:rFonts w:ascii="Arial" w:hAnsi="Arial" w:cs="Arial"/>
          <w:b/>
          <w:color w:val="FF0000"/>
          <w:sz w:val="24"/>
          <w:szCs w:val="24"/>
        </w:rPr>
      </w:pPr>
      <w:r>
        <w:rPr>
          <w:rFonts w:ascii="Arial" w:hAnsi="Arial" w:cs="Arial"/>
          <w:b/>
          <w:noProof/>
          <w:color w:val="FF0000"/>
          <w:sz w:val="24"/>
          <w:szCs w:val="24"/>
        </w:rPr>
        <w:drawing>
          <wp:inline distT="0" distB="0" distL="0" distR="0" wp14:anchorId="7D8A5A60" wp14:editId="0D78C773">
            <wp:extent cx="5514975" cy="1952625"/>
            <wp:effectExtent l="0" t="0" r="9525" b="9525"/>
            <wp:docPr id="13402043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4975" cy="1952625"/>
                    </a:xfrm>
                    <a:prstGeom prst="rect">
                      <a:avLst/>
                    </a:prstGeom>
                    <a:noFill/>
                  </pic:spPr>
                </pic:pic>
              </a:graphicData>
            </a:graphic>
          </wp:inline>
        </w:drawing>
      </w:r>
    </w:p>
    <w:p w14:paraId="227885E2" w14:textId="77777777" w:rsidR="009D1CD3" w:rsidRDefault="009D1CD3" w:rsidP="00EA4DD0">
      <w:pPr>
        <w:pStyle w:val="ListParagraph"/>
        <w:spacing w:after="0" w:line="240" w:lineRule="auto"/>
        <w:jc w:val="both"/>
        <w:rPr>
          <w:rFonts w:ascii="Arial" w:hAnsi="Arial" w:cs="Arial"/>
          <w:b/>
          <w:sz w:val="24"/>
          <w:szCs w:val="24"/>
        </w:rPr>
      </w:pPr>
    </w:p>
    <w:p w14:paraId="7FA284D9" w14:textId="0F5A9E53" w:rsidR="00EA4DD0" w:rsidRPr="008045AF" w:rsidRDefault="00EA4DD0" w:rsidP="00EA4DD0">
      <w:pPr>
        <w:pStyle w:val="ListParagraph"/>
        <w:spacing w:after="0" w:line="240" w:lineRule="auto"/>
        <w:jc w:val="both"/>
        <w:rPr>
          <w:rFonts w:ascii="Arial" w:hAnsi="Arial" w:cs="Arial"/>
          <w:b/>
          <w:sz w:val="24"/>
          <w:szCs w:val="24"/>
        </w:rPr>
      </w:pPr>
      <w:r w:rsidRPr="008045AF">
        <w:rPr>
          <w:rFonts w:ascii="Arial" w:hAnsi="Arial" w:cs="Arial"/>
          <w:b/>
          <w:sz w:val="24"/>
          <w:szCs w:val="24"/>
        </w:rPr>
        <w:t xml:space="preserve">Status - </w:t>
      </w:r>
      <w:r w:rsidR="005440EA" w:rsidRPr="005440EA">
        <w:rPr>
          <w:rFonts w:ascii="Arial" w:hAnsi="Arial" w:cs="Arial"/>
          <w:b/>
          <w:color w:val="00B050"/>
          <w:sz w:val="24"/>
          <w:szCs w:val="24"/>
        </w:rPr>
        <w:t>GREE</w:t>
      </w:r>
      <w:r w:rsidR="005440EA">
        <w:rPr>
          <w:rFonts w:ascii="Arial" w:hAnsi="Arial" w:cs="Arial"/>
          <w:b/>
          <w:color w:val="00B050"/>
          <w:sz w:val="24"/>
          <w:szCs w:val="24"/>
        </w:rPr>
        <w:t>N</w:t>
      </w:r>
    </w:p>
    <w:p w14:paraId="6B12780D" w14:textId="6315DD70" w:rsidR="00C63D0C" w:rsidRPr="00B1166E" w:rsidRDefault="005440EA" w:rsidP="009D1CD3">
      <w:pPr>
        <w:pStyle w:val="NoSpacing"/>
        <w:ind w:left="720"/>
        <w:rPr>
          <w:rFonts w:ascii="Arial" w:hAnsi="Arial" w:cs="Arial"/>
          <w:color w:val="FF0000"/>
          <w:sz w:val="24"/>
          <w:szCs w:val="24"/>
        </w:rPr>
      </w:pPr>
      <w:r>
        <w:rPr>
          <w:rFonts w:ascii="Arial" w:hAnsi="Arial" w:cs="Arial"/>
          <w:noProof/>
          <w:color w:val="FF0000"/>
          <w:sz w:val="24"/>
          <w:szCs w:val="24"/>
        </w:rPr>
        <w:drawing>
          <wp:inline distT="0" distB="0" distL="0" distR="0" wp14:anchorId="724251F9" wp14:editId="641027CC">
            <wp:extent cx="5410200" cy="2554605"/>
            <wp:effectExtent l="0" t="0" r="0" b="0"/>
            <wp:docPr id="6654694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10200" cy="2554605"/>
                    </a:xfrm>
                    <a:prstGeom prst="rect">
                      <a:avLst/>
                    </a:prstGeom>
                    <a:noFill/>
                  </pic:spPr>
                </pic:pic>
              </a:graphicData>
            </a:graphic>
          </wp:inline>
        </w:drawing>
      </w:r>
    </w:p>
    <w:p w14:paraId="4C38BF2F" w14:textId="77777777" w:rsidR="008045AF" w:rsidRPr="00B1166E" w:rsidRDefault="008045AF" w:rsidP="008045AF">
      <w:pPr>
        <w:pStyle w:val="NoSpacing"/>
        <w:jc w:val="both"/>
        <w:rPr>
          <w:rFonts w:ascii="Arial" w:hAnsi="Arial" w:cs="Arial"/>
          <w:color w:val="FF0000"/>
          <w:sz w:val="24"/>
          <w:szCs w:val="24"/>
        </w:rPr>
      </w:pPr>
    </w:p>
    <w:p w14:paraId="6063BD4B" w14:textId="19BFAC0C" w:rsidR="00EA4DD0" w:rsidRPr="008045AF" w:rsidRDefault="00EA4DD0" w:rsidP="00EA4DD0">
      <w:pPr>
        <w:pStyle w:val="ListParagraph"/>
        <w:spacing w:after="0" w:line="240" w:lineRule="auto"/>
        <w:ind w:left="709"/>
        <w:jc w:val="both"/>
        <w:rPr>
          <w:rFonts w:ascii="Arial" w:hAnsi="Arial" w:cs="Arial"/>
          <w:b/>
          <w:sz w:val="24"/>
          <w:szCs w:val="24"/>
        </w:rPr>
      </w:pPr>
      <w:r w:rsidRPr="008045AF">
        <w:rPr>
          <w:rFonts w:ascii="Arial" w:hAnsi="Arial" w:cs="Arial"/>
          <w:b/>
          <w:sz w:val="24"/>
          <w:szCs w:val="24"/>
        </w:rPr>
        <w:t xml:space="preserve">Status: </w:t>
      </w:r>
      <w:r w:rsidR="008045AF" w:rsidRPr="008045AF">
        <w:rPr>
          <w:rFonts w:ascii="Arial" w:hAnsi="Arial" w:cs="Arial"/>
          <w:b/>
          <w:color w:val="00B050"/>
          <w:sz w:val="24"/>
          <w:szCs w:val="24"/>
        </w:rPr>
        <w:t>GREEN</w:t>
      </w:r>
    </w:p>
    <w:p w14:paraId="030708AA" w14:textId="169757EB" w:rsidR="0028299A" w:rsidRDefault="009D1CD3" w:rsidP="009D1CD3">
      <w:pPr>
        <w:pStyle w:val="NoSpacing"/>
        <w:ind w:left="720"/>
        <w:rPr>
          <w:rFonts w:ascii="Arial" w:hAnsi="Arial" w:cs="Arial"/>
          <w:color w:val="FF0000"/>
          <w:sz w:val="24"/>
          <w:szCs w:val="24"/>
        </w:rPr>
      </w:pPr>
      <w:r>
        <w:rPr>
          <w:rFonts w:ascii="Arial" w:hAnsi="Arial" w:cs="Arial"/>
          <w:noProof/>
          <w:color w:val="FF0000"/>
          <w:sz w:val="24"/>
          <w:szCs w:val="24"/>
        </w:rPr>
        <w:lastRenderedPageBreak/>
        <w:drawing>
          <wp:inline distT="0" distB="0" distL="0" distR="0" wp14:anchorId="15305874" wp14:editId="0BBA0415">
            <wp:extent cx="5362575" cy="2724150"/>
            <wp:effectExtent l="0" t="0" r="9525" b="0"/>
            <wp:docPr id="3257197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62575" cy="2724150"/>
                    </a:xfrm>
                    <a:prstGeom prst="rect">
                      <a:avLst/>
                    </a:prstGeom>
                    <a:noFill/>
                  </pic:spPr>
                </pic:pic>
              </a:graphicData>
            </a:graphic>
          </wp:inline>
        </w:drawing>
      </w:r>
    </w:p>
    <w:p w14:paraId="5A6A80E4" w14:textId="5AD3AFD3" w:rsidR="0028299A" w:rsidRDefault="0028299A" w:rsidP="0028299A">
      <w:pPr>
        <w:pStyle w:val="NoSpacing"/>
        <w:ind w:left="720"/>
        <w:jc w:val="center"/>
        <w:rPr>
          <w:rFonts w:ascii="Arial" w:hAnsi="Arial" w:cs="Arial"/>
          <w:color w:val="FF0000"/>
          <w:sz w:val="24"/>
          <w:szCs w:val="24"/>
        </w:rPr>
      </w:pPr>
      <w:r>
        <w:rPr>
          <w:rFonts w:ascii="Arial" w:hAnsi="Arial" w:cs="Arial"/>
          <w:color w:val="FF0000"/>
          <w:sz w:val="24"/>
          <w:szCs w:val="24"/>
        </w:rPr>
        <w:t xml:space="preserve">      </w:t>
      </w:r>
    </w:p>
    <w:p w14:paraId="782F199A" w14:textId="41F62720" w:rsidR="00E732DB" w:rsidRPr="0028299A" w:rsidRDefault="00E732DB" w:rsidP="0028299A">
      <w:pPr>
        <w:pStyle w:val="NoSpacing"/>
        <w:jc w:val="both"/>
        <w:rPr>
          <w:rFonts w:ascii="Arial" w:hAnsi="Arial" w:cs="Arial"/>
          <w:sz w:val="24"/>
          <w:szCs w:val="24"/>
        </w:rPr>
      </w:pPr>
    </w:p>
    <w:p w14:paraId="291BB91C" w14:textId="77777777" w:rsidR="00C63D0C" w:rsidRPr="008F0229" w:rsidRDefault="00C63D0C" w:rsidP="00C63D0C">
      <w:pPr>
        <w:shd w:val="clear" w:color="auto" w:fill="DBE5F1" w:themeFill="accent1" w:themeFillTint="33"/>
        <w:spacing w:after="0" w:line="240" w:lineRule="auto"/>
        <w:ind w:left="709"/>
        <w:jc w:val="both"/>
        <w:rPr>
          <w:rFonts w:ascii="Arial" w:hAnsi="Arial" w:cs="Arial"/>
          <w:b/>
          <w:sz w:val="24"/>
          <w:szCs w:val="24"/>
        </w:rPr>
      </w:pPr>
      <w:bookmarkStart w:id="5" w:name="_Hlk150527843"/>
      <w:r w:rsidRPr="008F0229">
        <w:rPr>
          <w:rFonts w:ascii="Arial" w:hAnsi="Arial" w:cs="Arial"/>
          <w:b/>
          <w:sz w:val="24"/>
          <w:szCs w:val="24"/>
        </w:rPr>
        <w:t>NDD</w:t>
      </w:r>
    </w:p>
    <w:p w14:paraId="2799400A" w14:textId="77777777" w:rsidR="00DB5E53" w:rsidRDefault="00DB5E53" w:rsidP="00AB4713">
      <w:pPr>
        <w:pStyle w:val="NoSpacing"/>
        <w:ind w:left="720"/>
        <w:rPr>
          <w:rFonts w:ascii="Arial" w:hAnsi="Arial" w:cs="Arial"/>
          <w:sz w:val="24"/>
          <w:szCs w:val="24"/>
        </w:rPr>
      </w:pPr>
    </w:p>
    <w:p w14:paraId="1EFE97FA" w14:textId="5597B20B" w:rsidR="009D1CD3" w:rsidRPr="00144907" w:rsidRDefault="00144907" w:rsidP="00AB4713">
      <w:pPr>
        <w:pStyle w:val="NoSpacing"/>
        <w:ind w:left="720"/>
        <w:rPr>
          <w:rFonts w:ascii="Arial" w:hAnsi="Arial" w:cs="Arial"/>
          <w:b/>
          <w:bCs/>
          <w:sz w:val="24"/>
          <w:szCs w:val="24"/>
          <w:u w:val="single"/>
        </w:rPr>
      </w:pPr>
      <w:r w:rsidRPr="00144907">
        <w:rPr>
          <w:rFonts w:ascii="Arial" w:hAnsi="Arial" w:cs="Arial"/>
          <w:b/>
          <w:bCs/>
          <w:sz w:val="24"/>
          <w:szCs w:val="24"/>
          <w:u w:val="single"/>
        </w:rPr>
        <w:t>Patients waiting for a Neurodevelopmental Assessment within 26 weeks</w:t>
      </w:r>
      <w:r w:rsidR="009D1CD3" w:rsidRPr="00144907">
        <w:rPr>
          <w:rFonts w:ascii="Arial" w:hAnsi="Arial" w:cs="Arial"/>
          <w:b/>
          <w:bCs/>
          <w:sz w:val="24"/>
          <w:szCs w:val="24"/>
          <w:u w:val="single"/>
        </w:rPr>
        <w:t xml:space="preserve"> </w:t>
      </w:r>
    </w:p>
    <w:p w14:paraId="400FA697" w14:textId="48301963" w:rsidR="002E51B4" w:rsidRPr="002E51B4" w:rsidRDefault="002E51B4" w:rsidP="002E51B4">
      <w:pPr>
        <w:pStyle w:val="NoSpacing"/>
        <w:ind w:left="720"/>
        <w:jc w:val="both"/>
        <w:rPr>
          <w:rFonts w:ascii="Arial" w:hAnsi="Arial" w:cs="Arial"/>
          <w:sz w:val="24"/>
          <w:szCs w:val="24"/>
        </w:rPr>
      </w:pPr>
      <w:r w:rsidRPr="002E51B4">
        <w:rPr>
          <w:rFonts w:ascii="Arial" w:hAnsi="Arial" w:cs="Arial"/>
          <w:sz w:val="24"/>
          <w:szCs w:val="24"/>
        </w:rPr>
        <w:t>There are currently 1,080 patients waiting for ADHD/ASD diagnostic assessments as at 31/12/23</w:t>
      </w:r>
      <w:r>
        <w:rPr>
          <w:rFonts w:ascii="Arial" w:hAnsi="Arial" w:cs="Arial"/>
          <w:sz w:val="24"/>
          <w:szCs w:val="24"/>
        </w:rPr>
        <w:t>. O</w:t>
      </w:r>
      <w:r w:rsidRPr="002E51B4">
        <w:rPr>
          <w:rFonts w:ascii="Arial" w:hAnsi="Arial" w:cs="Arial"/>
          <w:sz w:val="24"/>
          <w:szCs w:val="24"/>
        </w:rPr>
        <w:t>f the 1,080, 787 are waiting over 26 weeks, with 28% of patients waiting less than 26 weeks</w:t>
      </w:r>
      <w:r>
        <w:rPr>
          <w:rFonts w:ascii="Arial" w:hAnsi="Arial" w:cs="Arial"/>
          <w:sz w:val="24"/>
          <w:szCs w:val="24"/>
        </w:rPr>
        <w:t xml:space="preserve"> at the end of December 2023. </w:t>
      </w:r>
      <w:r w:rsidRPr="002E51B4">
        <w:rPr>
          <w:rFonts w:ascii="Arial" w:hAnsi="Arial" w:cs="Arial"/>
          <w:sz w:val="24"/>
          <w:szCs w:val="24"/>
        </w:rPr>
        <w:t xml:space="preserve"> </w:t>
      </w:r>
    </w:p>
    <w:p w14:paraId="3376D6EF" w14:textId="77777777" w:rsidR="002E51B4" w:rsidRPr="002E51B4" w:rsidRDefault="002E51B4" w:rsidP="002E51B4">
      <w:pPr>
        <w:pStyle w:val="NoSpacing"/>
        <w:ind w:left="720"/>
        <w:jc w:val="both"/>
        <w:rPr>
          <w:rFonts w:ascii="Arial" w:hAnsi="Arial" w:cs="Arial"/>
          <w:sz w:val="24"/>
          <w:szCs w:val="24"/>
        </w:rPr>
      </w:pPr>
    </w:p>
    <w:p w14:paraId="731A184C" w14:textId="64132EEF" w:rsidR="00AB607E" w:rsidRDefault="002E51B4" w:rsidP="00FE1DEE">
      <w:pPr>
        <w:pStyle w:val="NoSpacing"/>
        <w:ind w:left="720"/>
        <w:jc w:val="both"/>
        <w:rPr>
          <w:rFonts w:ascii="Arial" w:hAnsi="Arial" w:cs="Arial"/>
          <w:sz w:val="24"/>
          <w:szCs w:val="24"/>
        </w:rPr>
      </w:pPr>
      <w:r w:rsidRPr="002E51B4">
        <w:rPr>
          <w:rFonts w:ascii="Arial" w:hAnsi="Arial" w:cs="Arial"/>
          <w:sz w:val="24"/>
          <w:szCs w:val="24"/>
        </w:rPr>
        <w:t xml:space="preserve">The service continues to see vacancies within the team impacting on capacity </w:t>
      </w:r>
      <w:r w:rsidR="00FE1DEE">
        <w:rPr>
          <w:rFonts w:ascii="Arial" w:hAnsi="Arial" w:cs="Arial"/>
          <w:sz w:val="24"/>
          <w:szCs w:val="24"/>
        </w:rPr>
        <w:t xml:space="preserve">and many recent attempts to recruit have </w:t>
      </w:r>
      <w:r w:rsidRPr="002E51B4">
        <w:rPr>
          <w:rFonts w:ascii="Arial" w:hAnsi="Arial" w:cs="Arial"/>
          <w:sz w:val="24"/>
          <w:szCs w:val="24"/>
        </w:rPr>
        <w:t xml:space="preserve">not </w:t>
      </w:r>
      <w:r w:rsidR="00FE1DEE">
        <w:rPr>
          <w:rFonts w:ascii="Arial" w:hAnsi="Arial" w:cs="Arial"/>
          <w:sz w:val="24"/>
          <w:szCs w:val="24"/>
        </w:rPr>
        <w:t xml:space="preserve">been </w:t>
      </w:r>
      <w:r w:rsidRPr="002E51B4">
        <w:rPr>
          <w:rFonts w:ascii="Arial" w:hAnsi="Arial" w:cs="Arial"/>
          <w:sz w:val="24"/>
          <w:szCs w:val="24"/>
        </w:rPr>
        <w:t>successful</w:t>
      </w:r>
      <w:r w:rsidR="00FE1DEE">
        <w:rPr>
          <w:rFonts w:ascii="Arial" w:hAnsi="Arial" w:cs="Arial"/>
          <w:sz w:val="24"/>
          <w:szCs w:val="24"/>
        </w:rPr>
        <w:t xml:space="preserve">. A further round of recruitment is underway now and an </w:t>
      </w:r>
      <w:r w:rsidRPr="002E51B4">
        <w:rPr>
          <w:rFonts w:ascii="Arial" w:hAnsi="Arial" w:cs="Arial"/>
          <w:sz w:val="24"/>
          <w:szCs w:val="24"/>
        </w:rPr>
        <w:t>additional Advancer practitioner post has been secured to support diagnostic assessments.</w:t>
      </w:r>
    </w:p>
    <w:p w14:paraId="44571CF2" w14:textId="77777777" w:rsidR="00FE1DEE" w:rsidRDefault="00FE1DEE" w:rsidP="00FE1DEE">
      <w:pPr>
        <w:pStyle w:val="NoSpacing"/>
        <w:ind w:left="720"/>
        <w:jc w:val="both"/>
        <w:rPr>
          <w:rFonts w:ascii="Arial" w:hAnsi="Arial" w:cs="Arial"/>
          <w:sz w:val="24"/>
          <w:szCs w:val="24"/>
        </w:rPr>
      </w:pPr>
    </w:p>
    <w:p w14:paraId="222105A2" w14:textId="49143660" w:rsidR="00FE1DEE" w:rsidRDefault="00FE1DEE" w:rsidP="00FE1DEE">
      <w:pPr>
        <w:pStyle w:val="NoSpacing"/>
        <w:ind w:left="720"/>
        <w:jc w:val="both"/>
        <w:rPr>
          <w:rFonts w:ascii="Arial" w:hAnsi="Arial" w:cs="Arial"/>
          <w:sz w:val="24"/>
          <w:szCs w:val="24"/>
        </w:rPr>
      </w:pPr>
      <w:r>
        <w:rPr>
          <w:rFonts w:ascii="Arial" w:hAnsi="Arial" w:cs="Arial"/>
          <w:sz w:val="24"/>
          <w:szCs w:val="24"/>
        </w:rPr>
        <w:t xml:space="preserve">A significant amount of modernisation work is underway within the team utilising electronic referrals, pathway redesign, awareness sessions and equipment upgrading. </w:t>
      </w:r>
    </w:p>
    <w:p w14:paraId="314FA75A" w14:textId="1BF46B78" w:rsidR="00EA4DD0" w:rsidRDefault="00EA4DD0" w:rsidP="00EA4DD0">
      <w:pPr>
        <w:pStyle w:val="NoSpacing"/>
        <w:ind w:left="720"/>
        <w:jc w:val="both"/>
        <w:rPr>
          <w:rFonts w:ascii="Arial" w:hAnsi="Arial" w:cs="Arial"/>
          <w:color w:val="FF0000"/>
          <w:sz w:val="24"/>
          <w:szCs w:val="24"/>
        </w:rPr>
      </w:pPr>
    </w:p>
    <w:p w14:paraId="791E0F87" w14:textId="115357EC" w:rsidR="005B09DA" w:rsidRPr="00B1166E" w:rsidRDefault="00EA4DD0" w:rsidP="008F0229">
      <w:pPr>
        <w:spacing w:after="0" w:line="240" w:lineRule="auto"/>
        <w:ind w:left="720"/>
        <w:contextualSpacing/>
        <w:jc w:val="both"/>
        <w:rPr>
          <w:rFonts w:ascii="Arial" w:hAnsi="Arial" w:cs="Arial"/>
          <w:color w:val="FF0000"/>
          <w:sz w:val="24"/>
          <w:szCs w:val="24"/>
        </w:rPr>
      </w:pPr>
      <w:r w:rsidRPr="008F0229">
        <w:rPr>
          <w:rFonts w:ascii="Arial" w:hAnsi="Arial" w:cs="Arial"/>
          <w:b/>
          <w:sz w:val="24"/>
          <w:szCs w:val="24"/>
        </w:rPr>
        <w:t xml:space="preserve">Status - </w:t>
      </w:r>
      <w:r w:rsidR="002E51B4" w:rsidRPr="002E51B4">
        <w:rPr>
          <w:rFonts w:ascii="Arial" w:hAnsi="Arial" w:cs="Arial"/>
          <w:b/>
          <w:color w:val="FF0000"/>
          <w:sz w:val="24"/>
          <w:szCs w:val="24"/>
        </w:rPr>
        <w:t>RED</w:t>
      </w:r>
    </w:p>
    <w:p w14:paraId="1146A7A8" w14:textId="6424BAC5" w:rsidR="00C63D0C" w:rsidRPr="00B1166E" w:rsidRDefault="00C63D0C" w:rsidP="00AB4713">
      <w:pPr>
        <w:pStyle w:val="NoSpacing"/>
        <w:ind w:left="720"/>
        <w:rPr>
          <w:rFonts w:ascii="Arial" w:hAnsi="Arial" w:cs="Arial"/>
          <w:color w:val="FF0000"/>
          <w:sz w:val="24"/>
          <w:szCs w:val="24"/>
        </w:rPr>
      </w:pPr>
    </w:p>
    <w:p w14:paraId="5E9A8403" w14:textId="5A5ACF83" w:rsidR="00DB5E53" w:rsidRPr="00B1166E" w:rsidRDefault="00DB5E53" w:rsidP="008F0229">
      <w:pPr>
        <w:pStyle w:val="NoSpacing"/>
        <w:ind w:left="720"/>
        <w:jc w:val="center"/>
        <w:rPr>
          <w:rFonts w:ascii="Arial" w:hAnsi="Arial" w:cs="Arial"/>
          <w:color w:val="FF0000"/>
          <w:sz w:val="24"/>
          <w:szCs w:val="24"/>
        </w:rPr>
      </w:pPr>
    </w:p>
    <w:bookmarkEnd w:id="5"/>
    <w:p w14:paraId="68C758D4" w14:textId="22DF0059" w:rsidR="00EA4DD0" w:rsidRDefault="002E51B4" w:rsidP="00AB4713">
      <w:pPr>
        <w:pStyle w:val="NoSpacing"/>
        <w:ind w:left="720"/>
        <w:rPr>
          <w:rFonts w:ascii="Arial" w:hAnsi="Arial" w:cs="Arial"/>
          <w:color w:val="FF0000"/>
          <w:sz w:val="24"/>
          <w:szCs w:val="24"/>
        </w:rPr>
      </w:pPr>
      <w:r>
        <w:rPr>
          <w:noProof/>
        </w:rPr>
        <w:drawing>
          <wp:inline distT="0" distB="0" distL="0" distR="0" wp14:anchorId="601D22FB" wp14:editId="318FA1AC">
            <wp:extent cx="5324475" cy="2198370"/>
            <wp:effectExtent l="0" t="0" r="0" b="0"/>
            <wp:docPr id="3" name="Content Placeholder 4" descr="A graph of a patient&#10;&#10;Description automatically generated with medium confidence">
              <a:extLst xmlns:a="http://schemas.openxmlformats.org/drawingml/2006/main">
                <a:ext uri="{FF2B5EF4-FFF2-40B4-BE49-F238E27FC236}">
                  <a16:creationId xmlns:a16="http://schemas.microsoft.com/office/drawing/2014/main" id="{6DCDFC3D-D7BC-32DF-C167-5B734CC14B5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 name="Content Placeholder 4" descr="A graph of a patient&#10;&#10;Description automatically generated with medium confidence">
                      <a:extLst>
                        <a:ext uri="{FF2B5EF4-FFF2-40B4-BE49-F238E27FC236}">
                          <a16:creationId xmlns:a16="http://schemas.microsoft.com/office/drawing/2014/main" id="{6DCDFC3D-D7BC-32DF-C167-5B734CC14B58}"/>
                        </a:ext>
                      </a:extLst>
                    </pic:cNvPr>
                    <pic:cNvPicPr>
                      <a:picLocks noGrp="1" noChangeAspect="1"/>
                    </pic:cNvPicPr>
                  </pic:nvPicPr>
                  <pic:blipFill>
                    <a:blip r:embed="rId20"/>
                    <a:stretch>
                      <a:fillRect/>
                    </a:stretch>
                  </pic:blipFill>
                  <pic:spPr>
                    <a:xfrm>
                      <a:off x="0" y="0"/>
                      <a:ext cx="5324475" cy="2198370"/>
                    </a:xfrm>
                    <a:prstGeom prst="rect">
                      <a:avLst/>
                    </a:prstGeom>
                  </pic:spPr>
                </pic:pic>
              </a:graphicData>
            </a:graphic>
          </wp:inline>
        </w:drawing>
      </w:r>
    </w:p>
    <w:p w14:paraId="29923B44" w14:textId="77777777" w:rsidR="008D14B9" w:rsidRPr="00B1166E" w:rsidRDefault="008D14B9" w:rsidP="00AB4713">
      <w:pPr>
        <w:pStyle w:val="NoSpacing"/>
        <w:ind w:left="720"/>
        <w:rPr>
          <w:rFonts w:ascii="Arial" w:hAnsi="Arial" w:cs="Arial"/>
          <w:color w:val="FF0000"/>
          <w:sz w:val="24"/>
          <w:szCs w:val="24"/>
        </w:rPr>
      </w:pPr>
    </w:p>
    <w:p w14:paraId="42A7B2E1" w14:textId="77777777" w:rsidR="0073267B" w:rsidRPr="00425C6F" w:rsidRDefault="00F238CB" w:rsidP="00EA4DD0">
      <w:pPr>
        <w:pStyle w:val="ListParagraph"/>
        <w:numPr>
          <w:ilvl w:val="0"/>
          <w:numId w:val="15"/>
        </w:numPr>
        <w:spacing w:after="0" w:line="240" w:lineRule="auto"/>
        <w:ind w:hanging="720"/>
        <w:jc w:val="both"/>
        <w:rPr>
          <w:rFonts w:ascii="Arial" w:hAnsi="Arial" w:cs="Arial"/>
          <w:b/>
          <w:sz w:val="24"/>
          <w:szCs w:val="24"/>
        </w:rPr>
      </w:pPr>
      <w:bookmarkStart w:id="6" w:name="_Hlk150241924"/>
      <w:bookmarkEnd w:id="2"/>
      <w:bookmarkEnd w:id="3"/>
      <w:bookmarkEnd w:id="4"/>
      <w:r w:rsidRPr="00425C6F">
        <w:rPr>
          <w:rFonts w:ascii="Arial" w:hAnsi="Arial" w:cs="Arial"/>
          <w:b/>
          <w:sz w:val="24"/>
          <w:szCs w:val="24"/>
        </w:rPr>
        <w:t>GOVERNANCE ISSUES AND RISKS</w:t>
      </w:r>
    </w:p>
    <w:p w14:paraId="3C5B20E0" w14:textId="24094247" w:rsidR="00520B85" w:rsidRPr="00425C6F" w:rsidRDefault="00520B85" w:rsidP="00520B85">
      <w:pPr>
        <w:pStyle w:val="ListParagraph"/>
        <w:spacing w:after="0" w:line="240" w:lineRule="auto"/>
        <w:jc w:val="both"/>
        <w:rPr>
          <w:rFonts w:ascii="Arial" w:hAnsi="Arial" w:cs="Arial"/>
          <w:sz w:val="24"/>
          <w:szCs w:val="24"/>
        </w:rPr>
      </w:pPr>
      <w:r w:rsidRPr="00425C6F">
        <w:rPr>
          <w:rFonts w:ascii="Arial" w:hAnsi="Arial" w:cs="Arial"/>
          <w:sz w:val="24"/>
          <w:szCs w:val="24"/>
        </w:rPr>
        <w:lastRenderedPageBreak/>
        <w:t>There are a number of risks reported on the health board risk register and the key risks are highlighted in the table below for reference. These risks are reported within the Health Board Risk Register report to the Board today. The risks are under routine assessment by the Executive Leads and are subject to discussions at the relevant Committees.</w:t>
      </w:r>
    </w:p>
    <w:p w14:paraId="02207AEA" w14:textId="4FBCA900" w:rsidR="00520B85" w:rsidRPr="00B1166E" w:rsidRDefault="00520B85" w:rsidP="00F567B9">
      <w:pPr>
        <w:spacing w:after="0" w:line="240" w:lineRule="auto"/>
        <w:rPr>
          <w:rFonts w:ascii="Arial" w:hAnsi="Arial" w:cs="Arial"/>
          <w:color w:val="FF0000"/>
          <w:sz w:val="24"/>
          <w:szCs w:val="24"/>
        </w:rPr>
      </w:pPr>
    </w:p>
    <w:tbl>
      <w:tblPr>
        <w:tblW w:w="0" w:type="auto"/>
        <w:jc w:val="center"/>
        <w:tblCellMar>
          <w:left w:w="0" w:type="dxa"/>
          <w:right w:w="0" w:type="dxa"/>
        </w:tblCellMar>
        <w:tblLook w:val="04A0" w:firstRow="1" w:lastRow="0" w:firstColumn="1" w:lastColumn="0" w:noHBand="0" w:noVBand="1"/>
      </w:tblPr>
      <w:tblGrid>
        <w:gridCol w:w="788"/>
        <w:gridCol w:w="4366"/>
        <w:gridCol w:w="1418"/>
      </w:tblGrid>
      <w:tr w:rsidR="00B1166E" w:rsidRPr="00B1166E" w14:paraId="36172C5A" w14:textId="77777777" w:rsidTr="008F0229">
        <w:trPr>
          <w:trHeight w:val="41"/>
          <w:tblHeader/>
          <w:jc w:val="center"/>
        </w:trPr>
        <w:tc>
          <w:tcPr>
            <w:tcW w:w="788" w:type="dxa"/>
            <w:tcBorders>
              <w:top w:val="single" w:sz="8" w:space="0" w:color="auto"/>
              <w:left w:val="single" w:sz="8" w:space="0" w:color="auto"/>
              <w:bottom w:val="single" w:sz="8" w:space="0" w:color="auto"/>
              <w:right w:val="single" w:sz="8" w:space="0" w:color="auto"/>
            </w:tcBorders>
            <w:shd w:val="clear" w:color="auto" w:fill="B4C6E7"/>
            <w:tcMar>
              <w:top w:w="0" w:type="dxa"/>
              <w:left w:w="108" w:type="dxa"/>
              <w:bottom w:w="0" w:type="dxa"/>
              <w:right w:w="108" w:type="dxa"/>
            </w:tcMar>
            <w:hideMark/>
          </w:tcPr>
          <w:p w14:paraId="7166135E" w14:textId="77777777" w:rsidR="00520B85" w:rsidRPr="00425C6F" w:rsidRDefault="00520B85" w:rsidP="00520B85">
            <w:pPr>
              <w:spacing w:after="0" w:line="240" w:lineRule="auto"/>
              <w:jc w:val="both"/>
              <w:rPr>
                <w:rFonts w:ascii="Arial" w:eastAsiaTheme="minorHAnsi" w:hAnsi="Arial" w:cs="Arial"/>
              </w:rPr>
            </w:pPr>
            <w:r w:rsidRPr="00425C6F">
              <w:rPr>
                <w:rFonts w:ascii="Arial" w:hAnsi="Arial" w:cs="Arial"/>
                <w:b/>
                <w:bCs/>
              </w:rPr>
              <w:t>Risk Ref</w:t>
            </w:r>
          </w:p>
        </w:tc>
        <w:tc>
          <w:tcPr>
            <w:tcW w:w="4366" w:type="dxa"/>
            <w:tcBorders>
              <w:top w:val="single" w:sz="8" w:space="0" w:color="auto"/>
              <w:left w:val="nil"/>
              <w:bottom w:val="single" w:sz="8" w:space="0" w:color="auto"/>
              <w:right w:val="single" w:sz="8" w:space="0" w:color="auto"/>
            </w:tcBorders>
            <w:shd w:val="clear" w:color="auto" w:fill="B4C6E7"/>
            <w:tcMar>
              <w:top w:w="0" w:type="dxa"/>
              <w:left w:w="108" w:type="dxa"/>
              <w:bottom w:w="0" w:type="dxa"/>
              <w:right w:w="108" w:type="dxa"/>
            </w:tcMar>
            <w:hideMark/>
          </w:tcPr>
          <w:p w14:paraId="7402012B" w14:textId="77777777" w:rsidR="00520B85" w:rsidRPr="00425C6F" w:rsidRDefault="00520B85" w:rsidP="00520B85">
            <w:pPr>
              <w:spacing w:after="0" w:line="240" w:lineRule="auto"/>
              <w:jc w:val="both"/>
              <w:rPr>
                <w:rFonts w:ascii="Arial" w:hAnsi="Arial" w:cs="Arial"/>
                <w:b/>
                <w:bCs/>
              </w:rPr>
            </w:pPr>
            <w:r w:rsidRPr="00425C6F">
              <w:rPr>
                <w:rFonts w:ascii="Arial" w:hAnsi="Arial" w:cs="Arial"/>
                <w:b/>
                <w:bCs/>
              </w:rPr>
              <w:t>Risk &amp; Mitigating Actions</w:t>
            </w:r>
          </w:p>
        </w:tc>
        <w:tc>
          <w:tcPr>
            <w:tcW w:w="1418" w:type="dxa"/>
            <w:tcBorders>
              <w:top w:val="single" w:sz="8" w:space="0" w:color="auto"/>
              <w:left w:val="nil"/>
              <w:bottom w:val="single" w:sz="8" w:space="0" w:color="auto"/>
              <w:right w:val="single" w:sz="8" w:space="0" w:color="auto"/>
            </w:tcBorders>
            <w:shd w:val="clear" w:color="auto" w:fill="B4C6E7"/>
            <w:tcMar>
              <w:top w:w="0" w:type="dxa"/>
              <w:left w:w="108" w:type="dxa"/>
              <w:bottom w:w="0" w:type="dxa"/>
              <w:right w:w="108" w:type="dxa"/>
            </w:tcMar>
            <w:hideMark/>
          </w:tcPr>
          <w:p w14:paraId="0BF3D0ED" w14:textId="77777777" w:rsidR="00520B85" w:rsidRPr="00425C6F" w:rsidRDefault="00520B85" w:rsidP="00520B85">
            <w:pPr>
              <w:spacing w:after="0" w:line="240" w:lineRule="auto"/>
              <w:jc w:val="center"/>
              <w:rPr>
                <w:rFonts w:ascii="Arial" w:hAnsi="Arial" w:cs="Arial"/>
                <w:b/>
                <w:bCs/>
              </w:rPr>
            </w:pPr>
            <w:r w:rsidRPr="00425C6F">
              <w:rPr>
                <w:rFonts w:ascii="Arial" w:hAnsi="Arial" w:cs="Arial"/>
                <w:b/>
                <w:bCs/>
              </w:rPr>
              <w:t xml:space="preserve">Current </w:t>
            </w:r>
          </w:p>
          <w:p w14:paraId="23A2C2C8" w14:textId="77777777" w:rsidR="00520B85" w:rsidRPr="00425C6F" w:rsidRDefault="00520B85" w:rsidP="00520B85">
            <w:pPr>
              <w:spacing w:after="0" w:line="240" w:lineRule="auto"/>
              <w:jc w:val="center"/>
              <w:rPr>
                <w:rFonts w:ascii="Arial" w:hAnsi="Arial" w:cs="Arial"/>
              </w:rPr>
            </w:pPr>
            <w:r w:rsidRPr="00425C6F">
              <w:rPr>
                <w:rFonts w:ascii="Arial" w:hAnsi="Arial" w:cs="Arial"/>
                <w:b/>
                <w:bCs/>
              </w:rPr>
              <w:t xml:space="preserve">Risk Score </w:t>
            </w:r>
          </w:p>
        </w:tc>
      </w:tr>
      <w:tr w:rsidR="00B1166E" w:rsidRPr="00B1166E" w14:paraId="44F7F215" w14:textId="77777777" w:rsidTr="008F0229">
        <w:trPr>
          <w:trHeight w:val="41"/>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0D4D4A" w14:textId="77777777" w:rsidR="00520B85" w:rsidRPr="00425C6F" w:rsidRDefault="00520B85" w:rsidP="00520B85">
            <w:pPr>
              <w:spacing w:after="0" w:line="240" w:lineRule="auto"/>
              <w:jc w:val="both"/>
              <w:rPr>
                <w:rFonts w:cs="Calibri"/>
              </w:rPr>
            </w:pPr>
            <w:r w:rsidRPr="00425C6F">
              <w:rPr>
                <w:rFonts w:cs="Calibri"/>
              </w:rPr>
              <w:t>1</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435AEC7F" w14:textId="77777777" w:rsidR="00520B85" w:rsidRPr="00425C6F" w:rsidRDefault="00520B85" w:rsidP="00520B85">
            <w:pPr>
              <w:spacing w:after="0" w:line="240" w:lineRule="auto"/>
              <w:jc w:val="both"/>
              <w:rPr>
                <w:rFonts w:cs="Calibri"/>
              </w:rPr>
            </w:pPr>
            <w:r w:rsidRPr="00425C6F">
              <w:rPr>
                <w:rFonts w:cs="Calibri"/>
              </w:rPr>
              <w:t>Access to Unscheduled Care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22F8B19" w14:textId="77777777" w:rsidR="00520B85" w:rsidRPr="00425C6F" w:rsidRDefault="00520B85" w:rsidP="00520B85">
            <w:pPr>
              <w:spacing w:after="0" w:line="240" w:lineRule="auto"/>
              <w:jc w:val="center"/>
              <w:rPr>
                <w:rFonts w:cs="Calibri"/>
              </w:rPr>
            </w:pPr>
            <w:r w:rsidRPr="00425C6F">
              <w:rPr>
                <w:rFonts w:cs="Calibri"/>
              </w:rPr>
              <w:t>25</w:t>
            </w:r>
          </w:p>
        </w:tc>
      </w:tr>
      <w:tr w:rsidR="00B1166E" w:rsidRPr="00B1166E" w14:paraId="40B6F107" w14:textId="77777777" w:rsidTr="008F0229">
        <w:trPr>
          <w:trHeight w:val="41"/>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0EEBB6" w14:textId="77777777" w:rsidR="00520B85" w:rsidRPr="00425C6F" w:rsidRDefault="00520B85" w:rsidP="00520B85">
            <w:pPr>
              <w:spacing w:after="0" w:line="240" w:lineRule="auto"/>
              <w:jc w:val="both"/>
              <w:rPr>
                <w:rFonts w:cs="Calibri"/>
              </w:rPr>
            </w:pPr>
            <w:r w:rsidRPr="00425C6F">
              <w:rPr>
                <w:rFonts w:cs="Calibri"/>
              </w:rPr>
              <w:t>50</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1275AE64" w14:textId="77777777" w:rsidR="00520B85" w:rsidRPr="00425C6F" w:rsidRDefault="00520B85" w:rsidP="00520B85">
            <w:pPr>
              <w:spacing w:after="0" w:line="240" w:lineRule="auto"/>
              <w:jc w:val="both"/>
              <w:rPr>
                <w:rFonts w:cs="Calibri"/>
              </w:rPr>
            </w:pPr>
            <w:r w:rsidRPr="00425C6F">
              <w:rPr>
                <w:rFonts w:cs="Calibri"/>
              </w:rPr>
              <w:t>Access to Cancer Services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7AFDCD0" w14:textId="77777777" w:rsidR="00520B85" w:rsidRPr="00425C6F" w:rsidRDefault="00520B85" w:rsidP="00520B85">
            <w:pPr>
              <w:spacing w:after="0" w:line="240" w:lineRule="auto"/>
              <w:jc w:val="center"/>
              <w:rPr>
                <w:rFonts w:cs="Calibri"/>
              </w:rPr>
            </w:pPr>
            <w:r w:rsidRPr="00425C6F">
              <w:rPr>
                <w:rFonts w:cs="Calibri"/>
              </w:rPr>
              <w:t>25</w:t>
            </w:r>
          </w:p>
        </w:tc>
      </w:tr>
      <w:tr w:rsidR="00B1166E" w:rsidRPr="00B1166E" w14:paraId="780B9FF1" w14:textId="77777777" w:rsidTr="008F0229">
        <w:trPr>
          <w:trHeight w:val="328"/>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496EBD" w14:textId="77777777" w:rsidR="00520B85" w:rsidRPr="00425C6F" w:rsidRDefault="00520B85" w:rsidP="00520B85">
            <w:pPr>
              <w:spacing w:after="0" w:line="240" w:lineRule="auto"/>
              <w:jc w:val="both"/>
              <w:rPr>
                <w:rFonts w:cs="Calibri"/>
              </w:rPr>
            </w:pPr>
            <w:r w:rsidRPr="00425C6F">
              <w:rPr>
                <w:rFonts w:cs="Calibri"/>
              </w:rPr>
              <w:t>16</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2D2A104B" w14:textId="77777777" w:rsidR="00520B85" w:rsidRPr="00425C6F" w:rsidRDefault="00520B85" w:rsidP="00520B85">
            <w:pPr>
              <w:spacing w:after="0" w:line="240" w:lineRule="auto"/>
              <w:jc w:val="both"/>
              <w:rPr>
                <w:rFonts w:cs="Calibri"/>
              </w:rPr>
            </w:pPr>
            <w:r w:rsidRPr="00425C6F">
              <w:rPr>
                <w:rFonts w:cs="Calibri"/>
              </w:rPr>
              <w:t>Access to Planned Care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1BFD999" w14:textId="77777777" w:rsidR="00520B85" w:rsidRPr="00425C6F" w:rsidRDefault="00520B85" w:rsidP="00520B85">
            <w:pPr>
              <w:spacing w:after="0" w:line="240" w:lineRule="auto"/>
              <w:jc w:val="center"/>
              <w:rPr>
                <w:rFonts w:cs="Calibri"/>
              </w:rPr>
            </w:pPr>
            <w:r w:rsidRPr="00425C6F">
              <w:rPr>
                <w:rFonts w:cs="Calibri"/>
              </w:rPr>
              <w:t>20</w:t>
            </w:r>
          </w:p>
        </w:tc>
      </w:tr>
      <w:tr w:rsidR="00B1166E" w:rsidRPr="00B1166E" w14:paraId="570F4AF9" w14:textId="77777777" w:rsidTr="008F0229">
        <w:trPr>
          <w:trHeight w:val="41"/>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03C6D3" w14:textId="77777777" w:rsidR="00520B85" w:rsidRPr="00425C6F" w:rsidRDefault="00520B85" w:rsidP="00520B85">
            <w:pPr>
              <w:spacing w:after="0" w:line="240" w:lineRule="auto"/>
              <w:jc w:val="both"/>
              <w:rPr>
                <w:rFonts w:cs="Calibri"/>
              </w:rPr>
            </w:pPr>
            <w:r w:rsidRPr="00425C6F">
              <w:rPr>
                <w:rFonts w:cs="Calibri"/>
              </w:rPr>
              <w:t>69</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38EF8A9C" w14:textId="77777777" w:rsidR="00520B85" w:rsidRPr="00425C6F" w:rsidRDefault="00520B85" w:rsidP="00520B85">
            <w:pPr>
              <w:spacing w:after="0" w:line="240" w:lineRule="auto"/>
              <w:jc w:val="both"/>
              <w:rPr>
                <w:rFonts w:cs="Calibri"/>
              </w:rPr>
            </w:pPr>
            <w:r w:rsidRPr="00425C6F">
              <w:rPr>
                <w:rFonts w:cs="Calibri"/>
              </w:rPr>
              <w:t>Safeguarding: Adolescents on Adult Mental Health Wards (this is being reviewed in light of CAHMS transfer)</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58A5432F" w14:textId="77777777" w:rsidR="00520B85" w:rsidRPr="00425C6F" w:rsidRDefault="00520B85" w:rsidP="00520B85">
            <w:pPr>
              <w:spacing w:after="0" w:line="240" w:lineRule="auto"/>
              <w:jc w:val="center"/>
              <w:rPr>
                <w:rFonts w:cs="Calibri"/>
              </w:rPr>
            </w:pPr>
            <w:r w:rsidRPr="00425C6F">
              <w:rPr>
                <w:rFonts w:cs="Calibri"/>
              </w:rPr>
              <w:t>20</w:t>
            </w:r>
          </w:p>
        </w:tc>
      </w:tr>
      <w:tr w:rsidR="00B1166E" w:rsidRPr="00B1166E" w14:paraId="6B68835E" w14:textId="77777777" w:rsidTr="008F0229">
        <w:trPr>
          <w:trHeight w:val="41"/>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BC17B0" w14:textId="4A602DC8" w:rsidR="00520B85" w:rsidRPr="00425C6F" w:rsidRDefault="00520B85" w:rsidP="00520B85">
            <w:pPr>
              <w:spacing w:after="0" w:line="240" w:lineRule="auto"/>
              <w:jc w:val="both"/>
              <w:rPr>
                <w:rFonts w:cs="Calibri"/>
              </w:rPr>
            </w:pPr>
            <w:r w:rsidRPr="00425C6F">
              <w:rPr>
                <w:rFonts w:cs="Calibri"/>
              </w:rPr>
              <w:t>92</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4AE57DA0" w14:textId="77777777" w:rsidR="00520B85" w:rsidRPr="00425C6F" w:rsidRDefault="00520B85" w:rsidP="00520B85">
            <w:pPr>
              <w:spacing w:after="0" w:line="240" w:lineRule="auto"/>
              <w:jc w:val="both"/>
              <w:rPr>
                <w:rFonts w:cs="Calibri"/>
              </w:rPr>
            </w:pPr>
            <w:r w:rsidRPr="00425C6F">
              <w:rPr>
                <w:rFonts w:cs="Calibri"/>
              </w:rPr>
              <w:t>Finance – Forecast Deficit</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1112FED" w14:textId="77777777" w:rsidR="00520B85" w:rsidRPr="00425C6F" w:rsidRDefault="00520B85" w:rsidP="00520B85">
            <w:pPr>
              <w:spacing w:after="0" w:line="240" w:lineRule="auto"/>
              <w:jc w:val="center"/>
              <w:rPr>
                <w:rFonts w:cs="Calibri"/>
              </w:rPr>
            </w:pPr>
            <w:r w:rsidRPr="00425C6F">
              <w:rPr>
                <w:rFonts w:cs="Calibri"/>
              </w:rPr>
              <w:t>20</w:t>
            </w:r>
          </w:p>
        </w:tc>
      </w:tr>
    </w:tbl>
    <w:p w14:paraId="38CA8935" w14:textId="77777777" w:rsidR="008F0229" w:rsidRDefault="008F0229" w:rsidP="008F0229">
      <w:pPr>
        <w:pStyle w:val="ListParagraph"/>
        <w:spacing w:after="0" w:line="240" w:lineRule="auto"/>
        <w:jc w:val="both"/>
        <w:rPr>
          <w:rFonts w:ascii="Arial" w:hAnsi="Arial" w:cs="Arial"/>
          <w:b/>
          <w:sz w:val="24"/>
          <w:szCs w:val="24"/>
        </w:rPr>
      </w:pPr>
      <w:bookmarkStart w:id="7" w:name="_Hlk84868097"/>
      <w:bookmarkStart w:id="8" w:name="_Hlk103027979"/>
      <w:bookmarkStart w:id="9" w:name="_Hlk106687877"/>
      <w:bookmarkEnd w:id="6"/>
    </w:p>
    <w:p w14:paraId="5C0D6459" w14:textId="77777777" w:rsidR="008F0229" w:rsidRDefault="008F0229" w:rsidP="008D14B9">
      <w:pPr>
        <w:pStyle w:val="ListParagraph"/>
        <w:spacing w:after="0" w:line="240" w:lineRule="auto"/>
        <w:jc w:val="both"/>
        <w:rPr>
          <w:rFonts w:ascii="Arial" w:hAnsi="Arial" w:cs="Arial"/>
          <w:b/>
          <w:sz w:val="24"/>
          <w:szCs w:val="24"/>
        </w:rPr>
      </w:pPr>
    </w:p>
    <w:p w14:paraId="39B50066" w14:textId="4CFE8A53" w:rsidR="00EE2CE9" w:rsidRPr="00EE2CE9" w:rsidRDefault="00EE2CE9" w:rsidP="008D14B9">
      <w:pPr>
        <w:pStyle w:val="ListParagraph"/>
        <w:numPr>
          <w:ilvl w:val="0"/>
          <w:numId w:val="15"/>
        </w:numPr>
        <w:spacing w:after="0" w:line="240" w:lineRule="auto"/>
        <w:ind w:hanging="720"/>
        <w:jc w:val="both"/>
        <w:rPr>
          <w:rFonts w:ascii="Arial" w:hAnsi="Arial" w:cs="Arial"/>
          <w:b/>
          <w:sz w:val="24"/>
          <w:szCs w:val="24"/>
        </w:rPr>
      </w:pPr>
      <w:r w:rsidRPr="00EE2CE9">
        <w:rPr>
          <w:rFonts w:ascii="Arial" w:hAnsi="Arial" w:cs="Arial"/>
          <w:b/>
          <w:sz w:val="24"/>
          <w:szCs w:val="24"/>
        </w:rPr>
        <w:t>FINANCIAL IMPLICATIONS</w:t>
      </w:r>
    </w:p>
    <w:bookmarkEnd w:id="7"/>
    <w:p w14:paraId="0BEE056C" w14:textId="1788DAF2" w:rsidR="00061122" w:rsidRPr="00EE2CE9" w:rsidRDefault="00061122" w:rsidP="00061122">
      <w:pPr>
        <w:pStyle w:val="ListParagraph"/>
        <w:spacing w:after="0" w:line="240" w:lineRule="auto"/>
        <w:jc w:val="both"/>
        <w:rPr>
          <w:rFonts w:ascii="Arial" w:hAnsi="Arial" w:cs="Arial"/>
          <w:sz w:val="24"/>
          <w:szCs w:val="24"/>
        </w:rPr>
      </w:pPr>
      <w:r w:rsidRPr="00EE2CE9">
        <w:rPr>
          <w:rFonts w:ascii="Arial" w:hAnsi="Arial" w:cs="Arial"/>
          <w:sz w:val="24"/>
          <w:szCs w:val="24"/>
        </w:rPr>
        <w:t>The Health Board (HB) submitted a revised plan at 31</w:t>
      </w:r>
      <w:r w:rsidRPr="00FE1DEE">
        <w:rPr>
          <w:rFonts w:ascii="Arial" w:hAnsi="Arial" w:cs="Arial"/>
          <w:sz w:val="24"/>
          <w:szCs w:val="24"/>
          <w:vertAlign w:val="superscript"/>
        </w:rPr>
        <w:t>st</w:t>
      </w:r>
      <w:r w:rsidR="00FE1DEE">
        <w:rPr>
          <w:rFonts w:ascii="Arial" w:hAnsi="Arial" w:cs="Arial"/>
          <w:sz w:val="24"/>
          <w:szCs w:val="24"/>
        </w:rPr>
        <w:t xml:space="preserve"> </w:t>
      </w:r>
      <w:r w:rsidRPr="00EE2CE9">
        <w:rPr>
          <w:rFonts w:ascii="Arial" w:hAnsi="Arial" w:cs="Arial"/>
          <w:sz w:val="24"/>
          <w:szCs w:val="24"/>
        </w:rPr>
        <w:t xml:space="preserve">May 2023 which reported a deficit of £86.6m. </w:t>
      </w:r>
      <w:r>
        <w:rPr>
          <w:rFonts w:ascii="Arial" w:hAnsi="Arial" w:cs="Arial"/>
          <w:sz w:val="24"/>
          <w:szCs w:val="24"/>
        </w:rPr>
        <w:t>As noted in the Q2 report a</w:t>
      </w:r>
      <w:r w:rsidRPr="00EE2CE9">
        <w:rPr>
          <w:rFonts w:ascii="Arial" w:hAnsi="Arial" w:cs="Arial"/>
          <w:sz w:val="24"/>
          <w:szCs w:val="24"/>
        </w:rPr>
        <w:t xml:space="preserve">s a result of the hard work undertaken by Welsh Government colleagues, the HB has received significant additional funding of £60.8m for 2023/24, of which £43.3m is recurrent. For 2023/24 there is then a requirement for the HB to deliver a further 10% reduction in expenditure to achieve a control total of £17m. </w:t>
      </w:r>
    </w:p>
    <w:p w14:paraId="4552B8F5" w14:textId="77777777" w:rsidR="00061122" w:rsidRPr="00EE2CE9" w:rsidRDefault="00061122" w:rsidP="00061122">
      <w:pPr>
        <w:pStyle w:val="ListParagraph"/>
        <w:spacing w:after="0" w:line="240" w:lineRule="auto"/>
        <w:jc w:val="both"/>
        <w:rPr>
          <w:rFonts w:ascii="Arial" w:hAnsi="Arial" w:cs="Arial"/>
          <w:sz w:val="24"/>
          <w:szCs w:val="24"/>
        </w:rPr>
      </w:pPr>
    </w:p>
    <w:p w14:paraId="118E55BD" w14:textId="77777777" w:rsidR="00061122" w:rsidRPr="00EE2CE9" w:rsidRDefault="00061122" w:rsidP="00061122">
      <w:pPr>
        <w:pStyle w:val="ListParagraph"/>
        <w:spacing w:after="0" w:line="240" w:lineRule="auto"/>
        <w:jc w:val="both"/>
        <w:rPr>
          <w:rFonts w:ascii="Arial" w:hAnsi="Arial" w:cs="Arial"/>
          <w:sz w:val="24"/>
          <w:szCs w:val="24"/>
        </w:rPr>
      </w:pPr>
      <w:r w:rsidRPr="00EE2CE9">
        <w:rPr>
          <w:rFonts w:ascii="Arial" w:hAnsi="Arial" w:cs="Arial"/>
          <w:sz w:val="24"/>
          <w:szCs w:val="24"/>
        </w:rPr>
        <w:t>Within the Financial Plan the Health Board provided additional support for service pressures and investments in many areas, including the Ministerial Priorities. A summary of the investments made by area is provided below:</w:t>
      </w:r>
    </w:p>
    <w:p w14:paraId="5B10DC59" w14:textId="77777777" w:rsidR="00061122" w:rsidRPr="00EE2CE9" w:rsidRDefault="00061122" w:rsidP="00061122">
      <w:pPr>
        <w:pStyle w:val="ListParagraph"/>
        <w:spacing w:after="0" w:line="240" w:lineRule="auto"/>
        <w:jc w:val="both"/>
        <w:rPr>
          <w:rFonts w:ascii="Arial" w:hAnsi="Arial" w:cs="Arial"/>
          <w:sz w:val="24"/>
          <w:szCs w:val="24"/>
        </w:rPr>
      </w:pPr>
    </w:p>
    <w:tbl>
      <w:tblPr>
        <w:tblStyle w:val="TableGrid"/>
        <w:tblW w:w="8789" w:type="dxa"/>
        <w:tblInd w:w="704" w:type="dxa"/>
        <w:tblLook w:val="04A0" w:firstRow="1" w:lastRow="0" w:firstColumn="1" w:lastColumn="0" w:noHBand="0" w:noVBand="1"/>
      </w:tblPr>
      <w:tblGrid>
        <w:gridCol w:w="1324"/>
        <w:gridCol w:w="1414"/>
        <w:gridCol w:w="6051"/>
      </w:tblGrid>
      <w:tr w:rsidR="00061122" w:rsidRPr="00EE2CE9" w14:paraId="7C5F0F9A" w14:textId="77777777" w:rsidTr="007A66E5">
        <w:trPr>
          <w:tblHeader/>
        </w:trPr>
        <w:tc>
          <w:tcPr>
            <w:tcW w:w="1271" w:type="dxa"/>
            <w:shd w:val="clear" w:color="auto" w:fill="BFBFBF" w:themeFill="background1" w:themeFillShade="BF"/>
          </w:tcPr>
          <w:p w14:paraId="30E2241D" w14:textId="77777777" w:rsidR="00061122" w:rsidRPr="00EE2CE9" w:rsidRDefault="00061122" w:rsidP="007A66E5">
            <w:pPr>
              <w:spacing w:after="0" w:line="240" w:lineRule="auto"/>
              <w:jc w:val="both"/>
              <w:rPr>
                <w:rFonts w:ascii="Arial" w:hAnsi="Arial" w:cs="Arial"/>
                <w:b/>
                <w:sz w:val="24"/>
                <w:szCs w:val="24"/>
              </w:rPr>
            </w:pPr>
            <w:r w:rsidRPr="00EE2CE9">
              <w:rPr>
                <w:rFonts w:ascii="Arial" w:hAnsi="Arial" w:cs="Arial"/>
                <w:b/>
                <w:sz w:val="24"/>
                <w:szCs w:val="24"/>
              </w:rPr>
              <w:t>Area</w:t>
            </w:r>
          </w:p>
        </w:tc>
        <w:tc>
          <w:tcPr>
            <w:tcW w:w="1417" w:type="dxa"/>
            <w:shd w:val="clear" w:color="auto" w:fill="BFBFBF" w:themeFill="background1" w:themeFillShade="BF"/>
          </w:tcPr>
          <w:p w14:paraId="6E9047F2" w14:textId="77777777" w:rsidR="00061122" w:rsidRPr="00EE2CE9" w:rsidRDefault="00061122" w:rsidP="007A66E5">
            <w:pPr>
              <w:spacing w:after="0" w:line="240" w:lineRule="auto"/>
              <w:jc w:val="center"/>
              <w:rPr>
                <w:rFonts w:ascii="Arial" w:hAnsi="Arial" w:cs="Arial"/>
                <w:b/>
                <w:sz w:val="24"/>
                <w:szCs w:val="24"/>
              </w:rPr>
            </w:pPr>
            <w:r w:rsidRPr="00EE2CE9">
              <w:rPr>
                <w:rFonts w:ascii="Arial" w:hAnsi="Arial" w:cs="Arial"/>
                <w:b/>
                <w:sz w:val="24"/>
                <w:szCs w:val="24"/>
              </w:rPr>
              <w:t>23/24 Funding</w:t>
            </w:r>
          </w:p>
          <w:p w14:paraId="3024FFD5" w14:textId="77777777" w:rsidR="00061122" w:rsidRPr="00EE2CE9" w:rsidRDefault="00061122" w:rsidP="007A66E5">
            <w:pPr>
              <w:spacing w:after="0" w:line="240" w:lineRule="auto"/>
              <w:jc w:val="center"/>
              <w:rPr>
                <w:rFonts w:ascii="Arial" w:hAnsi="Arial" w:cs="Arial"/>
                <w:b/>
                <w:sz w:val="24"/>
                <w:szCs w:val="24"/>
              </w:rPr>
            </w:pPr>
            <w:r w:rsidRPr="00EE2CE9">
              <w:rPr>
                <w:rFonts w:ascii="Arial" w:hAnsi="Arial" w:cs="Arial"/>
                <w:b/>
                <w:sz w:val="24"/>
                <w:szCs w:val="24"/>
              </w:rPr>
              <w:t>£M</w:t>
            </w:r>
          </w:p>
        </w:tc>
        <w:tc>
          <w:tcPr>
            <w:tcW w:w="6101" w:type="dxa"/>
            <w:shd w:val="clear" w:color="auto" w:fill="BFBFBF" w:themeFill="background1" w:themeFillShade="BF"/>
          </w:tcPr>
          <w:p w14:paraId="16775E08" w14:textId="77777777" w:rsidR="00061122" w:rsidRPr="00EE2CE9" w:rsidRDefault="00061122" w:rsidP="007A66E5">
            <w:pPr>
              <w:spacing w:after="0" w:line="240" w:lineRule="auto"/>
              <w:jc w:val="both"/>
              <w:rPr>
                <w:rFonts w:ascii="Arial" w:hAnsi="Arial" w:cs="Arial"/>
                <w:b/>
                <w:sz w:val="24"/>
                <w:szCs w:val="24"/>
              </w:rPr>
            </w:pPr>
            <w:r w:rsidRPr="00EE2CE9">
              <w:rPr>
                <w:rFonts w:ascii="Arial" w:hAnsi="Arial" w:cs="Arial"/>
                <w:b/>
                <w:sz w:val="24"/>
                <w:szCs w:val="24"/>
              </w:rPr>
              <w:t>Utilisation of Funding</w:t>
            </w:r>
          </w:p>
        </w:tc>
      </w:tr>
      <w:tr w:rsidR="00061122" w:rsidRPr="00EE2CE9" w14:paraId="60736F76" w14:textId="77777777" w:rsidTr="007A66E5">
        <w:tc>
          <w:tcPr>
            <w:tcW w:w="1271" w:type="dxa"/>
          </w:tcPr>
          <w:p w14:paraId="65E677B6"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t>Cancer</w:t>
            </w:r>
          </w:p>
        </w:tc>
        <w:tc>
          <w:tcPr>
            <w:tcW w:w="1417" w:type="dxa"/>
          </w:tcPr>
          <w:p w14:paraId="558B6931" w14:textId="77777777" w:rsidR="00061122" w:rsidRPr="00EE2CE9" w:rsidRDefault="00061122" w:rsidP="007A66E5">
            <w:pPr>
              <w:spacing w:after="0" w:line="240" w:lineRule="auto"/>
              <w:jc w:val="center"/>
              <w:rPr>
                <w:rFonts w:ascii="Arial" w:hAnsi="Arial" w:cs="Arial"/>
                <w:sz w:val="24"/>
                <w:szCs w:val="24"/>
              </w:rPr>
            </w:pPr>
            <w:r w:rsidRPr="00EE2CE9">
              <w:rPr>
                <w:rFonts w:ascii="Arial" w:hAnsi="Arial" w:cs="Arial"/>
                <w:sz w:val="24"/>
                <w:szCs w:val="24"/>
              </w:rPr>
              <w:t>1.00</w:t>
            </w:r>
          </w:p>
        </w:tc>
        <w:tc>
          <w:tcPr>
            <w:tcW w:w="6101" w:type="dxa"/>
          </w:tcPr>
          <w:p w14:paraId="604F621A"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t>£3m has been provided over the last 3 financial years and has been committed in full. In 2023/24 the funding was transferred in full to NPTS to ensure the Cancer Board had direct access to utilise the resources available.</w:t>
            </w:r>
          </w:p>
        </w:tc>
      </w:tr>
      <w:tr w:rsidR="00061122" w:rsidRPr="00EE2CE9" w14:paraId="17059785" w14:textId="77777777" w:rsidTr="007A66E5">
        <w:tc>
          <w:tcPr>
            <w:tcW w:w="1271" w:type="dxa"/>
          </w:tcPr>
          <w:p w14:paraId="4787F0E9"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t>UEC</w:t>
            </w:r>
          </w:p>
        </w:tc>
        <w:tc>
          <w:tcPr>
            <w:tcW w:w="1417" w:type="dxa"/>
          </w:tcPr>
          <w:p w14:paraId="4531FBD4" w14:textId="77777777" w:rsidR="00061122" w:rsidRPr="00EE2CE9" w:rsidRDefault="00061122" w:rsidP="007A66E5">
            <w:pPr>
              <w:spacing w:after="0" w:line="240" w:lineRule="auto"/>
              <w:jc w:val="center"/>
              <w:rPr>
                <w:rFonts w:ascii="Arial" w:hAnsi="Arial" w:cs="Arial"/>
                <w:sz w:val="24"/>
                <w:szCs w:val="24"/>
              </w:rPr>
            </w:pPr>
            <w:r w:rsidRPr="00EE2CE9">
              <w:rPr>
                <w:rFonts w:ascii="Arial" w:hAnsi="Arial" w:cs="Arial"/>
                <w:sz w:val="24"/>
                <w:szCs w:val="24"/>
              </w:rPr>
              <w:t>5.43</w:t>
            </w:r>
          </w:p>
        </w:tc>
        <w:tc>
          <w:tcPr>
            <w:tcW w:w="6101" w:type="dxa"/>
          </w:tcPr>
          <w:p w14:paraId="2996BE0C"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t>WG has provided the Health Board with £2.960m until 2025/26 to support 6 Goals/UEC. The Health Board investment has invested  £2.47m above the £2.960m within the 23/24 to support UEC’s combined investment of £5.43m</w:t>
            </w:r>
          </w:p>
        </w:tc>
      </w:tr>
      <w:tr w:rsidR="00061122" w:rsidRPr="00EE2CE9" w14:paraId="76B6377D" w14:textId="77777777" w:rsidTr="007A66E5">
        <w:tc>
          <w:tcPr>
            <w:tcW w:w="1271" w:type="dxa"/>
          </w:tcPr>
          <w:p w14:paraId="4C9295E5"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t>Planned Care</w:t>
            </w:r>
          </w:p>
        </w:tc>
        <w:tc>
          <w:tcPr>
            <w:tcW w:w="1417" w:type="dxa"/>
          </w:tcPr>
          <w:p w14:paraId="2E8D3E18" w14:textId="77777777" w:rsidR="00061122" w:rsidRPr="00EE2CE9" w:rsidRDefault="00061122" w:rsidP="007A66E5">
            <w:pPr>
              <w:spacing w:after="0" w:line="240" w:lineRule="auto"/>
              <w:jc w:val="center"/>
              <w:rPr>
                <w:rFonts w:ascii="Arial" w:hAnsi="Arial" w:cs="Arial"/>
                <w:sz w:val="24"/>
                <w:szCs w:val="24"/>
              </w:rPr>
            </w:pPr>
            <w:r w:rsidRPr="00EE2CE9">
              <w:rPr>
                <w:rFonts w:ascii="Arial" w:hAnsi="Arial" w:cs="Arial"/>
                <w:sz w:val="24"/>
                <w:szCs w:val="24"/>
              </w:rPr>
              <w:t>22.90</w:t>
            </w:r>
          </w:p>
        </w:tc>
        <w:tc>
          <w:tcPr>
            <w:tcW w:w="6101" w:type="dxa"/>
          </w:tcPr>
          <w:p w14:paraId="7B93F8A1"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t>£15.2m was provided by WG with the Health Board investing a further £7.7m to support delivery of planned care targets. At the end of quarter 1 the Health Board had already spent £5.2m.</w:t>
            </w:r>
          </w:p>
        </w:tc>
      </w:tr>
      <w:tr w:rsidR="00061122" w:rsidRPr="00EE2CE9" w14:paraId="6A0D128A" w14:textId="77777777" w:rsidTr="007A66E5">
        <w:tc>
          <w:tcPr>
            <w:tcW w:w="1271" w:type="dxa"/>
          </w:tcPr>
          <w:p w14:paraId="477BB21E"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t>Planned Care (Regional)</w:t>
            </w:r>
          </w:p>
        </w:tc>
        <w:tc>
          <w:tcPr>
            <w:tcW w:w="1417" w:type="dxa"/>
          </w:tcPr>
          <w:p w14:paraId="6F6CFE8A" w14:textId="77777777" w:rsidR="00061122" w:rsidRPr="00EE2CE9" w:rsidRDefault="00061122" w:rsidP="007A66E5">
            <w:pPr>
              <w:spacing w:after="0" w:line="240" w:lineRule="auto"/>
              <w:jc w:val="center"/>
              <w:rPr>
                <w:rFonts w:ascii="Arial" w:hAnsi="Arial" w:cs="Arial"/>
                <w:sz w:val="24"/>
                <w:szCs w:val="24"/>
              </w:rPr>
            </w:pPr>
            <w:r w:rsidRPr="00EE2CE9">
              <w:rPr>
                <w:rFonts w:ascii="Arial" w:hAnsi="Arial" w:cs="Arial"/>
                <w:sz w:val="24"/>
                <w:szCs w:val="24"/>
              </w:rPr>
              <w:t>15.50</w:t>
            </w:r>
          </w:p>
        </w:tc>
        <w:tc>
          <w:tcPr>
            <w:tcW w:w="6101" w:type="dxa"/>
          </w:tcPr>
          <w:p w14:paraId="436DE593"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t xml:space="preserve">£15.50m has been made available to support Orthopaedic Theatre development in the NPT hospital along with additional diagnostics. </w:t>
            </w:r>
          </w:p>
        </w:tc>
      </w:tr>
      <w:tr w:rsidR="00061122" w:rsidRPr="00EE2CE9" w14:paraId="489A82CA" w14:textId="77777777" w:rsidTr="007A66E5">
        <w:tc>
          <w:tcPr>
            <w:tcW w:w="1271" w:type="dxa"/>
          </w:tcPr>
          <w:p w14:paraId="128D25AE"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lastRenderedPageBreak/>
              <w:t>CAMHs</w:t>
            </w:r>
          </w:p>
        </w:tc>
        <w:tc>
          <w:tcPr>
            <w:tcW w:w="1417" w:type="dxa"/>
          </w:tcPr>
          <w:p w14:paraId="4BEB4D1E" w14:textId="77777777" w:rsidR="00061122" w:rsidRPr="00EE2CE9" w:rsidRDefault="00061122" w:rsidP="007A66E5">
            <w:pPr>
              <w:spacing w:after="0" w:line="240" w:lineRule="auto"/>
              <w:jc w:val="center"/>
              <w:rPr>
                <w:rFonts w:ascii="Arial" w:hAnsi="Arial" w:cs="Arial"/>
                <w:sz w:val="24"/>
                <w:szCs w:val="24"/>
              </w:rPr>
            </w:pPr>
            <w:r w:rsidRPr="00EE2CE9">
              <w:rPr>
                <w:rFonts w:ascii="Arial" w:hAnsi="Arial" w:cs="Arial"/>
                <w:sz w:val="24"/>
                <w:szCs w:val="24"/>
              </w:rPr>
              <w:t>2.69</w:t>
            </w:r>
          </w:p>
        </w:tc>
        <w:tc>
          <w:tcPr>
            <w:tcW w:w="6101" w:type="dxa"/>
          </w:tcPr>
          <w:p w14:paraId="1CFA47A0" w14:textId="77777777" w:rsidR="00061122" w:rsidRPr="00EE2CE9" w:rsidRDefault="00061122" w:rsidP="007A66E5">
            <w:pPr>
              <w:spacing w:after="0" w:line="240" w:lineRule="auto"/>
              <w:jc w:val="both"/>
              <w:rPr>
                <w:rFonts w:ascii="Arial" w:hAnsi="Arial" w:cs="Arial"/>
                <w:sz w:val="24"/>
                <w:szCs w:val="24"/>
              </w:rPr>
            </w:pPr>
            <w:r w:rsidRPr="00EE2CE9">
              <w:rPr>
                <w:rFonts w:ascii="Arial" w:hAnsi="Arial" w:cs="Arial"/>
                <w:sz w:val="24"/>
                <w:szCs w:val="24"/>
              </w:rPr>
              <w:t>Whilst this is not additional funding the £2.69m is the value previously provided to CTM to support CAMHS which has now been transferred in full from the Commissioning Budget to the MH/LD Service Group in Swansea Bay to provide the services for its population. There will be further investment provided in 23/24 for CAMHS In Reach support to Schools direct from WG.</w:t>
            </w:r>
          </w:p>
        </w:tc>
      </w:tr>
    </w:tbl>
    <w:p w14:paraId="6A986C07" w14:textId="77777777" w:rsidR="00061122" w:rsidRPr="00EE2CE9" w:rsidRDefault="00061122" w:rsidP="00061122">
      <w:pPr>
        <w:pStyle w:val="ListParagraph"/>
        <w:spacing w:after="0" w:line="240" w:lineRule="auto"/>
        <w:jc w:val="both"/>
        <w:rPr>
          <w:rFonts w:ascii="Arial" w:hAnsi="Arial" w:cs="Arial"/>
          <w:sz w:val="24"/>
          <w:szCs w:val="24"/>
        </w:rPr>
      </w:pPr>
    </w:p>
    <w:p w14:paraId="747530EA" w14:textId="70F1FCCE" w:rsidR="00061122" w:rsidRDefault="00061122" w:rsidP="00061122">
      <w:pPr>
        <w:pStyle w:val="ListParagraph"/>
        <w:spacing w:after="0" w:line="240" w:lineRule="auto"/>
        <w:jc w:val="both"/>
        <w:rPr>
          <w:rFonts w:ascii="Arial" w:hAnsi="Arial" w:cs="Arial"/>
          <w:sz w:val="24"/>
          <w:szCs w:val="24"/>
        </w:rPr>
      </w:pPr>
      <w:r w:rsidRPr="00EE2CE9">
        <w:rPr>
          <w:rFonts w:ascii="Arial" w:hAnsi="Arial" w:cs="Arial"/>
          <w:sz w:val="24"/>
          <w:szCs w:val="24"/>
        </w:rPr>
        <w:t xml:space="preserve">As noted in the Financial Performance paper the original plan was set on a tapered profile reflecting the expectation that some of the run rate work would take two quarters to fully embed and deliver. The additional funding of £60.8m has been profiled on a straight line basis, consistent with the approach adopted by other HB’s. </w:t>
      </w:r>
      <w:r>
        <w:rPr>
          <w:rFonts w:ascii="Arial" w:hAnsi="Arial" w:cs="Arial"/>
          <w:sz w:val="24"/>
          <w:szCs w:val="24"/>
        </w:rPr>
        <w:t>During Q3 the HB has been focusing on the establishment of its ‘Landing Plan to achieve its control total and the action required. At the end of Q3 the HB remained overspent by £41.5m,</w:t>
      </w:r>
      <w:r w:rsidR="00FE1DEE">
        <w:rPr>
          <w:rFonts w:ascii="Arial" w:hAnsi="Arial" w:cs="Arial"/>
          <w:sz w:val="24"/>
          <w:szCs w:val="24"/>
        </w:rPr>
        <w:t xml:space="preserve"> </w:t>
      </w:r>
      <w:r>
        <w:rPr>
          <w:rFonts w:ascii="Arial" w:hAnsi="Arial" w:cs="Arial"/>
          <w:sz w:val="24"/>
          <w:szCs w:val="24"/>
        </w:rPr>
        <w:t xml:space="preserve">but </w:t>
      </w:r>
      <w:r w:rsidR="00FE1DEE">
        <w:rPr>
          <w:rFonts w:ascii="Arial" w:hAnsi="Arial" w:cs="Arial"/>
          <w:sz w:val="24"/>
          <w:szCs w:val="24"/>
        </w:rPr>
        <w:t xml:space="preserve">is </w:t>
      </w:r>
      <w:r>
        <w:rPr>
          <w:rFonts w:ascii="Arial" w:hAnsi="Arial" w:cs="Arial"/>
          <w:sz w:val="24"/>
          <w:szCs w:val="24"/>
        </w:rPr>
        <w:t xml:space="preserve">on target to deliver the actions within the Landing Plan, although recognising significant work was required during Q4 to achieve the target. </w:t>
      </w:r>
    </w:p>
    <w:p w14:paraId="4EE2822F" w14:textId="77777777" w:rsidR="00061122" w:rsidRPr="00EE2CE9" w:rsidRDefault="00061122" w:rsidP="00061122">
      <w:pPr>
        <w:pStyle w:val="ListParagraph"/>
        <w:spacing w:after="0" w:line="240" w:lineRule="auto"/>
        <w:jc w:val="both"/>
        <w:rPr>
          <w:rFonts w:ascii="Arial" w:hAnsi="Arial" w:cs="Arial"/>
          <w:sz w:val="24"/>
          <w:szCs w:val="24"/>
        </w:rPr>
      </w:pPr>
    </w:p>
    <w:p w14:paraId="5B0E034C" w14:textId="62A9249B" w:rsidR="003263D6" w:rsidRDefault="00061122" w:rsidP="00061122">
      <w:pPr>
        <w:spacing w:after="0" w:line="240" w:lineRule="auto"/>
        <w:ind w:left="720"/>
        <w:jc w:val="both"/>
        <w:rPr>
          <w:rFonts w:ascii="Arial" w:hAnsi="Arial" w:cs="Arial"/>
          <w:sz w:val="24"/>
          <w:szCs w:val="24"/>
        </w:rPr>
      </w:pPr>
      <w:r>
        <w:rPr>
          <w:rFonts w:ascii="Arial" w:hAnsi="Arial" w:cs="Arial"/>
          <w:sz w:val="24"/>
          <w:szCs w:val="24"/>
        </w:rPr>
        <w:t>A full update of the Financial Position is provided to the Board w</w:t>
      </w:r>
      <w:r w:rsidRPr="00EE2CE9">
        <w:rPr>
          <w:rFonts w:ascii="Arial" w:hAnsi="Arial" w:cs="Arial"/>
          <w:sz w:val="24"/>
          <w:szCs w:val="24"/>
        </w:rPr>
        <w:t>ithin the Financial Performance paper.</w:t>
      </w:r>
    </w:p>
    <w:p w14:paraId="566DED04" w14:textId="77777777" w:rsidR="00FE1DEE" w:rsidRPr="00B1166E" w:rsidRDefault="00FE1DEE" w:rsidP="00061122">
      <w:pPr>
        <w:spacing w:after="0" w:line="240" w:lineRule="auto"/>
        <w:ind w:left="720"/>
        <w:jc w:val="both"/>
        <w:rPr>
          <w:rFonts w:ascii="Arial" w:hAnsi="Arial" w:cs="Arial"/>
          <w:color w:val="FF0000"/>
          <w:sz w:val="24"/>
          <w:szCs w:val="24"/>
        </w:rPr>
      </w:pPr>
    </w:p>
    <w:p w14:paraId="43A15ECA" w14:textId="77777777" w:rsidR="00E916F6" w:rsidRPr="002C0429" w:rsidRDefault="00E916F6" w:rsidP="001A663A">
      <w:pPr>
        <w:spacing w:after="0" w:line="240" w:lineRule="auto"/>
        <w:jc w:val="both"/>
        <w:rPr>
          <w:rFonts w:ascii="Arial" w:hAnsi="Arial" w:cs="Arial"/>
          <w:sz w:val="24"/>
          <w:szCs w:val="24"/>
        </w:rPr>
      </w:pPr>
    </w:p>
    <w:bookmarkEnd w:id="8"/>
    <w:bookmarkEnd w:id="9"/>
    <w:p w14:paraId="20BE3F9B" w14:textId="77777777" w:rsidR="0073267B" w:rsidRPr="002C0429" w:rsidRDefault="0073267B" w:rsidP="00EA4DD0">
      <w:pPr>
        <w:pStyle w:val="ListParagraph"/>
        <w:numPr>
          <w:ilvl w:val="0"/>
          <w:numId w:val="15"/>
        </w:numPr>
        <w:spacing w:after="0" w:line="240" w:lineRule="auto"/>
        <w:ind w:hanging="720"/>
        <w:jc w:val="both"/>
        <w:rPr>
          <w:rFonts w:ascii="Arial" w:hAnsi="Arial" w:cs="Arial"/>
          <w:b/>
          <w:sz w:val="24"/>
          <w:szCs w:val="24"/>
        </w:rPr>
      </w:pPr>
      <w:r w:rsidRPr="002C0429">
        <w:rPr>
          <w:rFonts w:ascii="Arial" w:hAnsi="Arial" w:cs="Arial"/>
          <w:b/>
          <w:sz w:val="24"/>
          <w:szCs w:val="24"/>
        </w:rPr>
        <w:t>Recommendations</w:t>
      </w:r>
    </w:p>
    <w:p w14:paraId="55D307EB" w14:textId="77777777" w:rsidR="00E56926" w:rsidRPr="00B1166E" w:rsidRDefault="00E56926" w:rsidP="00E56926">
      <w:pPr>
        <w:spacing w:after="0" w:line="240" w:lineRule="auto"/>
        <w:ind w:left="720" w:right="96"/>
        <w:jc w:val="both"/>
        <w:rPr>
          <w:rFonts w:ascii="Arial" w:hAnsi="Arial" w:cs="Arial"/>
          <w:sz w:val="24"/>
          <w:szCs w:val="24"/>
        </w:rPr>
      </w:pPr>
      <w:r w:rsidRPr="00B1166E">
        <w:rPr>
          <w:rFonts w:ascii="Arial" w:hAnsi="Arial" w:cs="Arial"/>
          <w:sz w:val="24"/>
          <w:szCs w:val="24"/>
        </w:rPr>
        <w:t>The Board is asked to:</w:t>
      </w:r>
    </w:p>
    <w:p w14:paraId="1BE39FE2" w14:textId="77777777" w:rsidR="00E56926" w:rsidRPr="00B1166E" w:rsidRDefault="00E56926" w:rsidP="00E56926">
      <w:pPr>
        <w:pStyle w:val="ListParagraph"/>
        <w:numPr>
          <w:ilvl w:val="1"/>
          <w:numId w:val="1"/>
        </w:numPr>
        <w:spacing w:after="0" w:line="240" w:lineRule="auto"/>
        <w:jc w:val="both"/>
        <w:rPr>
          <w:rFonts w:ascii="Arial" w:hAnsi="Arial" w:cs="Arial"/>
          <w:sz w:val="24"/>
          <w:szCs w:val="24"/>
        </w:rPr>
      </w:pPr>
      <w:r w:rsidRPr="00B1166E">
        <w:rPr>
          <w:rFonts w:ascii="Arial" w:hAnsi="Arial" w:cs="Arial"/>
          <w:b/>
          <w:sz w:val="24"/>
          <w:szCs w:val="24"/>
        </w:rPr>
        <w:t>NOTE:</w:t>
      </w:r>
      <w:r w:rsidRPr="00B1166E">
        <w:rPr>
          <w:rFonts w:ascii="Arial" w:hAnsi="Arial" w:cs="Arial"/>
          <w:sz w:val="24"/>
          <w:szCs w:val="24"/>
        </w:rPr>
        <w:t xml:space="preserve"> The Health Board performance against the Ministerial priorities</w:t>
      </w:r>
    </w:p>
    <w:p w14:paraId="06796EF5" w14:textId="77777777" w:rsidR="00E56926" w:rsidRDefault="00E56926" w:rsidP="00E56926">
      <w:pPr>
        <w:pStyle w:val="ListParagraph"/>
        <w:numPr>
          <w:ilvl w:val="1"/>
          <w:numId w:val="1"/>
        </w:numPr>
        <w:spacing w:after="0" w:line="240" w:lineRule="auto"/>
        <w:jc w:val="both"/>
        <w:rPr>
          <w:rFonts w:ascii="Arial" w:hAnsi="Arial" w:cs="Arial"/>
          <w:sz w:val="24"/>
          <w:szCs w:val="24"/>
        </w:rPr>
      </w:pPr>
      <w:r w:rsidRPr="00B1166E">
        <w:rPr>
          <w:rFonts w:ascii="Arial" w:hAnsi="Arial" w:cs="Arial"/>
          <w:b/>
          <w:sz w:val="24"/>
          <w:szCs w:val="24"/>
        </w:rPr>
        <w:t>NOTE:</w:t>
      </w:r>
      <w:r w:rsidRPr="00B1166E">
        <w:rPr>
          <w:rFonts w:ascii="Arial" w:hAnsi="Arial" w:cs="Arial"/>
          <w:sz w:val="24"/>
          <w:szCs w:val="24"/>
        </w:rPr>
        <w:t xml:space="preserve"> The actions planned for areas which are outside of planned trajectory</w:t>
      </w:r>
    </w:p>
    <w:p w14:paraId="3875391E" w14:textId="7BA255E9" w:rsidR="00173CB2" w:rsidRPr="002C0429" w:rsidRDefault="00E56926" w:rsidP="00E56926">
      <w:pPr>
        <w:pStyle w:val="ListParagraph"/>
        <w:numPr>
          <w:ilvl w:val="1"/>
          <w:numId w:val="1"/>
        </w:numPr>
        <w:spacing w:after="160" w:line="259" w:lineRule="auto"/>
        <w:jc w:val="both"/>
        <w:rPr>
          <w:rFonts w:ascii="Arial" w:hAnsi="Arial" w:cs="Arial"/>
          <w:sz w:val="24"/>
          <w:szCs w:val="24"/>
        </w:rPr>
      </w:pPr>
      <w:r>
        <w:rPr>
          <w:rFonts w:ascii="Arial" w:hAnsi="Arial" w:cs="Arial"/>
          <w:b/>
          <w:sz w:val="24"/>
          <w:szCs w:val="24"/>
        </w:rPr>
        <w:t>NOTE:</w:t>
      </w:r>
      <w:r>
        <w:rPr>
          <w:rFonts w:ascii="Arial" w:hAnsi="Arial" w:cs="Arial"/>
          <w:sz w:val="24"/>
          <w:szCs w:val="24"/>
        </w:rPr>
        <w:t xml:space="preserve"> The work planned to incorporate performance escalation metrics once agreed with Welsh Government and the NHS Executive.</w:t>
      </w:r>
      <w:r w:rsidR="00173CB2" w:rsidRPr="002C0429">
        <w:rPr>
          <w:rFonts w:ascii="Arial" w:hAnsi="Arial" w:cs="Arial"/>
          <w:sz w:val="24"/>
          <w:szCs w:val="24"/>
        </w:rPr>
        <w:br w:type="page"/>
      </w:r>
    </w:p>
    <w:tbl>
      <w:tblPr>
        <w:tblStyle w:val="TableGrid"/>
        <w:tblW w:w="9493" w:type="dxa"/>
        <w:tblLayout w:type="fixed"/>
        <w:tblLook w:val="04A0" w:firstRow="1" w:lastRow="0" w:firstColumn="1" w:lastColumn="0" w:noHBand="0" w:noVBand="1"/>
      </w:tblPr>
      <w:tblGrid>
        <w:gridCol w:w="1809"/>
        <w:gridCol w:w="661"/>
        <w:gridCol w:w="5889"/>
        <w:gridCol w:w="1134"/>
      </w:tblGrid>
      <w:tr w:rsidR="002C0429" w:rsidRPr="002C0429" w14:paraId="005454C3" w14:textId="77777777" w:rsidTr="00604E6F">
        <w:tc>
          <w:tcPr>
            <w:tcW w:w="9493" w:type="dxa"/>
            <w:gridSpan w:val="4"/>
            <w:shd w:val="clear" w:color="auto" w:fill="C6D9F1" w:themeFill="text2" w:themeFillTint="33"/>
          </w:tcPr>
          <w:p w14:paraId="6B56E9CD" w14:textId="77777777" w:rsidR="0065520C" w:rsidRPr="002C0429" w:rsidRDefault="0065520C" w:rsidP="001503E7">
            <w:pPr>
              <w:spacing w:after="0" w:line="240" w:lineRule="auto"/>
              <w:rPr>
                <w:rFonts w:ascii="Arial" w:hAnsi="Arial" w:cs="Arial"/>
                <w:b/>
                <w:sz w:val="24"/>
                <w:szCs w:val="24"/>
              </w:rPr>
            </w:pPr>
            <w:bookmarkStart w:id="10" w:name="Governance"/>
            <w:r w:rsidRPr="002C0429">
              <w:rPr>
                <w:rFonts w:ascii="Arial" w:hAnsi="Arial" w:cs="Arial"/>
                <w:b/>
                <w:sz w:val="24"/>
                <w:szCs w:val="24"/>
              </w:rPr>
              <w:lastRenderedPageBreak/>
              <w:t>Governance and Assurance</w:t>
            </w:r>
            <w:bookmarkEnd w:id="10"/>
          </w:p>
        </w:tc>
      </w:tr>
      <w:tr w:rsidR="002C0429" w:rsidRPr="002C0429" w14:paraId="08692E33" w14:textId="77777777" w:rsidTr="00604E6F">
        <w:tc>
          <w:tcPr>
            <w:tcW w:w="1809" w:type="dxa"/>
            <w:vMerge w:val="restart"/>
          </w:tcPr>
          <w:p w14:paraId="3E4476E9"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Link to Enabling Objectives</w:t>
            </w:r>
          </w:p>
          <w:p w14:paraId="639299B7"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i/>
                <w:sz w:val="24"/>
                <w:szCs w:val="24"/>
              </w:rPr>
              <w:t>(please choose)</w:t>
            </w:r>
          </w:p>
        </w:tc>
        <w:tc>
          <w:tcPr>
            <w:tcW w:w="7684" w:type="dxa"/>
            <w:gridSpan w:val="3"/>
            <w:shd w:val="clear" w:color="auto" w:fill="B8CCE4" w:themeFill="accent1" w:themeFillTint="66"/>
          </w:tcPr>
          <w:p w14:paraId="0A1FFE3D" w14:textId="77777777" w:rsidR="0065520C" w:rsidRPr="002C0429" w:rsidRDefault="0065520C" w:rsidP="001503E7">
            <w:pPr>
              <w:spacing w:after="0" w:line="240" w:lineRule="auto"/>
              <w:jc w:val="both"/>
              <w:rPr>
                <w:rFonts w:ascii="Arial" w:hAnsi="Arial" w:cs="Arial"/>
                <w:sz w:val="24"/>
                <w:szCs w:val="24"/>
              </w:rPr>
            </w:pPr>
            <w:r w:rsidRPr="002C0429">
              <w:rPr>
                <w:rFonts w:ascii="Arial" w:hAnsi="Arial" w:cs="Arial"/>
                <w:sz w:val="24"/>
                <w:szCs w:val="24"/>
              </w:rPr>
              <w:t>Supporting better health and wellbeing by actively promoting and empowering people to live well in resilient communities</w:t>
            </w:r>
          </w:p>
        </w:tc>
      </w:tr>
      <w:tr w:rsidR="002C0429" w:rsidRPr="002C0429" w14:paraId="4FCC0252" w14:textId="77777777" w:rsidTr="00604E6F">
        <w:tc>
          <w:tcPr>
            <w:tcW w:w="1809" w:type="dxa"/>
            <w:vMerge/>
          </w:tcPr>
          <w:p w14:paraId="461E0B4E"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09A492B2"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134" w:type="dxa"/>
              </w:tcPr>
              <w:p w14:paraId="099C6499"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7C055154" w14:textId="77777777" w:rsidTr="00604E6F">
        <w:tc>
          <w:tcPr>
            <w:tcW w:w="1809" w:type="dxa"/>
            <w:vMerge/>
          </w:tcPr>
          <w:p w14:paraId="6081DB3B"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0C43F4C"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Co-Production and Health Literacy</w:t>
            </w:r>
          </w:p>
        </w:tc>
        <w:sdt>
          <w:sdtPr>
            <w:rPr>
              <w:rFonts w:ascii="Arial" w:hAnsi="Arial" w:cs="Arial"/>
              <w:sz w:val="24"/>
              <w:szCs w:val="24"/>
            </w:rPr>
            <w:id w:val="1151252969"/>
            <w14:checkbox>
              <w14:checked w14:val="1"/>
              <w14:checkedState w14:val="2612" w14:font="MS Gothic"/>
              <w14:uncheckedState w14:val="2610" w14:font="MS Gothic"/>
            </w14:checkbox>
          </w:sdtPr>
          <w:sdtEndPr/>
          <w:sdtContent>
            <w:tc>
              <w:tcPr>
                <w:tcW w:w="1134" w:type="dxa"/>
              </w:tcPr>
              <w:p w14:paraId="33BD30C9"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162A2464" w14:textId="77777777" w:rsidTr="00604E6F">
        <w:tc>
          <w:tcPr>
            <w:tcW w:w="1809" w:type="dxa"/>
            <w:vMerge/>
          </w:tcPr>
          <w:p w14:paraId="730DFA33"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A446BF0" w14:textId="77777777" w:rsidR="0065520C" w:rsidRPr="002C0429" w:rsidRDefault="0065520C" w:rsidP="001503E7">
            <w:pPr>
              <w:spacing w:after="0" w:line="240" w:lineRule="auto"/>
              <w:jc w:val="both"/>
              <w:rPr>
                <w:rFonts w:ascii="Arial" w:hAnsi="Arial" w:cs="Arial"/>
                <w:sz w:val="24"/>
                <w:szCs w:val="24"/>
              </w:rPr>
            </w:pPr>
            <w:r w:rsidRPr="002C0429">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134" w:type="dxa"/>
              </w:tcPr>
              <w:p w14:paraId="2DEDC84E"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5470B92B" w14:textId="77777777" w:rsidTr="00604E6F">
        <w:tc>
          <w:tcPr>
            <w:tcW w:w="1809" w:type="dxa"/>
            <w:vMerge/>
          </w:tcPr>
          <w:p w14:paraId="69C2D1D0" w14:textId="77777777" w:rsidR="0065520C" w:rsidRPr="002C0429" w:rsidRDefault="0065520C" w:rsidP="001503E7">
            <w:pPr>
              <w:spacing w:after="0" w:line="240" w:lineRule="auto"/>
              <w:rPr>
                <w:rFonts w:ascii="Arial" w:hAnsi="Arial" w:cs="Arial"/>
                <w:sz w:val="24"/>
                <w:szCs w:val="24"/>
              </w:rPr>
            </w:pPr>
          </w:p>
        </w:tc>
        <w:tc>
          <w:tcPr>
            <w:tcW w:w="7684" w:type="dxa"/>
            <w:gridSpan w:val="3"/>
            <w:shd w:val="clear" w:color="auto" w:fill="B8CCE4" w:themeFill="accent1" w:themeFillTint="66"/>
          </w:tcPr>
          <w:p w14:paraId="71F80F52"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 xml:space="preserve">Deliver better care through excellent health and care services achieving the outcomes that matter most to people </w:t>
            </w:r>
          </w:p>
        </w:tc>
      </w:tr>
      <w:tr w:rsidR="002C0429" w:rsidRPr="002C0429" w14:paraId="091DE440" w14:textId="77777777" w:rsidTr="00604E6F">
        <w:tc>
          <w:tcPr>
            <w:tcW w:w="1809" w:type="dxa"/>
            <w:vMerge/>
          </w:tcPr>
          <w:p w14:paraId="037C948B"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5D5B5DE1"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134" w:type="dxa"/>
              </w:tcPr>
              <w:p w14:paraId="152D6239"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4434287A" w14:textId="77777777" w:rsidTr="00604E6F">
        <w:tc>
          <w:tcPr>
            <w:tcW w:w="1809" w:type="dxa"/>
            <w:vMerge/>
          </w:tcPr>
          <w:p w14:paraId="5ACA1FEC"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1737952D"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134" w:type="dxa"/>
              </w:tcPr>
              <w:p w14:paraId="4A629D2A"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03FAE783" w14:textId="77777777" w:rsidTr="00604E6F">
        <w:tc>
          <w:tcPr>
            <w:tcW w:w="1809" w:type="dxa"/>
            <w:vMerge/>
          </w:tcPr>
          <w:p w14:paraId="2001B075"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BDB2DB3"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134" w:type="dxa"/>
              </w:tcPr>
              <w:p w14:paraId="22752AE2"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4ADB5ED4" w14:textId="77777777" w:rsidTr="00604E6F">
        <w:tc>
          <w:tcPr>
            <w:tcW w:w="1809" w:type="dxa"/>
            <w:vMerge/>
          </w:tcPr>
          <w:p w14:paraId="4B904409"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88EF6FD"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134" w:type="dxa"/>
              </w:tcPr>
              <w:p w14:paraId="1FA6536E"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698B2976" w14:textId="77777777" w:rsidTr="00604E6F">
        <w:tc>
          <w:tcPr>
            <w:tcW w:w="1809" w:type="dxa"/>
            <w:vMerge/>
          </w:tcPr>
          <w:p w14:paraId="5CD1C9E0"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73A6E90"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EndPr/>
          <w:sdtContent>
            <w:tc>
              <w:tcPr>
                <w:tcW w:w="1134" w:type="dxa"/>
              </w:tcPr>
              <w:p w14:paraId="17B08280"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32BD8A7C" w14:textId="77777777" w:rsidTr="00604E6F">
        <w:tc>
          <w:tcPr>
            <w:tcW w:w="9493" w:type="dxa"/>
            <w:gridSpan w:val="4"/>
            <w:shd w:val="clear" w:color="auto" w:fill="C6D9F1" w:themeFill="text2" w:themeFillTint="33"/>
          </w:tcPr>
          <w:p w14:paraId="1AC28037" w14:textId="77777777" w:rsidR="0065520C" w:rsidRPr="002C0429" w:rsidRDefault="0065520C" w:rsidP="001503E7">
            <w:pPr>
              <w:spacing w:after="0" w:line="240" w:lineRule="auto"/>
              <w:rPr>
                <w:rFonts w:ascii="Arial" w:hAnsi="Arial" w:cs="Arial"/>
                <w:b/>
                <w:sz w:val="24"/>
                <w:szCs w:val="24"/>
              </w:rPr>
            </w:pPr>
            <w:r w:rsidRPr="002C0429">
              <w:rPr>
                <w:rFonts w:ascii="Arial" w:hAnsi="Arial" w:cs="Arial"/>
                <w:b/>
                <w:sz w:val="24"/>
                <w:szCs w:val="24"/>
              </w:rPr>
              <w:t>Health and Care Standards</w:t>
            </w:r>
          </w:p>
        </w:tc>
      </w:tr>
      <w:tr w:rsidR="002C0429" w:rsidRPr="002C0429" w14:paraId="4C9CFF76" w14:textId="77777777" w:rsidTr="00604E6F">
        <w:tc>
          <w:tcPr>
            <w:tcW w:w="1809" w:type="dxa"/>
            <w:vMerge w:val="restart"/>
          </w:tcPr>
          <w:p w14:paraId="2C767BFC"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i/>
                <w:sz w:val="24"/>
                <w:szCs w:val="24"/>
              </w:rPr>
              <w:t>(please choose)</w:t>
            </w:r>
          </w:p>
        </w:tc>
        <w:tc>
          <w:tcPr>
            <w:tcW w:w="6550" w:type="dxa"/>
            <w:gridSpan w:val="2"/>
          </w:tcPr>
          <w:p w14:paraId="587F2A38"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134" w:type="dxa"/>
              </w:tcPr>
              <w:p w14:paraId="21837E9D"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14CAA77C" w14:textId="77777777" w:rsidTr="00604E6F">
        <w:tc>
          <w:tcPr>
            <w:tcW w:w="1809" w:type="dxa"/>
            <w:vMerge/>
          </w:tcPr>
          <w:p w14:paraId="3E013513"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4F5DE042"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134" w:type="dxa"/>
              </w:tcPr>
              <w:p w14:paraId="5F713352"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4AAD0DA4" w14:textId="77777777" w:rsidTr="00604E6F">
        <w:tc>
          <w:tcPr>
            <w:tcW w:w="1809" w:type="dxa"/>
            <w:vMerge/>
          </w:tcPr>
          <w:p w14:paraId="3D87F998"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247F02E1"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134" w:type="dxa"/>
              </w:tcPr>
              <w:p w14:paraId="379E303B"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5336180A" w14:textId="77777777" w:rsidTr="00604E6F">
        <w:tc>
          <w:tcPr>
            <w:tcW w:w="1809" w:type="dxa"/>
            <w:vMerge/>
          </w:tcPr>
          <w:p w14:paraId="6BF12DFC"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1E7DFB7C"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134" w:type="dxa"/>
              </w:tcPr>
              <w:p w14:paraId="62257CEA"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5DA8D552" w14:textId="77777777" w:rsidTr="00604E6F">
        <w:tc>
          <w:tcPr>
            <w:tcW w:w="1809" w:type="dxa"/>
            <w:vMerge/>
          </w:tcPr>
          <w:p w14:paraId="5D451B36"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3F31CFD1"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134" w:type="dxa"/>
              </w:tcPr>
              <w:p w14:paraId="74FE5FA9"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130D63BE" w14:textId="77777777" w:rsidTr="00604E6F">
        <w:tc>
          <w:tcPr>
            <w:tcW w:w="1809" w:type="dxa"/>
            <w:vMerge/>
          </w:tcPr>
          <w:p w14:paraId="310C9F9A"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4C53B79A"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134" w:type="dxa"/>
              </w:tcPr>
              <w:p w14:paraId="42B774EC"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646FE9EE" w14:textId="77777777" w:rsidTr="00604E6F">
        <w:tc>
          <w:tcPr>
            <w:tcW w:w="1809" w:type="dxa"/>
            <w:vMerge/>
          </w:tcPr>
          <w:p w14:paraId="03B839FB"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4D951060"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134" w:type="dxa"/>
              </w:tcPr>
              <w:p w14:paraId="6AA20392"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B1166E" w:rsidRPr="00B1166E" w14:paraId="01BD3A71" w14:textId="77777777" w:rsidTr="00604E6F">
        <w:tc>
          <w:tcPr>
            <w:tcW w:w="9493" w:type="dxa"/>
            <w:gridSpan w:val="4"/>
            <w:shd w:val="clear" w:color="auto" w:fill="C6D9F1" w:themeFill="text2" w:themeFillTint="33"/>
          </w:tcPr>
          <w:p w14:paraId="346E2CE6" w14:textId="77777777" w:rsidR="00791409" w:rsidRPr="002C0429" w:rsidRDefault="00791409" w:rsidP="00791409">
            <w:pPr>
              <w:spacing w:after="0" w:line="240" w:lineRule="auto"/>
              <w:rPr>
                <w:rFonts w:ascii="Arial" w:hAnsi="Arial" w:cs="Arial"/>
                <w:b/>
                <w:sz w:val="24"/>
                <w:szCs w:val="24"/>
              </w:rPr>
            </w:pPr>
            <w:r w:rsidRPr="002C0429">
              <w:rPr>
                <w:rFonts w:ascii="Arial" w:hAnsi="Arial" w:cs="Arial"/>
                <w:b/>
                <w:sz w:val="24"/>
                <w:szCs w:val="24"/>
              </w:rPr>
              <w:t>Quality, Safety and Patient Experience</w:t>
            </w:r>
          </w:p>
        </w:tc>
      </w:tr>
      <w:tr w:rsidR="00B1166E" w:rsidRPr="00B1166E" w14:paraId="0D3E1282" w14:textId="77777777" w:rsidTr="00604E6F">
        <w:tc>
          <w:tcPr>
            <w:tcW w:w="9493" w:type="dxa"/>
            <w:gridSpan w:val="4"/>
          </w:tcPr>
          <w:p w14:paraId="5377AE15" w14:textId="77777777" w:rsidR="008F0F1F" w:rsidRPr="002C0429" w:rsidRDefault="00791409" w:rsidP="00791409">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 xml:space="preserve">The performance report </w:t>
            </w:r>
            <w:r w:rsidR="008F0F1F" w:rsidRPr="002C0429">
              <w:rPr>
                <w:rFonts w:ascii="Arial" w:hAnsi="Arial" w:cs="Arial"/>
                <w:sz w:val="24"/>
                <w:szCs w:val="24"/>
              </w:rPr>
              <w:t xml:space="preserve">sets out a series of illustrations across unscheduled, planned and cancer care to inform the </w:t>
            </w:r>
            <w:r w:rsidR="00C3673F" w:rsidRPr="002C0429">
              <w:rPr>
                <w:rFonts w:ascii="Arial" w:hAnsi="Arial" w:cs="Arial"/>
                <w:sz w:val="24"/>
                <w:szCs w:val="24"/>
              </w:rPr>
              <w:t>Management Board</w:t>
            </w:r>
            <w:r w:rsidR="008F0F1F" w:rsidRPr="002C0429">
              <w:rPr>
                <w:rFonts w:ascii="Arial" w:hAnsi="Arial" w:cs="Arial"/>
                <w:sz w:val="24"/>
                <w:szCs w:val="24"/>
              </w:rPr>
              <w:t xml:space="preserve"> of the current position. </w:t>
            </w:r>
          </w:p>
          <w:p w14:paraId="315E3BD7" w14:textId="77777777" w:rsidR="008F0F1F" w:rsidRPr="002C0429" w:rsidRDefault="008F0F1F" w:rsidP="00791409">
            <w:pPr>
              <w:autoSpaceDE w:val="0"/>
              <w:autoSpaceDN w:val="0"/>
              <w:adjustRightInd w:val="0"/>
              <w:spacing w:after="0" w:line="240" w:lineRule="auto"/>
              <w:jc w:val="both"/>
              <w:rPr>
                <w:rFonts w:ascii="Arial" w:hAnsi="Arial" w:cs="Arial"/>
                <w:sz w:val="24"/>
                <w:szCs w:val="24"/>
              </w:rPr>
            </w:pPr>
          </w:p>
          <w:p w14:paraId="072A7A48" w14:textId="77777777" w:rsidR="00791409" w:rsidRPr="002C0429" w:rsidRDefault="008F0F1F" w:rsidP="00791409">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The selected performance metrics provide a context to understand the q</w:t>
            </w:r>
            <w:r w:rsidR="00791409" w:rsidRPr="002C0429">
              <w:rPr>
                <w:rFonts w:ascii="Arial" w:hAnsi="Arial" w:cs="Arial"/>
                <w:sz w:val="24"/>
                <w:szCs w:val="24"/>
              </w:rPr>
              <w:t xml:space="preserve">uality, safety and patient experience </w:t>
            </w:r>
            <w:r w:rsidRPr="002C0429">
              <w:rPr>
                <w:rFonts w:ascii="Arial" w:hAnsi="Arial" w:cs="Arial"/>
                <w:sz w:val="24"/>
                <w:szCs w:val="24"/>
              </w:rPr>
              <w:t xml:space="preserve">of patients in these systems of care. </w:t>
            </w:r>
          </w:p>
          <w:p w14:paraId="03A1C11A" w14:textId="77777777" w:rsidR="00791409" w:rsidRPr="002C0429" w:rsidRDefault="00791409" w:rsidP="00791409">
            <w:pPr>
              <w:autoSpaceDE w:val="0"/>
              <w:autoSpaceDN w:val="0"/>
              <w:adjustRightInd w:val="0"/>
              <w:spacing w:after="0" w:line="240" w:lineRule="auto"/>
              <w:jc w:val="both"/>
              <w:rPr>
                <w:rFonts w:ascii="Arial" w:hAnsi="Arial" w:cs="Arial"/>
                <w:sz w:val="24"/>
                <w:szCs w:val="24"/>
              </w:rPr>
            </w:pPr>
          </w:p>
          <w:p w14:paraId="6F79A49C" w14:textId="77777777" w:rsidR="00791409" w:rsidRPr="002C0429" w:rsidRDefault="00791409" w:rsidP="00791409">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There are no directly related Equality and Diversity implications as a result of this report.</w:t>
            </w:r>
          </w:p>
          <w:p w14:paraId="28ACEE48" w14:textId="77777777" w:rsidR="00791409" w:rsidRPr="002C0429" w:rsidRDefault="00791409" w:rsidP="00791409">
            <w:pPr>
              <w:autoSpaceDE w:val="0"/>
              <w:autoSpaceDN w:val="0"/>
              <w:adjustRightInd w:val="0"/>
              <w:spacing w:after="0" w:line="240" w:lineRule="auto"/>
              <w:jc w:val="both"/>
              <w:rPr>
                <w:rFonts w:ascii="Arial" w:hAnsi="Arial" w:cs="Arial"/>
                <w:sz w:val="24"/>
                <w:szCs w:val="24"/>
              </w:rPr>
            </w:pPr>
          </w:p>
        </w:tc>
      </w:tr>
      <w:tr w:rsidR="00B1166E" w:rsidRPr="00B1166E" w14:paraId="6187DC05" w14:textId="77777777" w:rsidTr="00604E6F">
        <w:tc>
          <w:tcPr>
            <w:tcW w:w="9493" w:type="dxa"/>
            <w:gridSpan w:val="4"/>
            <w:shd w:val="clear" w:color="auto" w:fill="C6D9F1" w:themeFill="text2" w:themeFillTint="33"/>
          </w:tcPr>
          <w:p w14:paraId="2158AA3E" w14:textId="77777777" w:rsidR="00791409" w:rsidRPr="002C0429" w:rsidRDefault="00791409" w:rsidP="00791409">
            <w:pPr>
              <w:spacing w:after="0" w:line="240" w:lineRule="auto"/>
              <w:rPr>
                <w:rFonts w:ascii="Arial" w:hAnsi="Arial" w:cs="Arial"/>
                <w:b/>
                <w:sz w:val="24"/>
                <w:szCs w:val="24"/>
              </w:rPr>
            </w:pPr>
            <w:r w:rsidRPr="002C0429">
              <w:rPr>
                <w:rFonts w:ascii="Arial" w:hAnsi="Arial" w:cs="Arial"/>
                <w:b/>
                <w:sz w:val="24"/>
                <w:szCs w:val="24"/>
              </w:rPr>
              <w:t>Financial Implications</w:t>
            </w:r>
          </w:p>
        </w:tc>
      </w:tr>
      <w:tr w:rsidR="00B1166E" w:rsidRPr="00B1166E" w14:paraId="5D51276F" w14:textId="77777777" w:rsidTr="00604E6F">
        <w:tc>
          <w:tcPr>
            <w:tcW w:w="9493" w:type="dxa"/>
            <w:gridSpan w:val="4"/>
          </w:tcPr>
          <w:p w14:paraId="3410A14E" w14:textId="77777777" w:rsidR="00BF26F6" w:rsidRPr="002C0429" w:rsidRDefault="007861F1" w:rsidP="00BF26F6">
            <w:pPr>
              <w:spacing w:after="0" w:line="240" w:lineRule="auto"/>
              <w:jc w:val="both"/>
              <w:rPr>
                <w:rFonts w:ascii="Arial" w:hAnsi="Arial" w:cs="Arial"/>
                <w:sz w:val="24"/>
                <w:szCs w:val="24"/>
              </w:rPr>
            </w:pPr>
            <w:r w:rsidRPr="002C0429">
              <w:rPr>
                <w:rFonts w:ascii="Arial" w:hAnsi="Arial" w:cs="Arial"/>
                <w:sz w:val="24"/>
                <w:szCs w:val="24"/>
              </w:rPr>
              <w:t>These are set out above</w:t>
            </w:r>
          </w:p>
          <w:p w14:paraId="7D08FFFA" w14:textId="77777777" w:rsidR="00791409" w:rsidRPr="002C0429" w:rsidRDefault="00791409" w:rsidP="00791409">
            <w:pPr>
              <w:spacing w:after="0" w:line="240" w:lineRule="auto"/>
              <w:jc w:val="both"/>
              <w:rPr>
                <w:rFonts w:ascii="Arial" w:hAnsi="Arial" w:cs="Arial"/>
                <w:sz w:val="24"/>
                <w:szCs w:val="24"/>
              </w:rPr>
            </w:pPr>
          </w:p>
        </w:tc>
      </w:tr>
      <w:tr w:rsidR="00B1166E" w:rsidRPr="00B1166E" w14:paraId="1E7433C2" w14:textId="77777777" w:rsidTr="00604E6F">
        <w:tc>
          <w:tcPr>
            <w:tcW w:w="9493" w:type="dxa"/>
            <w:gridSpan w:val="4"/>
            <w:shd w:val="clear" w:color="auto" w:fill="C6D9F1" w:themeFill="text2" w:themeFillTint="33"/>
          </w:tcPr>
          <w:p w14:paraId="0D62B2DB" w14:textId="77777777" w:rsidR="00791409" w:rsidRPr="002C0429" w:rsidRDefault="00791409" w:rsidP="00791409">
            <w:pPr>
              <w:keepNext/>
              <w:keepLines/>
              <w:spacing w:after="0" w:line="240" w:lineRule="auto"/>
              <w:ind w:right="96"/>
              <w:rPr>
                <w:rFonts w:ascii="Arial" w:hAnsi="Arial" w:cs="Arial"/>
                <w:b/>
                <w:sz w:val="24"/>
                <w:szCs w:val="24"/>
              </w:rPr>
            </w:pPr>
            <w:r w:rsidRPr="002C0429">
              <w:rPr>
                <w:rFonts w:ascii="Arial" w:hAnsi="Arial" w:cs="Arial"/>
                <w:b/>
                <w:sz w:val="24"/>
                <w:szCs w:val="24"/>
              </w:rPr>
              <w:t>Legal Implications (including equality and diversity assessment)</w:t>
            </w:r>
          </w:p>
        </w:tc>
      </w:tr>
      <w:tr w:rsidR="00B1166E" w:rsidRPr="00B1166E" w14:paraId="3363EB8D" w14:textId="77777777" w:rsidTr="00604E6F">
        <w:tc>
          <w:tcPr>
            <w:tcW w:w="9493" w:type="dxa"/>
            <w:gridSpan w:val="4"/>
          </w:tcPr>
          <w:p w14:paraId="6AF255CB" w14:textId="77777777" w:rsidR="00791409" w:rsidRPr="002C0429" w:rsidRDefault="008F0F1F" w:rsidP="00791409">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n/a</w:t>
            </w:r>
          </w:p>
          <w:p w14:paraId="6DD22F0D" w14:textId="77777777" w:rsidR="00791409" w:rsidRPr="002C0429" w:rsidRDefault="00791409" w:rsidP="00791409">
            <w:pPr>
              <w:autoSpaceDE w:val="0"/>
              <w:autoSpaceDN w:val="0"/>
              <w:adjustRightInd w:val="0"/>
              <w:spacing w:after="0" w:line="240" w:lineRule="auto"/>
              <w:jc w:val="both"/>
              <w:rPr>
                <w:rFonts w:ascii="Arial" w:hAnsi="Arial" w:cs="Arial"/>
                <w:sz w:val="24"/>
                <w:szCs w:val="24"/>
              </w:rPr>
            </w:pPr>
          </w:p>
        </w:tc>
      </w:tr>
      <w:tr w:rsidR="00B1166E" w:rsidRPr="00B1166E" w14:paraId="73C1734F" w14:textId="77777777" w:rsidTr="00604E6F">
        <w:tc>
          <w:tcPr>
            <w:tcW w:w="9493" w:type="dxa"/>
            <w:gridSpan w:val="4"/>
            <w:shd w:val="clear" w:color="auto" w:fill="C6D9F1" w:themeFill="text2" w:themeFillTint="33"/>
          </w:tcPr>
          <w:p w14:paraId="1B50545F" w14:textId="77777777" w:rsidR="00791409" w:rsidRPr="002C0429" w:rsidRDefault="00791409" w:rsidP="00791409">
            <w:pPr>
              <w:spacing w:after="0" w:line="240" w:lineRule="auto"/>
              <w:ind w:right="96"/>
              <w:rPr>
                <w:rFonts w:ascii="Arial" w:hAnsi="Arial" w:cs="Arial"/>
                <w:b/>
                <w:sz w:val="24"/>
                <w:szCs w:val="24"/>
              </w:rPr>
            </w:pPr>
            <w:r w:rsidRPr="002C0429">
              <w:rPr>
                <w:rFonts w:ascii="Arial" w:hAnsi="Arial" w:cs="Arial"/>
                <w:b/>
                <w:sz w:val="24"/>
                <w:szCs w:val="24"/>
              </w:rPr>
              <w:t>Staffing Implications</w:t>
            </w:r>
          </w:p>
        </w:tc>
      </w:tr>
      <w:tr w:rsidR="00B1166E" w:rsidRPr="00B1166E" w14:paraId="136D3597" w14:textId="77777777" w:rsidTr="00604E6F">
        <w:tc>
          <w:tcPr>
            <w:tcW w:w="9493" w:type="dxa"/>
            <w:gridSpan w:val="4"/>
          </w:tcPr>
          <w:p w14:paraId="5F71A3BF" w14:textId="77777777" w:rsidR="00CB746E" w:rsidRPr="002C0429" w:rsidRDefault="008F0F1F" w:rsidP="00973198">
            <w:pPr>
              <w:autoSpaceDE w:val="0"/>
              <w:autoSpaceDN w:val="0"/>
              <w:adjustRightInd w:val="0"/>
              <w:spacing w:after="0" w:line="240" w:lineRule="auto"/>
              <w:jc w:val="both"/>
              <w:rPr>
                <w:rFonts w:ascii="ArialMT" w:hAnsi="ArialMT" w:cs="ArialMT"/>
                <w:sz w:val="24"/>
                <w:szCs w:val="24"/>
              </w:rPr>
            </w:pPr>
            <w:r w:rsidRPr="002C0429">
              <w:rPr>
                <w:rFonts w:ascii="ArialMT" w:hAnsi="ArialMT" w:cs="ArialMT"/>
                <w:sz w:val="24"/>
                <w:szCs w:val="24"/>
              </w:rPr>
              <w:t>n/a</w:t>
            </w:r>
          </w:p>
          <w:p w14:paraId="25A3AE94" w14:textId="77777777" w:rsidR="00CB746E" w:rsidRPr="002C0429" w:rsidRDefault="00CB746E" w:rsidP="00973198">
            <w:pPr>
              <w:autoSpaceDE w:val="0"/>
              <w:autoSpaceDN w:val="0"/>
              <w:adjustRightInd w:val="0"/>
              <w:spacing w:after="0" w:line="240" w:lineRule="auto"/>
              <w:jc w:val="both"/>
              <w:rPr>
                <w:rFonts w:ascii="ArialMT" w:hAnsi="ArialMT" w:cs="ArialMT"/>
                <w:sz w:val="24"/>
                <w:szCs w:val="24"/>
              </w:rPr>
            </w:pPr>
          </w:p>
        </w:tc>
      </w:tr>
      <w:tr w:rsidR="00B1166E" w:rsidRPr="00B1166E" w14:paraId="234C1846" w14:textId="77777777" w:rsidTr="00604E6F">
        <w:tc>
          <w:tcPr>
            <w:tcW w:w="9493" w:type="dxa"/>
            <w:gridSpan w:val="4"/>
            <w:shd w:val="clear" w:color="auto" w:fill="C6D9F1" w:themeFill="text2" w:themeFillTint="33"/>
          </w:tcPr>
          <w:p w14:paraId="5FADA2D1" w14:textId="77777777" w:rsidR="0065520C" w:rsidRPr="002C0429" w:rsidRDefault="0065520C" w:rsidP="001503E7">
            <w:pPr>
              <w:spacing w:after="0" w:line="240" w:lineRule="auto"/>
              <w:ind w:right="96"/>
              <w:rPr>
                <w:rFonts w:ascii="Arial" w:hAnsi="Arial" w:cs="Arial"/>
                <w:b/>
                <w:sz w:val="24"/>
                <w:szCs w:val="24"/>
              </w:rPr>
            </w:pPr>
            <w:r w:rsidRPr="002C0429">
              <w:rPr>
                <w:rFonts w:ascii="Arial" w:hAnsi="Arial" w:cs="Arial"/>
                <w:b/>
                <w:sz w:val="24"/>
                <w:szCs w:val="24"/>
              </w:rPr>
              <w:t>Long Term Implications (including the impact of the Well-being of Future Generations (Wales) Act 2015)</w:t>
            </w:r>
          </w:p>
        </w:tc>
      </w:tr>
      <w:tr w:rsidR="00B1166E" w:rsidRPr="00B1166E" w14:paraId="6713FA7D" w14:textId="77777777" w:rsidTr="00604E6F">
        <w:tc>
          <w:tcPr>
            <w:tcW w:w="9493" w:type="dxa"/>
            <w:gridSpan w:val="4"/>
          </w:tcPr>
          <w:p w14:paraId="394C01EF" w14:textId="77777777" w:rsidR="0065520C" w:rsidRPr="002C0429" w:rsidRDefault="0065520C" w:rsidP="001503E7">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 xml:space="preserve">The ‘5 Ways of Working’ are demonstrated in the report as follows: </w:t>
            </w:r>
          </w:p>
          <w:p w14:paraId="33F2F2C2" w14:textId="77777777" w:rsidR="0065520C" w:rsidRPr="002C042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2C0429">
              <w:rPr>
                <w:rFonts w:ascii="Arial" w:hAnsi="Arial" w:cs="Arial"/>
                <w:b/>
                <w:sz w:val="24"/>
                <w:szCs w:val="24"/>
              </w:rPr>
              <w:t xml:space="preserve">Long term </w:t>
            </w:r>
            <w:r w:rsidRPr="002C0429">
              <w:rPr>
                <w:rFonts w:ascii="Arial" w:hAnsi="Arial" w:cs="Arial"/>
                <w:sz w:val="24"/>
                <w:szCs w:val="24"/>
              </w:rPr>
              <w:t>– Actions within this report are both long and short term in order to balance the immediate service issues with long term objectives.  In addition, profiles have been included for the Targeted Intervention Priorities for 2019/20 which provides focus on the expected delivery for every month as well as the year end position in March 2020.</w:t>
            </w:r>
          </w:p>
          <w:p w14:paraId="0A57DA84" w14:textId="77777777" w:rsidR="0065520C" w:rsidRPr="002C042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2C0429">
              <w:rPr>
                <w:rFonts w:ascii="Arial" w:hAnsi="Arial" w:cs="Arial"/>
                <w:b/>
                <w:sz w:val="24"/>
                <w:szCs w:val="24"/>
              </w:rPr>
              <w:lastRenderedPageBreak/>
              <w:t>Prevention</w:t>
            </w:r>
            <w:r w:rsidRPr="002C0429">
              <w:rPr>
                <w:rFonts w:ascii="Arial" w:hAnsi="Arial" w:cs="Arial"/>
                <w:sz w:val="24"/>
                <w:szCs w:val="24"/>
              </w:rPr>
              <w:t xml:space="preserve"> – the NHS Wales Delivery framework provides a measureable mechanism to evidence how the NHS is positively influencing the health and well-being of the citizens of Wales with a particular focus upon maximising people’s physical and mental well-being.</w:t>
            </w:r>
          </w:p>
          <w:p w14:paraId="6766ABDA" w14:textId="77777777" w:rsidR="0065520C" w:rsidRPr="002C042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2C0429">
              <w:rPr>
                <w:rFonts w:ascii="Arial" w:hAnsi="Arial" w:cs="Arial"/>
                <w:b/>
                <w:sz w:val="24"/>
                <w:szCs w:val="24"/>
              </w:rPr>
              <w:t>Integration</w:t>
            </w:r>
            <w:r w:rsidR="008F0F1F" w:rsidRPr="002C0429">
              <w:rPr>
                <w:rFonts w:ascii="Arial" w:hAnsi="Arial" w:cs="Arial"/>
                <w:sz w:val="24"/>
                <w:szCs w:val="24"/>
              </w:rPr>
              <w:t xml:space="preserve"> – this selected </w:t>
            </w:r>
            <w:r w:rsidRPr="002C0429">
              <w:rPr>
                <w:rFonts w:ascii="Arial" w:hAnsi="Arial" w:cs="Arial"/>
                <w:sz w:val="24"/>
                <w:szCs w:val="24"/>
              </w:rPr>
              <w:t xml:space="preserve">performance report brings together key performance measures across </w:t>
            </w:r>
            <w:r w:rsidR="008F0F1F" w:rsidRPr="002C0429">
              <w:rPr>
                <w:rFonts w:ascii="Arial" w:hAnsi="Arial" w:cs="Arial"/>
                <w:sz w:val="24"/>
                <w:szCs w:val="24"/>
              </w:rPr>
              <w:t>a number of care systems</w:t>
            </w:r>
            <w:r w:rsidRPr="002C0429">
              <w:rPr>
                <w:rFonts w:ascii="Arial" w:hAnsi="Arial" w:cs="Arial"/>
                <w:sz w:val="24"/>
                <w:szCs w:val="24"/>
              </w:rPr>
              <w:t>.</w:t>
            </w:r>
          </w:p>
          <w:p w14:paraId="68DBC959" w14:textId="77777777" w:rsidR="0065520C" w:rsidRPr="002C042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2C0429">
              <w:rPr>
                <w:rFonts w:ascii="Arial" w:hAnsi="Arial" w:cs="Arial"/>
                <w:b/>
                <w:sz w:val="24"/>
                <w:szCs w:val="24"/>
              </w:rPr>
              <w:t xml:space="preserve">Collaboration </w:t>
            </w:r>
            <w:r w:rsidRPr="002C0429">
              <w:rPr>
                <w:rFonts w:ascii="Arial" w:hAnsi="Arial" w:cs="Arial"/>
                <w:sz w:val="24"/>
                <w:szCs w:val="24"/>
              </w:rPr>
              <w:t xml:space="preserve">– in order to manage performance, the Corporate Functions within the Health Board liaise with leads from the </w:t>
            </w:r>
            <w:r w:rsidR="002656DC" w:rsidRPr="002C0429">
              <w:rPr>
                <w:rFonts w:ascii="Arial" w:hAnsi="Arial" w:cs="Arial"/>
                <w:sz w:val="24"/>
                <w:szCs w:val="24"/>
              </w:rPr>
              <w:t>Service Groups</w:t>
            </w:r>
            <w:r w:rsidRPr="002C0429">
              <w:rPr>
                <w:rFonts w:ascii="Arial" w:hAnsi="Arial" w:cs="Arial"/>
                <w:sz w:val="24"/>
                <w:szCs w:val="24"/>
              </w:rPr>
              <w:t xml:space="preserve"> as well as key individuals from partner organisations including the Local Authorities, Welsh Ambulance Services Trust, Public Health Wales and external Health Boards.</w:t>
            </w:r>
          </w:p>
          <w:p w14:paraId="52C83E89" w14:textId="77777777" w:rsidR="0065520C" w:rsidRPr="002C0429" w:rsidRDefault="0065520C" w:rsidP="002656DC">
            <w:pPr>
              <w:pStyle w:val="ListParagraph"/>
              <w:numPr>
                <w:ilvl w:val="0"/>
                <w:numId w:val="1"/>
              </w:numPr>
              <w:shd w:val="clear" w:color="auto" w:fill="FFFFFF"/>
              <w:spacing w:after="0" w:line="240" w:lineRule="auto"/>
              <w:jc w:val="both"/>
              <w:rPr>
                <w:rFonts w:ascii="Arial" w:eastAsia="Times New Roman" w:hAnsi="Arial" w:cs="Arial"/>
                <w:sz w:val="24"/>
                <w:szCs w:val="24"/>
                <w:lang w:val="en"/>
              </w:rPr>
            </w:pPr>
            <w:r w:rsidRPr="002C0429">
              <w:rPr>
                <w:rFonts w:ascii="Arial" w:hAnsi="Arial" w:cs="Arial"/>
                <w:b/>
                <w:sz w:val="24"/>
                <w:szCs w:val="24"/>
              </w:rPr>
              <w:t xml:space="preserve">Involvement </w:t>
            </w:r>
            <w:r w:rsidRPr="002C0429">
              <w:rPr>
                <w:rFonts w:ascii="Arial" w:hAnsi="Arial" w:cs="Arial"/>
                <w:sz w:val="24"/>
                <w:szCs w:val="24"/>
              </w:rPr>
              <w:t xml:space="preserve">– Corporate and </w:t>
            </w:r>
            <w:r w:rsidR="002656DC" w:rsidRPr="002C0429">
              <w:rPr>
                <w:rFonts w:ascii="Arial" w:hAnsi="Arial" w:cs="Arial"/>
                <w:sz w:val="24"/>
                <w:szCs w:val="24"/>
              </w:rPr>
              <w:t>Service Group</w:t>
            </w:r>
            <w:r w:rsidRPr="002C0429">
              <w:rPr>
                <w:rFonts w:ascii="Arial" w:hAnsi="Arial" w:cs="Arial"/>
                <w:sz w:val="24"/>
                <w:szCs w:val="24"/>
              </w:rPr>
              <w:t xml:space="preserve"> leads are key in identifying performance issues and identifying actions to take forward</w:t>
            </w:r>
            <w:r w:rsidRPr="002C0429">
              <w:rPr>
                <w:rFonts w:ascii="Arial" w:eastAsia="Times New Roman" w:hAnsi="Arial" w:cs="Arial"/>
                <w:sz w:val="24"/>
                <w:szCs w:val="24"/>
                <w:lang w:val="en"/>
              </w:rPr>
              <w:t>.</w:t>
            </w:r>
          </w:p>
        </w:tc>
      </w:tr>
      <w:tr w:rsidR="00B1166E" w:rsidRPr="00B1166E" w14:paraId="5B3594BE" w14:textId="77777777" w:rsidTr="00604E6F">
        <w:tc>
          <w:tcPr>
            <w:tcW w:w="2470" w:type="dxa"/>
            <w:gridSpan w:val="2"/>
          </w:tcPr>
          <w:p w14:paraId="047D7CC2" w14:textId="77777777" w:rsidR="0065520C" w:rsidRPr="002C0429" w:rsidRDefault="0065520C" w:rsidP="001503E7">
            <w:pPr>
              <w:spacing w:after="0" w:line="240" w:lineRule="auto"/>
              <w:ind w:right="96"/>
              <w:rPr>
                <w:rFonts w:ascii="Arial" w:hAnsi="Arial" w:cs="Arial"/>
                <w:sz w:val="24"/>
                <w:szCs w:val="24"/>
              </w:rPr>
            </w:pPr>
            <w:r w:rsidRPr="002C0429">
              <w:rPr>
                <w:rFonts w:ascii="Arial" w:hAnsi="Arial" w:cs="Arial"/>
                <w:b/>
                <w:sz w:val="24"/>
                <w:szCs w:val="24"/>
              </w:rPr>
              <w:lastRenderedPageBreak/>
              <w:t>Report History</w:t>
            </w:r>
          </w:p>
        </w:tc>
        <w:tc>
          <w:tcPr>
            <w:tcW w:w="7023" w:type="dxa"/>
            <w:gridSpan w:val="2"/>
          </w:tcPr>
          <w:p w14:paraId="5D27CECE" w14:textId="6E737E58" w:rsidR="0065520C" w:rsidRPr="002C0429" w:rsidRDefault="00A71346" w:rsidP="00A71346">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This report is</w:t>
            </w:r>
            <w:r w:rsidR="008F0F1F" w:rsidRPr="002C0429">
              <w:rPr>
                <w:rFonts w:ascii="Arial" w:hAnsi="Arial" w:cs="Arial"/>
                <w:sz w:val="24"/>
                <w:szCs w:val="24"/>
              </w:rPr>
              <w:t xml:space="preserve"> a </w:t>
            </w:r>
            <w:r w:rsidR="002C0429">
              <w:rPr>
                <w:rFonts w:ascii="Arial" w:hAnsi="Arial" w:cs="Arial"/>
                <w:sz w:val="24"/>
                <w:szCs w:val="24"/>
              </w:rPr>
              <w:t>routine</w:t>
            </w:r>
            <w:r w:rsidR="008F0F1F" w:rsidRPr="002C0429">
              <w:rPr>
                <w:rFonts w:ascii="Arial" w:hAnsi="Arial" w:cs="Arial"/>
                <w:sz w:val="24"/>
                <w:szCs w:val="24"/>
              </w:rPr>
              <w:t xml:space="preserve"> </w:t>
            </w:r>
            <w:r w:rsidR="002A54A1" w:rsidRPr="002C0429">
              <w:rPr>
                <w:rFonts w:ascii="Arial" w:hAnsi="Arial" w:cs="Arial"/>
                <w:sz w:val="24"/>
                <w:szCs w:val="24"/>
              </w:rPr>
              <w:t>quarterly</w:t>
            </w:r>
            <w:r w:rsidR="008F0F1F" w:rsidRPr="002C0429">
              <w:rPr>
                <w:rFonts w:ascii="Arial" w:hAnsi="Arial" w:cs="Arial"/>
                <w:sz w:val="24"/>
                <w:szCs w:val="24"/>
              </w:rPr>
              <w:t xml:space="preserve"> </w:t>
            </w:r>
            <w:r w:rsidR="002A54A1" w:rsidRPr="002C0429">
              <w:rPr>
                <w:rFonts w:ascii="Arial" w:hAnsi="Arial" w:cs="Arial"/>
                <w:sz w:val="24"/>
                <w:szCs w:val="24"/>
              </w:rPr>
              <w:t>Ministerial priority summary overview of performance</w:t>
            </w:r>
            <w:r w:rsidR="008F0F1F" w:rsidRPr="002C0429">
              <w:rPr>
                <w:rFonts w:ascii="Arial" w:hAnsi="Arial" w:cs="Arial"/>
                <w:sz w:val="24"/>
                <w:szCs w:val="24"/>
              </w:rPr>
              <w:t xml:space="preserve"> present</w:t>
            </w:r>
            <w:r w:rsidR="002A54A1" w:rsidRPr="002C0429">
              <w:rPr>
                <w:rFonts w:ascii="Arial" w:hAnsi="Arial" w:cs="Arial"/>
                <w:sz w:val="24"/>
                <w:szCs w:val="24"/>
              </w:rPr>
              <w:t>ed</w:t>
            </w:r>
            <w:r w:rsidR="008F0F1F" w:rsidRPr="002C0429">
              <w:rPr>
                <w:rFonts w:ascii="Arial" w:hAnsi="Arial" w:cs="Arial"/>
                <w:sz w:val="24"/>
                <w:szCs w:val="24"/>
              </w:rPr>
              <w:t xml:space="preserve"> to </w:t>
            </w:r>
            <w:r w:rsidR="002A54A1" w:rsidRPr="002C0429">
              <w:rPr>
                <w:rFonts w:ascii="Arial" w:hAnsi="Arial" w:cs="Arial"/>
                <w:sz w:val="24"/>
                <w:szCs w:val="24"/>
              </w:rPr>
              <w:t>the Board</w:t>
            </w:r>
          </w:p>
        </w:tc>
      </w:tr>
      <w:tr w:rsidR="00306A79" w:rsidRPr="00B1166E" w14:paraId="356C8D67" w14:textId="77777777" w:rsidTr="00604E6F">
        <w:tc>
          <w:tcPr>
            <w:tcW w:w="2470" w:type="dxa"/>
            <w:gridSpan w:val="2"/>
          </w:tcPr>
          <w:p w14:paraId="31982A0C" w14:textId="77777777" w:rsidR="0065520C" w:rsidRPr="002C0429" w:rsidRDefault="0065520C" w:rsidP="001503E7">
            <w:pPr>
              <w:spacing w:after="0" w:line="240" w:lineRule="auto"/>
              <w:rPr>
                <w:rFonts w:ascii="Arial" w:hAnsi="Arial" w:cs="Arial"/>
                <w:b/>
                <w:sz w:val="24"/>
                <w:szCs w:val="24"/>
              </w:rPr>
            </w:pPr>
            <w:r w:rsidRPr="002C0429">
              <w:rPr>
                <w:rFonts w:ascii="Arial" w:hAnsi="Arial" w:cs="Arial"/>
                <w:b/>
                <w:sz w:val="24"/>
                <w:szCs w:val="24"/>
              </w:rPr>
              <w:t>Appendices</w:t>
            </w:r>
          </w:p>
        </w:tc>
        <w:tc>
          <w:tcPr>
            <w:tcW w:w="7023" w:type="dxa"/>
            <w:gridSpan w:val="2"/>
          </w:tcPr>
          <w:p w14:paraId="235DA94D" w14:textId="2049D845" w:rsidR="00F14093" w:rsidRDefault="00B66BE0" w:rsidP="006E1519">
            <w:pPr>
              <w:spacing w:after="0" w:line="240" w:lineRule="auto"/>
              <w:rPr>
                <w:rFonts w:ascii="Arial" w:hAnsi="Arial" w:cs="Arial"/>
                <w:b/>
                <w:bCs/>
                <w:sz w:val="24"/>
                <w:szCs w:val="24"/>
              </w:rPr>
            </w:pPr>
            <w:r w:rsidRPr="002C0429">
              <w:rPr>
                <w:rFonts w:ascii="Arial" w:hAnsi="Arial" w:cs="Arial"/>
                <w:b/>
                <w:bCs/>
                <w:sz w:val="24"/>
                <w:szCs w:val="24"/>
              </w:rPr>
              <w:t>Appendix 1:</w:t>
            </w:r>
            <w:r w:rsidR="00A82661">
              <w:rPr>
                <w:rFonts w:ascii="Arial" w:hAnsi="Arial" w:cs="Arial"/>
                <w:b/>
                <w:bCs/>
                <w:sz w:val="24"/>
                <w:szCs w:val="24"/>
              </w:rPr>
              <w:t xml:space="preserve"> </w:t>
            </w:r>
            <w:r w:rsidR="00A82661" w:rsidRPr="00A82661">
              <w:rPr>
                <w:rFonts w:ascii="Arial" w:hAnsi="Arial" w:cs="Arial"/>
                <w:sz w:val="24"/>
                <w:szCs w:val="24"/>
              </w:rPr>
              <w:t>Health Board Integrated Performance Report</w:t>
            </w:r>
          </w:p>
          <w:p w14:paraId="3591CCDA" w14:textId="002F2931" w:rsidR="00A82661" w:rsidRPr="002C0429" w:rsidRDefault="00A82661" w:rsidP="006E1519">
            <w:pPr>
              <w:spacing w:after="0" w:line="240" w:lineRule="auto"/>
              <w:rPr>
                <w:rFonts w:ascii="Arial" w:hAnsi="Arial" w:cs="Arial"/>
                <w:sz w:val="24"/>
                <w:szCs w:val="24"/>
              </w:rPr>
            </w:pPr>
            <w:r>
              <w:rPr>
                <w:rFonts w:ascii="Arial" w:hAnsi="Arial" w:cs="Arial"/>
                <w:b/>
                <w:bCs/>
                <w:sz w:val="24"/>
                <w:szCs w:val="24"/>
              </w:rPr>
              <w:t xml:space="preserve">Appendix 2: </w:t>
            </w:r>
            <w:r w:rsidRPr="00A82661">
              <w:rPr>
                <w:rFonts w:ascii="Arial" w:hAnsi="Arial" w:cs="Arial"/>
                <w:sz w:val="24"/>
                <w:szCs w:val="24"/>
              </w:rPr>
              <w:t>High Level Plan Overview – Q3</w:t>
            </w:r>
          </w:p>
        </w:tc>
      </w:tr>
    </w:tbl>
    <w:p w14:paraId="207989D4" w14:textId="77777777" w:rsidR="00B6645F" w:rsidRPr="00B1166E" w:rsidRDefault="00B6645F" w:rsidP="00B6645F">
      <w:pPr>
        <w:spacing w:after="0" w:line="240" w:lineRule="auto"/>
        <w:rPr>
          <w:color w:val="FF0000"/>
        </w:rPr>
      </w:pPr>
      <w:bookmarkStart w:id="11" w:name="App2"/>
    </w:p>
    <w:p w14:paraId="71A94295" w14:textId="77777777" w:rsidR="00B6645F" w:rsidRPr="00B1166E" w:rsidRDefault="00B6645F" w:rsidP="00B6645F">
      <w:pPr>
        <w:spacing w:after="0" w:line="240" w:lineRule="auto"/>
        <w:rPr>
          <w:color w:val="FF0000"/>
        </w:rPr>
      </w:pPr>
    </w:p>
    <w:p w14:paraId="056C53A8" w14:textId="77777777" w:rsidR="00F14093" w:rsidRPr="00B1166E" w:rsidRDefault="00F14093">
      <w:pPr>
        <w:spacing w:after="160" w:line="259" w:lineRule="auto"/>
        <w:rPr>
          <w:color w:val="FF0000"/>
        </w:rPr>
      </w:pPr>
      <w:r w:rsidRPr="00B1166E">
        <w:rPr>
          <w:color w:val="FF0000"/>
        </w:rPr>
        <w:br w:type="page"/>
      </w:r>
    </w:p>
    <w:p w14:paraId="27D1FB85" w14:textId="77777777" w:rsidR="00F14093" w:rsidRPr="00B1166E" w:rsidRDefault="00F14093" w:rsidP="00B6645F">
      <w:pPr>
        <w:spacing w:after="0" w:line="240" w:lineRule="auto"/>
        <w:rPr>
          <w:color w:val="FF0000"/>
        </w:rPr>
        <w:sectPr w:rsidR="00F14093" w:rsidRPr="00B1166E" w:rsidSect="007C0F30">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440" w:left="1276" w:header="709" w:footer="187" w:gutter="0"/>
          <w:cols w:space="708"/>
          <w:docGrid w:linePitch="360"/>
        </w:sectPr>
      </w:pPr>
    </w:p>
    <w:p w14:paraId="7ABF5B0A" w14:textId="77777777" w:rsidR="00A82661" w:rsidRDefault="00A82661" w:rsidP="00A82661">
      <w:pPr>
        <w:spacing w:after="0" w:line="240" w:lineRule="auto"/>
        <w:jc w:val="right"/>
        <w:rPr>
          <w:rFonts w:ascii="Arial" w:hAnsi="Arial" w:cs="Arial"/>
          <w:b/>
          <w:sz w:val="32"/>
          <w:szCs w:val="24"/>
        </w:rPr>
      </w:pPr>
      <w:r w:rsidRPr="002C0429">
        <w:rPr>
          <w:rFonts w:ascii="Arial" w:hAnsi="Arial" w:cs="Arial"/>
          <w:b/>
          <w:sz w:val="32"/>
          <w:szCs w:val="24"/>
        </w:rPr>
        <w:lastRenderedPageBreak/>
        <w:t>APPENDIX 2</w:t>
      </w:r>
    </w:p>
    <w:p w14:paraId="1A147789" w14:textId="77777777" w:rsidR="00A82661" w:rsidRPr="002C0429" w:rsidRDefault="00A82661" w:rsidP="00A82661">
      <w:pPr>
        <w:jc w:val="center"/>
        <w:rPr>
          <w:rFonts w:ascii="Arial" w:hAnsi="Arial" w:cs="Arial"/>
          <w:b/>
          <w:u w:val="single"/>
        </w:rPr>
      </w:pPr>
      <w:r w:rsidRPr="002C0429">
        <w:rPr>
          <w:rFonts w:ascii="Arial" w:hAnsi="Arial" w:cs="Arial"/>
          <w:b/>
          <w:u w:val="single"/>
        </w:rPr>
        <w:t>SBUHB ANNUAL PLAN 23/24</w:t>
      </w:r>
    </w:p>
    <w:p w14:paraId="1E3A81A3" w14:textId="77777777" w:rsidR="00A82661" w:rsidRPr="002C0429" w:rsidRDefault="00A82661" w:rsidP="00A82661">
      <w:pPr>
        <w:jc w:val="center"/>
        <w:rPr>
          <w:rFonts w:ascii="Arial" w:hAnsi="Arial" w:cs="Arial"/>
          <w:b/>
          <w:u w:val="single"/>
        </w:rPr>
      </w:pPr>
      <w:r w:rsidRPr="002C0429">
        <w:rPr>
          <w:rFonts w:ascii="Arial" w:hAnsi="Arial" w:cs="Arial"/>
          <w:b/>
          <w:u w:val="single"/>
        </w:rPr>
        <w:t>HIGH LEVEL PLAN OVERVIEW: Q</w:t>
      </w:r>
      <w:r>
        <w:rPr>
          <w:rFonts w:ascii="Arial" w:hAnsi="Arial" w:cs="Arial"/>
          <w:b/>
          <w:u w:val="single"/>
        </w:rPr>
        <w:t>3</w:t>
      </w:r>
      <w:r w:rsidRPr="002C0429">
        <w:rPr>
          <w:rFonts w:ascii="Arial" w:hAnsi="Arial" w:cs="Arial"/>
          <w:b/>
          <w:u w:val="single"/>
        </w:rPr>
        <w:t xml:space="preserve"> REPORTING</w:t>
      </w:r>
    </w:p>
    <w:p w14:paraId="458C0CE7" w14:textId="77777777" w:rsidR="00A82661" w:rsidRPr="00B940E9" w:rsidRDefault="00A82661" w:rsidP="00A82661">
      <w:pPr>
        <w:jc w:val="center"/>
        <w:rPr>
          <w:rFonts w:ascii="Arial" w:hAnsi="Arial" w:cs="Arial"/>
          <w:b/>
          <w:u w:val="single"/>
        </w:rPr>
      </w:pPr>
    </w:p>
    <w:p w14:paraId="28D7C6B9" w14:textId="77777777" w:rsidR="00A82661" w:rsidRPr="00B940E9" w:rsidRDefault="00A82661" w:rsidP="00A82661">
      <w:pPr>
        <w:rPr>
          <w:rFonts w:ascii="Arial" w:hAnsi="Arial" w:cs="Arial"/>
        </w:rPr>
      </w:pPr>
      <w:r w:rsidRPr="00B940E9">
        <w:rPr>
          <w:rFonts w:ascii="Arial" w:hAnsi="Arial" w:cs="Arial"/>
          <w:b/>
        </w:rPr>
        <w:t xml:space="preserve">Purpose: </w:t>
      </w:r>
      <w:r w:rsidRPr="00B940E9">
        <w:rPr>
          <w:rFonts w:ascii="Arial" w:hAnsi="Arial" w:cs="Arial"/>
        </w:rPr>
        <w:t>To provide an update on delivery of the key priorities in the SBUHB Annual Plan 23/24 which align to the Ministerial Priorities for delivery in 23/24. The agreed delivery actions (methods, underpinned by quarterly milestones) and intended performance impact (Year 1 outcome, underpinned by monthly/ quarterly trajectories) have been assessed by SROs using the following definitions:</w:t>
      </w:r>
    </w:p>
    <w:p w14:paraId="78EF61A6" w14:textId="77777777" w:rsidR="00A82661" w:rsidRPr="00B1166E" w:rsidRDefault="00A82661" w:rsidP="00A82661">
      <w:pPr>
        <w:rPr>
          <w:rFonts w:ascii="Arial" w:hAnsi="Arial" w:cs="Arial"/>
          <w:color w:val="FF0000"/>
        </w:rPr>
      </w:pPr>
    </w:p>
    <w:tbl>
      <w:tblPr>
        <w:tblW w:w="5382" w:type="dxa"/>
        <w:tblLook w:val="04A0" w:firstRow="1" w:lastRow="0" w:firstColumn="1" w:lastColumn="0" w:noHBand="0" w:noVBand="1"/>
      </w:tblPr>
      <w:tblGrid>
        <w:gridCol w:w="1316"/>
        <w:gridCol w:w="4111"/>
      </w:tblGrid>
      <w:tr w:rsidR="00A82661" w:rsidRPr="00B1166E" w14:paraId="56ABBBBF" w14:textId="77777777" w:rsidTr="00E23F66">
        <w:trPr>
          <w:trHeight w:val="870"/>
        </w:trPr>
        <w:tc>
          <w:tcPr>
            <w:tcW w:w="127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2821139" w14:textId="77777777" w:rsidR="00A82661" w:rsidRPr="002C0429" w:rsidRDefault="00A82661" w:rsidP="00E23F66">
            <w:pPr>
              <w:spacing w:after="0" w:line="240" w:lineRule="auto"/>
              <w:jc w:val="center"/>
              <w:rPr>
                <w:rFonts w:ascii="Arial" w:eastAsia="Times New Roman" w:hAnsi="Arial" w:cs="Arial"/>
                <w:b/>
                <w:bCs/>
                <w:u w:val="single"/>
                <w:lang w:eastAsia="en-GB"/>
              </w:rPr>
            </w:pPr>
            <w:r w:rsidRPr="002C0429">
              <w:rPr>
                <w:rFonts w:ascii="Arial" w:eastAsia="Times New Roman" w:hAnsi="Arial" w:cs="Arial"/>
                <w:b/>
                <w:bCs/>
                <w:u w:val="single"/>
                <w:lang w:eastAsia="en-GB"/>
              </w:rPr>
              <w:t>METHODS RAG STATUS:</w:t>
            </w:r>
          </w:p>
        </w:tc>
        <w:tc>
          <w:tcPr>
            <w:tcW w:w="4111" w:type="dxa"/>
            <w:tcBorders>
              <w:top w:val="single" w:sz="4" w:space="0" w:color="000000"/>
              <w:left w:val="nil"/>
              <w:bottom w:val="single" w:sz="4" w:space="0" w:color="000000"/>
              <w:right w:val="single" w:sz="4" w:space="0" w:color="000000"/>
            </w:tcBorders>
            <w:shd w:val="clear" w:color="auto" w:fill="auto"/>
            <w:noWrap/>
            <w:vAlign w:val="center"/>
            <w:hideMark/>
          </w:tcPr>
          <w:p w14:paraId="22DB6B2F" w14:textId="77777777" w:rsidR="00A82661" w:rsidRPr="002C0429" w:rsidRDefault="00A82661" w:rsidP="00E23F66">
            <w:pPr>
              <w:spacing w:after="0" w:line="240" w:lineRule="auto"/>
              <w:rPr>
                <w:rFonts w:ascii="Arial" w:eastAsia="Times New Roman" w:hAnsi="Arial" w:cs="Arial"/>
                <w:b/>
                <w:bCs/>
                <w:u w:val="single"/>
                <w:lang w:eastAsia="en-GB"/>
              </w:rPr>
            </w:pPr>
            <w:r w:rsidRPr="002C0429">
              <w:rPr>
                <w:rFonts w:ascii="Arial" w:eastAsia="Times New Roman" w:hAnsi="Arial" w:cs="Arial"/>
                <w:b/>
                <w:bCs/>
                <w:u w:val="single"/>
                <w:lang w:eastAsia="en-GB"/>
              </w:rPr>
              <w:t>Definitions</w:t>
            </w:r>
          </w:p>
        </w:tc>
      </w:tr>
      <w:tr w:rsidR="00A82661" w:rsidRPr="00B1166E" w14:paraId="42F6B912" w14:textId="77777777" w:rsidTr="00E23F66">
        <w:trPr>
          <w:trHeight w:val="600"/>
        </w:trPr>
        <w:tc>
          <w:tcPr>
            <w:tcW w:w="1271" w:type="dxa"/>
            <w:tcBorders>
              <w:top w:val="nil"/>
              <w:left w:val="single" w:sz="4" w:space="0" w:color="000000"/>
              <w:bottom w:val="single" w:sz="4" w:space="0" w:color="000000"/>
              <w:right w:val="single" w:sz="4" w:space="0" w:color="000000"/>
            </w:tcBorders>
            <w:shd w:val="clear" w:color="000000" w:fill="00B050"/>
            <w:noWrap/>
            <w:vAlign w:val="center"/>
            <w:hideMark/>
          </w:tcPr>
          <w:p w14:paraId="154E67C7" w14:textId="77777777" w:rsidR="00A82661" w:rsidRPr="002C0429" w:rsidRDefault="00A82661" w:rsidP="00E23F66">
            <w:pPr>
              <w:spacing w:after="0" w:line="240" w:lineRule="auto"/>
              <w:jc w:val="center"/>
              <w:rPr>
                <w:rFonts w:ascii="Arial" w:eastAsia="Times New Roman" w:hAnsi="Arial" w:cs="Arial"/>
                <w:b/>
                <w:bCs/>
                <w:lang w:eastAsia="en-GB"/>
              </w:rPr>
            </w:pPr>
            <w:r w:rsidRPr="002C0429">
              <w:rPr>
                <w:rFonts w:ascii="Arial" w:eastAsia="Times New Roman" w:hAnsi="Arial" w:cs="Arial"/>
                <w:b/>
                <w:bCs/>
                <w:lang w:eastAsia="en-GB"/>
              </w:rPr>
              <w:t>Green</w:t>
            </w:r>
          </w:p>
        </w:tc>
        <w:tc>
          <w:tcPr>
            <w:tcW w:w="4111" w:type="dxa"/>
            <w:tcBorders>
              <w:top w:val="nil"/>
              <w:left w:val="nil"/>
              <w:bottom w:val="single" w:sz="4" w:space="0" w:color="000000"/>
              <w:right w:val="single" w:sz="4" w:space="0" w:color="000000"/>
            </w:tcBorders>
            <w:shd w:val="clear" w:color="auto" w:fill="auto"/>
            <w:hideMark/>
          </w:tcPr>
          <w:p w14:paraId="7BF00B84" w14:textId="77777777" w:rsidR="00A82661" w:rsidRPr="002C0429" w:rsidRDefault="00A82661" w:rsidP="00E23F66">
            <w:pPr>
              <w:spacing w:after="0" w:line="240" w:lineRule="auto"/>
              <w:rPr>
                <w:rFonts w:ascii="Arial" w:eastAsia="Times New Roman" w:hAnsi="Arial" w:cs="Arial"/>
                <w:lang w:eastAsia="en-GB"/>
              </w:rPr>
            </w:pPr>
            <w:r w:rsidRPr="002C0429">
              <w:rPr>
                <w:rFonts w:ascii="Arial" w:eastAsia="Times New Roman" w:hAnsi="Arial" w:cs="Arial"/>
                <w:b/>
                <w:bCs/>
                <w:lang w:eastAsia="en-GB"/>
              </w:rPr>
              <w:t xml:space="preserve">ON TRACK </w:t>
            </w:r>
            <w:r w:rsidRPr="002C0429">
              <w:rPr>
                <w:rFonts w:ascii="Arial" w:eastAsia="Times New Roman" w:hAnsi="Arial" w:cs="Arial"/>
                <w:lang w:eastAsia="en-GB"/>
              </w:rPr>
              <w:t>- Action progressing as planned and to agreed timelines</w:t>
            </w:r>
          </w:p>
        </w:tc>
      </w:tr>
      <w:tr w:rsidR="00A82661" w:rsidRPr="00B1166E" w14:paraId="78C9E326" w14:textId="77777777" w:rsidTr="00E23F66">
        <w:trPr>
          <w:trHeight w:val="1020"/>
        </w:trPr>
        <w:tc>
          <w:tcPr>
            <w:tcW w:w="1271" w:type="dxa"/>
            <w:tcBorders>
              <w:top w:val="nil"/>
              <w:left w:val="single" w:sz="4" w:space="0" w:color="000000"/>
              <w:bottom w:val="single" w:sz="4" w:space="0" w:color="000000"/>
              <w:right w:val="single" w:sz="4" w:space="0" w:color="000000"/>
            </w:tcBorders>
            <w:shd w:val="clear" w:color="000000" w:fill="FFC000"/>
            <w:vAlign w:val="center"/>
            <w:hideMark/>
          </w:tcPr>
          <w:p w14:paraId="0E26B398" w14:textId="77777777" w:rsidR="00A82661" w:rsidRPr="002C0429" w:rsidRDefault="00A82661" w:rsidP="00E23F66">
            <w:pPr>
              <w:spacing w:after="0" w:line="240" w:lineRule="auto"/>
              <w:jc w:val="center"/>
              <w:rPr>
                <w:rFonts w:ascii="Arial" w:eastAsia="Times New Roman" w:hAnsi="Arial" w:cs="Arial"/>
                <w:b/>
                <w:bCs/>
                <w:lang w:eastAsia="en-GB"/>
              </w:rPr>
            </w:pPr>
            <w:r w:rsidRPr="002C0429">
              <w:rPr>
                <w:rFonts w:ascii="Arial" w:eastAsia="Times New Roman" w:hAnsi="Arial" w:cs="Arial"/>
                <w:b/>
                <w:bCs/>
                <w:lang w:eastAsia="en-GB"/>
              </w:rPr>
              <w:t>Amber</w:t>
            </w:r>
          </w:p>
        </w:tc>
        <w:tc>
          <w:tcPr>
            <w:tcW w:w="4111" w:type="dxa"/>
            <w:tcBorders>
              <w:top w:val="nil"/>
              <w:left w:val="nil"/>
              <w:bottom w:val="single" w:sz="4" w:space="0" w:color="000000"/>
              <w:right w:val="single" w:sz="4" w:space="0" w:color="000000"/>
            </w:tcBorders>
            <w:shd w:val="clear" w:color="auto" w:fill="auto"/>
            <w:vAlign w:val="bottom"/>
            <w:hideMark/>
          </w:tcPr>
          <w:p w14:paraId="7DC48FB4" w14:textId="77777777" w:rsidR="00A82661" w:rsidRPr="002C0429" w:rsidRDefault="00A82661" w:rsidP="00E23F66">
            <w:pPr>
              <w:spacing w:after="0" w:line="240" w:lineRule="auto"/>
              <w:rPr>
                <w:rFonts w:ascii="Arial" w:eastAsia="Times New Roman" w:hAnsi="Arial" w:cs="Arial"/>
                <w:lang w:eastAsia="en-GB"/>
              </w:rPr>
            </w:pPr>
            <w:r w:rsidRPr="002C0429">
              <w:rPr>
                <w:rFonts w:ascii="Arial" w:eastAsia="Times New Roman" w:hAnsi="Arial" w:cs="Arial"/>
                <w:b/>
                <w:bCs/>
                <w:lang w:eastAsia="en-GB"/>
              </w:rPr>
              <w:t>OFF TRACK</w:t>
            </w:r>
            <w:r w:rsidRPr="002C0429">
              <w:rPr>
                <w:rFonts w:ascii="Arial" w:eastAsia="Times New Roman" w:hAnsi="Arial" w:cs="Arial"/>
                <w:lang w:eastAsia="en-GB"/>
              </w:rPr>
              <w:t xml:space="preserve"> - action not progressing as planned/ to original timelines, however this is manageable and mitigating actions are in place</w:t>
            </w:r>
          </w:p>
        </w:tc>
      </w:tr>
      <w:tr w:rsidR="00A82661" w:rsidRPr="00B1166E" w14:paraId="62F76ADB" w14:textId="77777777" w:rsidTr="00E23F66">
        <w:trPr>
          <w:trHeight w:val="900"/>
        </w:trPr>
        <w:tc>
          <w:tcPr>
            <w:tcW w:w="1271" w:type="dxa"/>
            <w:tcBorders>
              <w:top w:val="nil"/>
              <w:left w:val="single" w:sz="4" w:space="0" w:color="000000"/>
              <w:bottom w:val="single" w:sz="4" w:space="0" w:color="000000"/>
              <w:right w:val="single" w:sz="4" w:space="0" w:color="000000"/>
            </w:tcBorders>
            <w:shd w:val="clear" w:color="000000" w:fill="FF0000"/>
            <w:noWrap/>
            <w:vAlign w:val="center"/>
            <w:hideMark/>
          </w:tcPr>
          <w:p w14:paraId="741C2542" w14:textId="77777777" w:rsidR="00A82661" w:rsidRPr="002C0429" w:rsidRDefault="00A82661" w:rsidP="00E23F66">
            <w:pPr>
              <w:spacing w:after="0" w:line="240" w:lineRule="auto"/>
              <w:jc w:val="center"/>
              <w:rPr>
                <w:rFonts w:ascii="Arial" w:eastAsia="Times New Roman" w:hAnsi="Arial" w:cs="Arial"/>
                <w:b/>
                <w:bCs/>
                <w:lang w:eastAsia="en-GB"/>
              </w:rPr>
            </w:pPr>
            <w:r w:rsidRPr="002C0429">
              <w:rPr>
                <w:rFonts w:ascii="Arial" w:eastAsia="Times New Roman" w:hAnsi="Arial" w:cs="Arial"/>
                <w:b/>
                <w:bCs/>
                <w:lang w:eastAsia="en-GB"/>
              </w:rPr>
              <w:t>Red</w:t>
            </w:r>
          </w:p>
        </w:tc>
        <w:tc>
          <w:tcPr>
            <w:tcW w:w="4111" w:type="dxa"/>
            <w:tcBorders>
              <w:top w:val="nil"/>
              <w:left w:val="nil"/>
              <w:bottom w:val="single" w:sz="4" w:space="0" w:color="000000"/>
              <w:right w:val="single" w:sz="4" w:space="0" w:color="000000"/>
            </w:tcBorders>
            <w:shd w:val="clear" w:color="auto" w:fill="auto"/>
            <w:hideMark/>
          </w:tcPr>
          <w:p w14:paraId="76CE49F0" w14:textId="77777777" w:rsidR="00A82661" w:rsidRPr="002C0429" w:rsidRDefault="00A82661" w:rsidP="00E23F66">
            <w:pPr>
              <w:spacing w:after="0" w:line="240" w:lineRule="auto"/>
              <w:rPr>
                <w:rFonts w:ascii="Arial" w:eastAsia="Times New Roman" w:hAnsi="Arial" w:cs="Arial"/>
                <w:lang w:eastAsia="en-GB"/>
              </w:rPr>
            </w:pPr>
            <w:r w:rsidRPr="002C0429">
              <w:rPr>
                <w:rFonts w:ascii="Arial" w:eastAsia="Times New Roman" w:hAnsi="Arial" w:cs="Arial"/>
                <w:b/>
                <w:bCs/>
                <w:lang w:eastAsia="en-GB"/>
              </w:rPr>
              <w:t xml:space="preserve">OFF TRACK </w:t>
            </w:r>
            <w:r w:rsidRPr="002C0429">
              <w:rPr>
                <w:rFonts w:ascii="Arial" w:eastAsia="Times New Roman" w:hAnsi="Arial" w:cs="Arial"/>
                <w:lang w:eastAsia="en-GB"/>
              </w:rPr>
              <w:t xml:space="preserve">- action not progressing as planned/ to original timelines, there are significant issues which require escalating </w:t>
            </w:r>
          </w:p>
        </w:tc>
      </w:tr>
    </w:tbl>
    <w:p w14:paraId="48CB3856" w14:textId="77777777" w:rsidR="00A82661" w:rsidRPr="00B1166E" w:rsidRDefault="00A82661" w:rsidP="00A82661">
      <w:pPr>
        <w:rPr>
          <w:rFonts w:ascii="Arial" w:hAnsi="Arial" w:cs="Arial"/>
          <w:color w:val="FF0000"/>
        </w:rPr>
      </w:pPr>
    </w:p>
    <w:p w14:paraId="373D20D9" w14:textId="77777777" w:rsidR="00A82661" w:rsidRPr="00B940E9" w:rsidRDefault="00A82661" w:rsidP="00A82661">
      <w:pPr>
        <w:rPr>
          <w:rFonts w:ascii="Arial" w:hAnsi="Arial" w:cs="Arial"/>
        </w:rPr>
      </w:pPr>
      <w:r w:rsidRPr="00B940E9">
        <w:rPr>
          <w:rFonts w:ascii="Arial" w:hAnsi="Arial" w:cs="Arial"/>
        </w:rPr>
        <w:t>Q</w:t>
      </w:r>
      <w:r>
        <w:rPr>
          <w:rFonts w:ascii="Arial" w:hAnsi="Arial" w:cs="Arial"/>
        </w:rPr>
        <w:t>3</w:t>
      </w:r>
      <w:r w:rsidRPr="00B940E9">
        <w:rPr>
          <w:rFonts w:ascii="Arial" w:hAnsi="Arial" w:cs="Arial"/>
        </w:rPr>
        <w:t xml:space="preserve"> Reporting of all Year 1 GMOs as stated in the Annual Plan 23/24 was provided to Management Board on </w:t>
      </w:r>
      <w:r>
        <w:rPr>
          <w:rFonts w:ascii="Arial" w:hAnsi="Arial" w:cs="Arial"/>
        </w:rPr>
        <w:t>21</w:t>
      </w:r>
      <w:r w:rsidRPr="0010452B">
        <w:rPr>
          <w:rFonts w:ascii="Arial" w:hAnsi="Arial" w:cs="Arial"/>
          <w:vertAlign w:val="superscript"/>
        </w:rPr>
        <w:t>st</w:t>
      </w:r>
      <w:r>
        <w:rPr>
          <w:rFonts w:ascii="Arial" w:hAnsi="Arial" w:cs="Arial"/>
        </w:rPr>
        <w:t xml:space="preserve"> February 2024</w:t>
      </w:r>
      <w:r w:rsidRPr="00B940E9">
        <w:rPr>
          <w:rFonts w:ascii="Arial" w:hAnsi="Arial" w:cs="Arial"/>
        </w:rPr>
        <w:t>, Performance &amp; Finance Committee on 2</w:t>
      </w:r>
      <w:r>
        <w:rPr>
          <w:rFonts w:ascii="Arial" w:hAnsi="Arial" w:cs="Arial"/>
        </w:rPr>
        <w:t>7</w:t>
      </w:r>
      <w:r w:rsidRPr="00B940E9">
        <w:rPr>
          <w:rFonts w:ascii="Arial" w:hAnsi="Arial" w:cs="Arial"/>
          <w:vertAlign w:val="superscript"/>
        </w:rPr>
        <w:t>th</w:t>
      </w:r>
      <w:r w:rsidRPr="00B940E9">
        <w:rPr>
          <w:rFonts w:ascii="Arial" w:hAnsi="Arial" w:cs="Arial"/>
        </w:rPr>
        <w:t xml:space="preserve"> </w:t>
      </w:r>
      <w:r>
        <w:rPr>
          <w:rFonts w:ascii="Arial" w:hAnsi="Arial" w:cs="Arial"/>
        </w:rPr>
        <w:t>February 2024</w:t>
      </w:r>
      <w:r w:rsidRPr="00B940E9">
        <w:rPr>
          <w:rFonts w:ascii="Arial" w:hAnsi="Arial" w:cs="Arial"/>
        </w:rPr>
        <w:t xml:space="preserve"> and Board on </w:t>
      </w:r>
      <w:r>
        <w:rPr>
          <w:rFonts w:ascii="Arial" w:hAnsi="Arial" w:cs="Arial"/>
        </w:rPr>
        <w:t>28</w:t>
      </w:r>
      <w:r w:rsidRPr="00B940E9">
        <w:rPr>
          <w:rFonts w:ascii="Arial" w:hAnsi="Arial" w:cs="Arial"/>
          <w:vertAlign w:val="superscript"/>
        </w:rPr>
        <w:t>th</w:t>
      </w:r>
      <w:r w:rsidRPr="00B940E9">
        <w:rPr>
          <w:rFonts w:ascii="Arial" w:hAnsi="Arial" w:cs="Arial"/>
        </w:rPr>
        <w:t xml:space="preserve"> </w:t>
      </w:r>
      <w:r>
        <w:rPr>
          <w:rFonts w:ascii="Arial" w:hAnsi="Arial" w:cs="Arial"/>
        </w:rPr>
        <w:t>March</w:t>
      </w:r>
      <w:r w:rsidRPr="00B940E9">
        <w:rPr>
          <w:rFonts w:ascii="Arial" w:hAnsi="Arial" w:cs="Arial"/>
        </w:rPr>
        <w:t xml:space="preserve"> 202</w:t>
      </w:r>
      <w:r>
        <w:rPr>
          <w:rFonts w:ascii="Arial" w:hAnsi="Arial" w:cs="Arial"/>
        </w:rPr>
        <w:t>4</w:t>
      </w:r>
      <w:r w:rsidRPr="00B940E9">
        <w:rPr>
          <w:rFonts w:ascii="Arial" w:hAnsi="Arial" w:cs="Arial"/>
        </w:rPr>
        <w:t xml:space="preserve"> for assurance on overall delivery of the plan.</w:t>
      </w:r>
    </w:p>
    <w:p w14:paraId="3F21E3FF" w14:textId="77777777" w:rsidR="00A82661" w:rsidRPr="00B940E9" w:rsidRDefault="00A82661" w:rsidP="00A82661">
      <w:pPr>
        <w:spacing w:after="160" w:line="259" w:lineRule="auto"/>
        <w:rPr>
          <w:rFonts w:ascii="Arial" w:hAnsi="Arial" w:cs="Arial"/>
        </w:rPr>
      </w:pPr>
      <w:r w:rsidRPr="00B940E9">
        <w:rPr>
          <w:rFonts w:ascii="Arial" w:hAnsi="Arial" w:cs="Arial"/>
        </w:rPr>
        <w:br w:type="page"/>
      </w:r>
    </w:p>
    <w:p w14:paraId="12348C33" w14:textId="77777777" w:rsidR="00A82661" w:rsidRPr="00B940E9" w:rsidRDefault="00A82661" w:rsidP="00A82661">
      <w:pPr>
        <w:rPr>
          <w:rFonts w:ascii="Arial" w:hAnsi="Arial" w:cs="Arial"/>
          <w:b/>
        </w:rPr>
      </w:pPr>
      <w:r w:rsidRPr="00B940E9">
        <w:rPr>
          <w:rFonts w:ascii="Arial" w:hAnsi="Arial" w:cs="Arial"/>
          <w:b/>
        </w:rPr>
        <w:lastRenderedPageBreak/>
        <w:t>PRIORITY 1: UEC - AMBULANCE HANDOVERS AND ED PERFORMANCE</w:t>
      </w:r>
    </w:p>
    <w:tbl>
      <w:tblPr>
        <w:tblStyle w:val="TableGrid1"/>
        <w:tblW w:w="5029" w:type="pct"/>
        <w:tblLook w:val="04A0" w:firstRow="1" w:lastRow="0" w:firstColumn="1" w:lastColumn="0" w:noHBand="0" w:noVBand="1"/>
      </w:tblPr>
      <w:tblGrid>
        <w:gridCol w:w="1855"/>
        <w:gridCol w:w="3217"/>
        <w:gridCol w:w="2908"/>
        <w:gridCol w:w="2615"/>
        <w:gridCol w:w="3742"/>
      </w:tblGrid>
      <w:tr w:rsidR="00A82661" w:rsidRPr="00B940E9" w14:paraId="6C60EDC1" w14:textId="77777777" w:rsidTr="00E23F66">
        <w:tc>
          <w:tcPr>
            <w:tcW w:w="647" w:type="pct"/>
            <w:vMerge w:val="restart"/>
            <w:shd w:val="clear" w:color="auto" w:fill="B8CCE4" w:themeFill="accent1" w:themeFillTint="66"/>
          </w:tcPr>
          <w:p w14:paraId="04F33CD9" w14:textId="77777777" w:rsidR="00A82661" w:rsidRPr="00B940E9" w:rsidRDefault="00A82661" w:rsidP="00E23F66">
            <w:pPr>
              <w:jc w:val="center"/>
              <w:rPr>
                <w:rFonts w:ascii="Arial" w:hAnsi="Arial" w:cs="Arial"/>
                <w:b/>
              </w:rPr>
            </w:pPr>
            <w:r w:rsidRPr="00B940E9">
              <w:rPr>
                <w:rFonts w:ascii="Arial" w:hAnsi="Arial" w:cs="Arial"/>
                <w:b/>
              </w:rPr>
              <w:t>Ministerial Priorities:</w:t>
            </w:r>
          </w:p>
        </w:tc>
        <w:tc>
          <w:tcPr>
            <w:tcW w:w="4343" w:type="pct"/>
            <w:gridSpan w:val="4"/>
            <w:shd w:val="clear" w:color="auto" w:fill="DBE5F1" w:themeFill="accent1" w:themeFillTint="33"/>
          </w:tcPr>
          <w:p w14:paraId="02720CC7" w14:textId="77777777" w:rsidR="00A82661" w:rsidRPr="00B940E9" w:rsidRDefault="00A82661" w:rsidP="00E23F66">
            <w:pPr>
              <w:rPr>
                <w:rFonts w:ascii="Arial" w:hAnsi="Arial" w:cs="Arial"/>
                <w:b/>
                <w:i/>
                <w:iCs/>
              </w:rPr>
            </w:pPr>
            <w:r w:rsidRPr="00B940E9">
              <w:rPr>
                <w:rFonts w:ascii="Arial" w:hAnsi="Arial" w:cs="Arial"/>
                <w:b/>
              </w:rPr>
              <w:t>Implementation of a 24/7 urgent care service, accessible via NHS 111 Wales to support improved access and GMS sustainability</w:t>
            </w:r>
          </w:p>
        </w:tc>
      </w:tr>
      <w:tr w:rsidR="00A82661" w:rsidRPr="00B940E9" w14:paraId="08FA0510" w14:textId="77777777" w:rsidTr="00E23F66">
        <w:tc>
          <w:tcPr>
            <w:tcW w:w="647" w:type="pct"/>
            <w:vMerge/>
            <w:shd w:val="clear" w:color="auto" w:fill="B8CCE4" w:themeFill="accent1" w:themeFillTint="66"/>
          </w:tcPr>
          <w:p w14:paraId="5D8DFF8C" w14:textId="77777777" w:rsidR="00A82661" w:rsidRPr="00B940E9" w:rsidRDefault="00A82661" w:rsidP="00E23F66">
            <w:pPr>
              <w:jc w:val="center"/>
              <w:rPr>
                <w:rFonts w:ascii="Arial" w:hAnsi="Arial" w:cs="Arial"/>
                <w:b/>
              </w:rPr>
            </w:pPr>
          </w:p>
        </w:tc>
        <w:tc>
          <w:tcPr>
            <w:tcW w:w="4343" w:type="pct"/>
            <w:gridSpan w:val="4"/>
            <w:shd w:val="clear" w:color="auto" w:fill="DBE5F1" w:themeFill="accent1" w:themeFillTint="33"/>
          </w:tcPr>
          <w:p w14:paraId="2B918723" w14:textId="77777777" w:rsidR="00A82661" w:rsidRPr="00B940E9" w:rsidRDefault="00A82661" w:rsidP="00E23F66">
            <w:pPr>
              <w:rPr>
                <w:rFonts w:ascii="Arial" w:hAnsi="Arial" w:cs="Arial"/>
                <w:b/>
                <w:i/>
                <w:iCs/>
              </w:rPr>
            </w:pPr>
            <w:r w:rsidRPr="00B940E9">
              <w:rPr>
                <w:rFonts w:ascii="Arial" w:hAnsi="Arial" w:cs="Arial"/>
                <w:b/>
              </w:rPr>
              <w:t>Implementation of Same Day Emergency Care services</w:t>
            </w:r>
          </w:p>
        </w:tc>
      </w:tr>
      <w:tr w:rsidR="00A82661" w:rsidRPr="00B940E9" w14:paraId="268D5B00" w14:textId="77777777" w:rsidTr="00E23F66">
        <w:tc>
          <w:tcPr>
            <w:tcW w:w="647" w:type="pct"/>
            <w:vMerge/>
            <w:shd w:val="clear" w:color="auto" w:fill="B8CCE4" w:themeFill="accent1" w:themeFillTint="66"/>
          </w:tcPr>
          <w:p w14:paraId="7AA0E4E4" w14:textId="77777777" w:rsidR="00A82661" w:rsidRPr="00B940E9" w:rsidRDefault="00A82661" w:rsidP="00E23F66">
            <w:pPr>
              <w:jc w:val="center"/>
              <w:rPr>
                <w:rFonts w:ascii="Arial" w:hAnsi="Arial" w:cs="Arial"/>
                <w:b/>
              </w:rPr>
            </w:pPr>
          </w:p>
        </w:tc>
        <w:tc>
          <w:tcPr>
            <w:tcW w:w="4343" w:type="pct"/>
            <w:gridSpan w:val="4"/>
            <w:shd w:val="clear" w:color="auto" w:fill="DBE5F1" w:themeFill="accent1" w:themeFillTint="33"/>
          </w:tcPr>
          <w:p w14:paraId="0979F3DF" w14:textId="77777777" w:rsidR="00A82661" w:rsidRPr="00B940E9" w:rsidRDefault="00A82661" w:rsidP="00E23F66">
            <w:pPr>
              <w:rPr>
                <w:rFonts w:ascii="Arial" w:hAnsi="Arial" w:cs="Arial"/>
                <w:b/>
              </w:rPr>
            </w:pPr>
            <w:r w:rsidRPr="00B940E9">
              <w:rPr>
                <w:rFonts w:ascii="Arial" w:hAnsi="Arial" w:cs="Arial"/>
                <w:b/>
              </w:rPr>
              <w:t>Health boards must honour commitments that have been made to reduce handover waits</w:t>
            </w:r>
          </w:p>
        </w:tc>
      </w:tr>
      <w:tr w:rsidR="00A82661" w:rsidRPr="00B1166E" w14:paraId="4FD97D00" w14:textId="77777777" w:rsidTr="00E23F66">
        <w:trPr>
          <w:trHeight w:val="3600"/>
        </w:trPr>
        <w:tc>
          <w:tcPr>
            <w:tcW w:w="647" w:type="pct"/>
            <w:shd w:val="clear" w:color="auto" w:fill="B8CCE4" w:themeFill="accent1" w:themeFillTint="66"/>
          </w:tcPr>
          <w:p w14:paraId="17E8D031" w14:textId="77777777" w:rsidR="00A82661" w:rsidRPr="00B940E9" w:rsidRDefault="00A82661" w:rsidP="00E23F66">
            <w:pPr>
              <w:jc w:val="center"/>
              <w:rPr>
                <w:rFonts w:ascii="Arial" w:hAnsi="Arial" w:cs="Arial"/>
                <w:b/>
                <w:bCs/>
              </w:rPr>
            </w:pPr>
            <w:r w:rsidRPr="00B940E9">
              <w:rPr>
                <w:rFonts w:ascii="Arial" w:hAnsi="Arial" w:cs="Arial"/>
                <w:b/>
                <w:bCs/>
              </w:rPr>
              <w:t>Goals and Vision</w:t>
            </w:r>
          </w:p>
        </w:tc>
        <w:tc>
          <w:tcPr>
            <w:tcW w:w="4343" w:type="pct"/>
            <w:gridSpan w:val="4"/>
            <w:shd w:val="clear" w:color="auto" w:fill="auto"/>
          </w:tcPr>
          <w:p w14:paraId="59879C53" w14:textId="77777777" w:rsidR="00A82661" w:rsidRPr="00E911D4" w:rsidRDefault="00A82661" w:rsidP="00E23F66">
            <w:pPr>
              <w:rPr>
                <w:rFonts w:ascii="Arial" w:hAnsi="Arial" w:cs="Arial"/>
                <w:b/>
                <w:iCs/>
              </w:rPr>
            </w:pPr>
            <w:r w:rsidRPr="00E911D4">
              <w:rPr>
                <w:rFonts w:ascii="Arial" w:hAnsi="Arial" w:cs="Arial"/>
                <w:b/>
                <w:iCs/>
              </w:rPr>
              <w:t xml:space="preserve">Reduce ambulance waits and improve 4/12 hr performance in ED. </w:t>
            </w:r>
          </w:p>
          <w:p w14:paraId="428502A8" w14:textId="77777777" w:rsidR="00A82661" w:rsidRPr="00E911D4" w:rsidRDefault="00A82661" w:rsidP="00E23F66">
            <w:pPr>
              <w:rPr>
                <w:rFonts w:ascii="Arial" w:hAnsi="Arial" w:cs="Arial"/>
                <w:iCs/>
              </w:rPr>
            </w:pPr>
            <w:r w:rsidRPr="00E911D4">
              <w:rPr>
                <w:rFonts w:ascii="Arial" w:hAnsi="Arial" w:cs="Arial"/>
                <w:iCs/>
              </w:rPr>
              <w:t xml:space="preserve">This is aligned to the national Six Goals of Urgent and Emergency Care [UEC] in which the overall vision is to create ‘one urgent and emergency care system’ which clearly supports patients and communities in knowing where and when they can get the care they need in an emergency. This will be achieved through consistent and integrated delivery of the Six Goals to help achieve the best possible clinical outcomes, value and experience for patients and staff involved in the delivery of care. </w:t>
            </w:r>
          </w:p>
          <w:p w14:paraId="03C3AD18" w14:textId="77777777" w:rsidR="00A82661" w:rsidRPr="00E911D4" w:rsidRDefault="00A82661" w:rsidP="00E23F66">
            <w:pPr>
              <w:rPr>
                <w:rFonts w:ascii="Arial" w:hAnsi="Arial" w:cs="Arial"/>
                <w:iCs/>
              </w:rPr>
            </w:pPr>
            <w:r w:rsidRPr="00E911D4">
              <w:rPr>
                <w:rFonts w:ascii="Arial" w:hAnsi="Arial" w:cs="Arial"/>
                <w:iCs/>
              </w:rPr>
              <w:t xml:space="preserve">The Goals focus on: </w:t>
            </w:r>
          </w:p>
          <w:p w14:paraId="04D41ED4" w14:textId="77777777" w:rsidR="00A82661" w:rsidRPr="00E911D4" w:rsidRDefault="00A82661" w:rsidP="00A82661">
            <w:pPr>
              <w:pStyle w:val="ListParagraph"/>
              <w:numPr>
                <w:ilvl w:val="0"/>
                <w:numId w:val="16"/>
              </w:numPr>
              <w:spacing w:after="0" w:line="240" w:lineRule="auto"/>
              <w:rPr>
                <w:rFonts w:ascii="Arial" w:hAnsi="Arial" w:cs="Arial"/>
                <w:iCs/>
              </w:rPr>
            </w:pPr>
            <w:r w:rsidRPr="00E911D4">
              <w:rPr>
                <w:rFonts w:ascii="Arial" w:eastAsiaTheme="minorEastAsia" w:hAnsi="Arial" w:cs="Arial"/>
                <w:iCs/>
              </w:rPr>
              <w:t xml:space="preserve">Co-ordinated planning and support for populations at greater risk of needing UEC; </w:t>
            </w:r>
          </w:p>
          <w:p w14:paraId="58AF6BD4" w14:textId="77777777" w:rsidR="00A82661" w:rsidRPr="00E911D4" w:rsidRDefault="00A82661" w:rsidP="00A82661">
            <w:pPr>
              <w:pStyle w:val="ListParagraph"/>
              <w:numPr>
                <w:ilvl w:val="0"/>
                <w:numId w:val="16"/>
              </w:numPr>
              <w:spacing w:after="0" w:line="240" w:lineRule="auto"/>
              <w:rPr>
                <w:rFonts w:ascii="Arial" w:hAnsi="Arial" w:cs="Arial"/>
                <w:iCs/>
              </w:rPr>
            </w:pPr>
            <w:r w:rsidRPr="00E911D4">
              <w:rPr>
                <w:rFonts w:ascii="Arial" w:eastAsiaTheme="minorEastAsia" w:hAnsi="Arial" w:cs="Arial"/>
                <w:iCs/>
              </w:rPr>
              <w:t xml:space="preserve">Signposting people with UEC needs to the right place, first time; </w:t>
            </w:r>
          </w:p>
          <w:p w14:paraId="5CC8826D" w14:textId="77777777" w:rsidR="00A82661" w:rsidRPr="00E911D4" w:rsidRDefault="00A82661" w:rsidP="00A82661">
            <w:pPr>
              <w:pStyle w:val="ListParagraph"/>
              <w:numPr>
                <w:ilvl w:val="0"/>
                <w:numId w:val="16"/>
              </w:numPr>
              <w:spacing w:after="0" w:line="240" w:lineRule="auto"/>
              <w:rPr>
                <w:rFonts w:ascii="Arial" w:hAnsi="Arial" w:cs="Arial"/>
                <w:iCs/>
              </w:rPr>
            </w:pPr>
            <w:r w:rsidRPr="00E911D4">
              <w:rPr>
                <w:rFonts w:ascii="Arial" w:eastAsiaTheme="minorEastAsia" w:hAnsi="Arial" w:cs="Arial"/>
                <w:iCs/>
              </w:rPr>
              <w:t xml:space="preserve">Clinically safe alternatives to hospital; Rapid response in a physical or mental health crisis; </w:t>
            </w:r>
          </w:p>
          <w:p w14:paraId="13406458" w14:textId="77777777" w:rsidR="00A82661" w:rsidRPr="00E911D4" w:rsidRDefault="00A82661" w:rsidP="00A82661">
            <w:pPr>
              <w:pStyle w:val="ListParagraph"/>
              <w:numPr>
                <w:ilvl w:val="0"/>
                <w:numId w:val="16"/>
              </w:numPr>
              <w:spacing w:after="0" w:line="240" w:lineRule="auto"/>
              <w:rPr>
                <w:rFonts w:ascii="Arial" w:hAnsi="Arial" w:cs="Arial"/>
                <w:iCs/>
              </w:rPr>
            </w:pPr>
            <w:r w:rsidRPr="00E911D4">
              <w:rPr>
                <w:rFonts w:ascii="Arial" w:eastAsiaTheme="minorEastAsia" w:hAnsi="Arial" w:cs="Arial"/>
                <w:iCs/>
              </w:rPr>
              <w:t xml:space="preserve">Optimal hospital care and discharge practice from the point of admission; </w:t>
            </w:r>
          </w:p>
          <w:p w14:paraId="28564828" w14:textId="77777777" w:rsidR="00A82661" w:rsidRPr="00E911D4" w:rsidRDefault="00A82661" w:rsidP="00A82661">
            <w:pPr>
              <w:pStyle w:val="ListParagraph"/>
              <w:numPr>
                <w:ilvl w:val="0"/>
                <w:numId w:val="16"/>
              </w:numPr>
              <w:spacing w:after="0" w:line="240" w:lineRule="auto"/>
              <w:rPr>
                <w:rFonts w:ascii="Arial" w:hAnsi="Arial" w:cs="Arial"/>
                <w:b/>
                <w:iCs/>
              </w:rPr>
            </w:pPr>
            <w:r w:rsidRPr="00E911D4">
              <w:rPr>
                <w:rFonts w:ascii="Arial" w:eastAsiaTheme="minorEastAsia" w:hAnsi="Arial" w:cs="Arial"/>
                <w:iCs/>
              </w:rPr>
              <w:t>Home first approach and reduce the risk of re-admission</w:t>
            </w:r>
            <w:r w:rsidRPr="00E911D4">
              <w:rPr>
                <w:rFonts w:ascii="Arial" w:eastAsiaTheme="minorEastAsia" w:hAnsi="Arial" w:cs="Arial"/>
                <w:b/>
                <w:iCs/>
              </w:rPr>
              <w:t>.</w:t>
            </w:r>
          </w:p>
          <w:p w14:paraId="111AE540" w14:textId="77777777" w:rsidR="00A82661" w:rsidRPr="00B940E9" w:rsidRDefault="00A82661" w:rsidP="00E23F66">
            <w:pPr>
              <w:rPr>
                <w:rFonts w:ascii="Arial" w:hAnsi="Arial" w:cs="Arial"/>
                <w:iCs/>
              </w:rPr>
            </w:pPr>
            <w:r w:rsidRPr="00B940E9">
              <w:rPr>
                <w:rFonts w:ascii="Arial" w:hAnsi="Arial" w:cs="Arial"/>
                <w:iCs/>
              </w:rPr>
              <w:t>Goals have been mapped to x4 programmes established to deliver the overall UEC 6 Goals vision for SBUHB.</w:t>
            </w:r>
          </w:p>
        </w:tc>
      </w:tr>
      <w:tr w:rsidR="00A82661" w:rsidRPr="00B1166E" w14:paraId="387549AE" w14:textId="77777777" w:rsidTr="00E23F66">
        <w:trPr>
          <w:trHeight w:val="285"/>
        </w:trPr>
        <w:tc>
          <w:tcPr>
            <w:tcW w:w="647" w:type="pct"/>
            <w:shd w:val="clear" w:color="auto" w:fill="B8CCE4" w:themeFill="accent1" w:themeFillTint="66"/>
          </w:tcPr>
          <w:p w14:paraId="659D3E0B" w14:textId="77777777" w:rsidR="00A82661" w:rsidRPr="00B940E9" w:rsidRDefault="00A82661" w:rsidP="00E23F66">
            <w:pPr>
              <w:jc w:val="center"/>
              <w:rPr>
                <w:rFonts w:ascii="Arial" w:hAnsi="Arial" w:cs="Arial"/>
                <w:b/>
                <w:bCs/>
              </w:rPr>
            </w:pPr>
            <w:r w:rsidRPr="00B940E9">
              <w:rPr>
                <w:rFonts w:ascii="Arial" w:hAnsi="Arial" w:cs="Arial"/>
                <w:b/>
                <w:bCs/>
              </w:rPr>
              <w:t>GMO ref:</w:t>
            </w:r>
          </w:p>
        </w:tc>
        <w:tc>
          <w:tcPr>
            <w:tcW w:w="4343" w:type="pct"/>
            <w:gridSpan w:val="4"/>
            <w:shd w:val="clear" w:color="auto" w:fill="DBE5F1" w:themeFill="accent1" w:themeFillTint="33"/>
          </w:tcPr>
          <w:p w14:paraId="5C620C0E" w14:textId="77777777" w:rsidR="00A82661" w:rsidRPr="00B940E9" w:rsidRDefault="00A82661" w:rsidP="00E23F66">
            <w:pPr>
              <w:jc w:val="center"/>
              <w:rPr>
                <w:rFonts w:ascii="Arial" w:hAnsi="Arial" w:cs="Arial"/>
                <w:b/>
                <w:iCs/>
              </w:rPr>
            </w:pPr>
            <w:r w:rsidRPr="00B940E9">
              <w:rPr>
                <w:rFonts w:ascii="Arial" w:hAnsi="Arial" w:cs="Arial"/>
                <w:b/>
                <w:iCs/>
              </w:rPr>
              <w:t>Methods/ Actions to deliver Ministerial Priorities</w:t>
            </w:r>
          </w:p>
        </w:tc>
      </w:tr>
      <w:tr w:rsidR="00A82661" w:rsidRPr="00B1166E" w14:paraId="589A0009" w14:textId="77777777" w:rsidTr="00E23F66">
        <w:tc>
          <w:tcPr>
            <w:tcW w:w="647" w:type="pct"/>
            <w:shd w:val="clear" w:color="auto" w:fill="B8CCE4" w:themeFill="accent1" w:themeFillTint="66"/>
          </w:tcPr>
          <w:p w14:paraId="069874D3" w14:textId="77777777" w:rsidR="00A82661" w:rsidRPr="00B940E9" w:rsidRDefault="00A82661" w:rsidP="00E23F66">
            <w:pPr>
              <w:jc w:val="center"/>
              <w:rPr>
                <w:rFonts w:ascii="Arial" w:hAnsi="Arial" w:cs="Arial"/>
                <w:b/>
                <w:bCs/>
              </w:rPr>
            </w:pPr>
            <w:r w:rsidRPr="00B940E9">
              <w:rPr>
                <w:rFonts w:ascii="Arial" w:hAnsi="Arial" w:cs="Arial"/>
                <w:b/>
                <w:bCs/>
              </w:rPr>
              <w:t>UEC_008</w:t>
            </w:r>
          </w:p>
        </w:tc>
        <w:tc>
          <w:tcPr>
            <w:tcW w:w="4343" w:type="pct"/>
            <w:gridSpan w:val="4"/>
            <w:shd w:val="clear" w:color="auto" w:fill="auto"/>
          </w:tcPr>
          <w:p w14:paraId="21C6899D" w14:textId="77777777" w:rsidR="00A82661" w:rsidRPr="00B940E9" w:rsidRDefault="00A82661" w:rsidP="00E23F66">
            <w:pPr>
              <w:rPr>
                <w:rFonts w:ascii="Arial" w:hAnsi="Arial" w:cs="Arial"/>
                <w:bCs/>
              </w:rPr>
            </w:pPr>
            <w:r w:rsidRPr="00B940E9">
              <w:rPr>
                <w:rFonts w:ascii="Arial" w:hAnsi="Arial" w:cs="Arial"/>
                <w:bCs/>
              </w:rPr>
              <w:t>Further develop SDEC model (inclusive of OPAS and merging of UPCC/ AEC/ AGPU) so as to reduce pres</w:t>
            </w:r>
            <w:r>
              <w:rPr>
                <w:rFonts w:ascii="Arial" w:hAnsi="Arial" w:cs="Arial"/>
                <w:bCs/>
              </w:rPr>
              <w:t>entations and admissions at ED.</w:t>
            </w:r>
            <w:r w:rsidRPr="00B940E9">
              <w:rPr>
                <w:rFonts w:ascii="Arial" w:hAnsi="Arial" w:cs="Arial"/>
                <w:bCs/>
                <w:i/>
              </w:rPr>
              <w:t xml:space="preserve">[Part of UEC 6 Goals – </w:t>
            </w:r>
            <w:r w:rsidRPr="00B940E9">
              <w:rPr>
                <w:rFonts w:ascii="Arial" w:hAnsi="Arial" w:cs="Arial"/>
                <w:b/>
                <w:bCs/>
                <w:i/>
              </w:rPr>
              <w:t>Programme 2 Integrated Front Door</w:t>
            </w:r>
            <w:r w:rsidRPr="00B940E9">
              <w:rPr>
                <w:rFonts w:ascii="Arial" w:hAnsi="Arial" w:cs="Arial"/>
                <w:bCs/>
                <w:i/>
              </w:rPr>
              <w:t>]</w:t>
            </w:r>
          </w:p>
        </w:tc>
      </w:tr>
      <w:tr w:rsidR="00A82661" w:rsidRPr="00B1166E" w14:paraId="34DCC294" w14:textId="77777777" w:rsidTr="00E23F66">
        <w:tc>
          <w:tcPr>
            <w:tcW w:w="647" w:type="pct"/>
            <w:shd w:val="clear" w:color="auto" w:fill="B8CCE4" w:themeFill="accent1" w:themeFillTint="66"/>
          </w:tcPr>
          <w:p w14:paraId="2700355C" w14:textId="77777777" w:rsidR="00A82661" w:rsidRPr="00B940E9" w:rsidRDefault="00A82661" w:rsidP="00E23F66">
            <w:pPr>
              <w:jc w:val="center"/>
              <w:rPr>
                <w:rFonts w:ascii="Arial" w:hAnsi="Arial" w:cs="Arial"/>
                <w:b/>
                <w:bCs/>
              </w:rPr>
            </w:pPr>
            <w:r w:rsidRPr="00B940E9">
              <w:rPr>
                <w:rFonts w:ascii="Arial" w:hAnsi="Arial" w:cs="Arial"/>
                <w:b/>
                <w:bCs/>
              </w:rPr>
              <w:t>UEC_018</w:t>
            </w:r>
          </w:p>
        </w:tc>
        <w:tc>
          <w:tcPr>
            <w:tcW w:w="4343" w:type="pct"/>
            <w:gridSpan w:val="4"/>
            <w:shd w:val="clear" w:color="auto" w:fill="auto"/>
          </w:tcPr>
          <w:p w14:paraId="4E0BC6F7" w14:textId="77777777" w:rsidR="00A82661" w:rsidRPr="00B940E9" w:rsidRDefault="00A82661" w:rsidP="00E23F66">
            <w:pPr>
              <w:rPr>
                <w:rFonts w:ascii="Arial" w:hAnsi="Arial" w:cs="Arial"/>
                <w:bCs/>
                <w:i/>
              </w:rPr>
            </w:pPr>
            <w:r w:rsidRPr="00B940E9">
              <w:rPr>
                <w:rFonts w:ascii="Arial" w:hAnsi="Arial" w:cs="Arial"/>
                <w:bCs/>
              </w:rPr>
              <w:t>Improve and expand surgery services (e.g. Acute Surgical Unit) so as improve the assessment and treatment of surgical patients in a timely manner to meet demand and waiting list targets</w:t>
            </w:r>
            <w:r w:rsidRPr="00B940E9">
              <w:rPr>
                <w:rFonts w:ascii="Arial" w:hAnsi="Arial" w:cs="Arial"/>
                <w:bCs/>
                <w:i/>
              </w:rPr>
              <w:t xml:space="preserve">. [Part of UEC 6 Goals - </w:t>
            </w:r>
            <w:r w:rsidRPr="00B940E9">
              <w:rPr>
                <w:rFonts w:ascii="Arial" w:hAnsi="Arial" w:cs="Arial"/>
                <w:b/>
                <w:bCs/>
                <w:i/>
              </w:rPr>
              <w:t>Programme 3: Acute Hospital flow and discharge}</w:t>
            </w:r>
          </w:p>
        </w:tc>
      </w:tr>
      <w:tr w:rsidR="00A82661" w:rsidRPr="00B1166E" w14:paraId="7317AD1E" w14:textId="77777777" w:rsidTr="00E23F66">
        <w:tc>
          <w:tcPr>
            <w:tcW w:w="647" w:type="pct"/>
            <w:shd w:val="clear" w:color="auto" w:fill="B8CCE4" w:themeFill="accent1" w:themeFillTint="66"/>
          </w:tcPr>
          <w:p w14:paraId="1421813C" w14:textId="77777777" w:rsidR="00A82661" w:rsidRPr="00B940E9" w:rsidRDefault="00A82661" w:rsidP="00E23F66">
            <w:pPr>
              <w:jc w:val="center"/>
              <w:rPr>
                <w:rFonts w:ascii="Arial" w:hAnsi="Arial" w:cs="Arial"/>
                <w:b/>
                <w:bCs/>
              </w:rPr>
            </w:pPr>
            <w:r w:rsidRPr="00B940E9">
              <w:rPr>
                <w:rFonts w:ascii="Arial" w:hAnsi="Arial" w:cs="Arial"/>
                <w:b/>
                <w:bCs/>
              </w:rPr>
              <w:t>UEC_023</w:t>
            </w:r>
          </w:p>
        </w:tc>
        <w:tc>
          <w:tcPr>
            <w:tcW w:w="4343" w:type="pct"/>
            <w:gridSpan w:val="4"/>
            <w:shd w:val="clear" w:color="auto" w:fill="auto"/>
          </w:tcPr>
          <w:p w14:paraId="646789A0" w14:textId="77777777" w:rsidR="00A82661" w:rsidRPr="00B940E9" w:rsidRDefault="00A82661" w:rsidP="00E23F66">
            <w:pPr>
              <w:rPr>
                <w:rFonts w:ascii="Arial" w:hAnsi="Arial" w:cs="Arial"/>
                <w:bCs/>
              </w:rPr>
            </w:pPr>
            <w:r w:rsidRPr="00B940E9">
              <w:rPr>
                <w:rFonts w:ascii="Arial" w:hAnsi="Arial" w:cs="Arial"/>
                <w:bCs/>
              </w:rPr>
              <w:t>Embed centralised acute admissions model at Morriston</w:t>
            </w:r>
            <w:r w:rsidRPr="00B940E9">
              <w:rPr>
                <w:rFonts w:ascii="Arial" w:hAnsi="Arial" w:cs="Arial"/>
                <w:bCs/>
                <w:i/>
              </w:rPr>
              <w:t xml:space="preserve">[Part of UEC 6 Goals - </w:t>
            </w:r>
            <w:r w:rsidRPr="00B940E9">
              <w:rPr>
                <w:rFonts w:ascii="Arial" w:hAnsi="Arial" w:cs="Arial"/>
                <w:b/>
                <w:bCs/>
                <w:i/>
              </w:rPr>
              <w:t>Programme 3: Acute Hospital flow and discharge}</w:t>
            </w:r>
          </w:p>
        </w:tc>
      </w:tr>
      <w:tr w:rsidR="00A82661" w:rsidRPr="00B1166E" w14:paraId="23EC56EB" w14:textId="77777777" w:rsidTr="00E23F66">
        <w:tc>
          <w:tcPr>
            <w:tcW w:w="647" w:type="pct"/>
            <w:vMerge w:val="restart"/>
            <w:shd w:val="clear" w:color="auto" w:fill="B8CCE4" w:themeFill="accent1" w:themeFillTint="66"/>
          </w:tcPr>
          <w:p w14:paraId="6E594A9C" w14:textId="77777777" w:rsidR="00A82661" w:rsidRPr="00B940E9" w:rsidRDefault="00A82661" w:rsidP="00E23F66">
            <w:pPr>
              <w:rPr>
                <w:rFonts w:ascii="Arial" w:hAnsi="Arial" w:cs="Arial"/>
                <w:bCs/>
                <w:color w:val="FF0000"/>
              </w:rPr>
            </w:pPr>
            <w:r w:rsidRPr="00E911D4">
              <w:rPr>
                <w:rFonts w:ascii="Arial" w:hAnsi="Arial" w:cs="Arial"/>
                <w:bCs/>
              </w:rPr>
              <w:t xml:space="preserve">ED operational level actions - </w:t>
            </w:r>
            <w:r w:rsidRPr="00E911D4">
              <w:rPr>
                <w:rFonts w:ascii="Arial" w:hAnsi="Arial" w:cs="Arial"/>
                <w:bCs/>
              </w:rPr>
              <w:lastRenderedPageBreak/>
              <w:t>Links to UEC 6 Goals Programme GMOs</w:t>
            </w:r>
          </w:p>
        </w:tc>
        <w:tc>
          <w:tcPr>
            <w:tcW w:w="4343" w:type="pct"/>
            <w:gridSpan w:val="4"/>
            <w:shd w:val="clear" w:color="auto" w:fill="auto"/>
          </w:tcPr>
          <w:p w14:paraId="72904678" w14:textId="77777777" w:rsidR="00A82661" w:rsidRPr="00B940E9" w:rsidRDefault="00A82661" w:rsidP="00E23F66">
            <w:pPr>
              <w:rPr>
                <w:rFonts w:ascii="Arial" w:hAnsi="Arial" w:cs="Arial"/>
              </w:rPr>
            </w:pPr>
            <w:r w:rsidRPr="00B940E9">
              <w:rPr>
                <w:rFonts w:ascii="Arial" w:hAnsi="Arial" w:cs="Arial"/>
              </w:rPr>
              <w:lastRenderedPageBreak/>
              <w:t>Increase the footfall/ patients treated in an ambulatory way via SDEC – aims to decongest Acute Medical Unit (AMU - short stay unit), which in turn frees up ED capacity.</w:t>
            </w:r>
          </w:p>
        </w:tc>
      </w:tr>
      <w:tr w:rsidR="00A82661" w:rsidRPr="00B1166E" w14:paraId="2EBE2361" w14:textId="77777777" w:rsidTr="00E23F66">
        <w:tc>
          <w:tcPr>
            <w:tcW w:w="647" w:type="pct"/>
            <w:vMerge/>
            <w:shd w:val="clear" w:color="auto" w:fill="B8CCE4" w:themeFill="accent1" w:themeFillTint="66"/>
          </w:tcPr>
          <w:p w14:paraId="3CCF2972" w14:textId="77777777" w:rsidR="00A82661" w:rsidRPr="00B1166E" w:rsidRDefault="00A82661" w:rsidP="00E23F66">
            <w:pPr>
              <w:jc w:val="center"/>
              <w:rPr>
                <w:rFonts w:ascii="Arial" w:hAnsi="Arial" w:cs="Arial"/>
                <w:b/>
                <w:bCs/>
                <w:color w:val="FF0000"/>
              </w:rPr>
            </w:pPr>
          </w:p>
        </w:tc>
        <w:tc>
          <w:tcPr>
            <w:tcW w:w="4343" w:type="pct"/>
            <w:gridSpan w:val="4"/>
            <w:shd w:val="clear" w:color="auto" w:fill="auto"/>
          </w:tcPr>
          <w:p w14:paraId="7275DD77" w14:textId="77777777" w:rsidR="00A82661" w:rsidRPr="00B940E9" w:rsidRDefault="00A82661" w:rsidP="00E23F66">
            <w:pPr>
              <w:rPr>
                <w:rFonts w:ascii="Arial" w:hAnsi="Arial" w:cs="Arial"/>
                <w:b/>
                <w:bCs/>
              </w:rPr>
            </w:pPr>
            <w:r w:rsidRPr="00B940E9">
              <w:rPr>
                <w:rFonts w:ascii="Arial" w:hAnsi="Arial" w:cs="Arial"/>
              </w:rPr>
              <w:t>Initiate zero tolerance on 4hr ambulance waits policy and develop offloading/ on-boarding policy regarding compliance with zero tolerance on 4hr waits at times when hospitals are under greatest pressure.</w:t>
            </w:r>
          </w:p>
        </w:tc>
      </w:tr>
      <w:tr w:rsidR="00A82661" w:rsidRPr="00B1166E" w14:paraId="591AA30A" w14:textId="77777777" w:rsidTr="00E23F66">
        <w:tc>
          <w:tcPr>
            <w:tcW w:w="647" w:type="pct"/>
            <w:vMerge/>
            <w:shd w:val="clear" w:color="auto" w:fill="B8CCE4" w:themeFill="accent1" w:themeFillTint="66"/>
          </w:tcPr>
          <w:p w14:paraId="4F601189" w14:textId="77777777" w:rsidR="00A82661" w:rsidRPr="00B1166E" w:rsidRDefault="00A82661" w:rsidP="00E23F66">
            <w:pPr>
              <w:jc w:val="center"/>
              <w:rPr>
                <w:rFonts w:ascii="Arial" w:hAnsi="Arial" w:cs="Arial"/>
                <w:b/>
                <w:bCs/>
                <w:color w:val="FF0000"/>
              </w:rPr>
            </w:pPr>
          </w:p>
        </w:tc>
        <w:tc>
          <w:tcPr>
            <w:tcW w:w="4343" w:type="pct"/>
            <w:gridSpan w:val="4"/>
            <w:shd w:val="clear" w:color="auto" w:fill="auto"/>
          </w:tcPr>
          <w:p w14:paraId="338D91AF" w14:textId="77777777" w:rsidR="00A82661" w:rsidRPr="00B940E9" w:rsidRDefault="00A82661" w:rsidP="00E23F66">
            <w:pPr>
              <w:rPr>
                <w:rFonts w:ascii="Arial" w:hAnsi="Arial" w:cs="Arial"/>
                <w:bCs/>
              </w:rPr>
            </w:pPr>
            <w:r w:rsidRPr="00B940E9">
              <w:rPr>
                <w:rFonts w:ascii="Arial" w:hAnsi="Arial" w:cs="Arial"/>
                <w:bCs/>
              </w:rPr>
              <w:t xml:space="preserve">Learning from elsewhere, e.g. </w:t>
            </w:r>
            <w:r w:rsidRPr="00B940E9">
              <w:rPr>
                <w:rFonts w:ascii="Arial" w:hAnsi="Arial" w:cs="Arial"/>
              </w:rPr>
              <w:t>explore work implemented and outcomes delivered by Cardiff and Vale UHB to improve their 4 and 12 hour compliance by focussing on handover specific actions</w:t>
            </w:r>
          </w:p>
        </w:tc>
      </w:tr>
      <w:tr w:rsidR="00A82661" w:rsidRPr="00B1166E" w14:paraId="7C88FE42" w14:textId="77777777" w:rsidTr="00E23F66">
        <w:tc>
          <w:tcPr>
            <w:tcW w:w="647" w:type="pct"/>
            <w:vMerge/>
            <w:shd w:val="clear" w:color="auto" w:fill="B8CCE4" w:themeFill="accent1" w:themeFillTint="66"/>
          </w:tcPr>
          <w:p w14:paraId="6DEDA6DF" w14:textId="77777777" w:rsidR="00A82661" w:rsidRPr="00B1166E" w:rsidRDefault="00A82661" w:rsidP="00E23F66">
            <w:pPr>
              <w:jc w:val="center"/>
              <w:rPr>
                <w:rFonts w:ascii="Arial" w:hAnsi="Arial" w:cs="Arial"/>
                <w:b/>
                <w:bCs/>
                <w:color w:val="FF0000"/>
              </w:rPr>
            </w:pPr>
          </w:p>
        </w:tc>
        <w:tc>
          <w:tcPr>
            <w:tcW w:w="4343" w:type="pct"/>
            <w:gridSpan w:val="4"/>
            <w:shd w:val="clear" w:color="auto" w:fill="auto"/>
          </w:tcPr>
          <w:p w14:paraId="5127BCF6" w14:textId="77777777" w:rsidR="00A82661" w:rsidRPr="00B940E9" w:rsidRDefault="00A82661" w:rsidP="00E23F66">
            <w:pPr>
              <w:rPr>
                <w:rFonts w:ascii="Arial" w:hAnsi="Arial" w:cs="Arial"/>
                <w:b/>
                <w:bCs/>
              </w:rPr>
            </w:pPr>
            <w:r w:rsidRPr="00B940E9">
              <w:rPr>
                <w:rFonts w:ascii="Arial" w:hAnsi="Arial" w:cs="Arial"/>
              </w:rPr>
              <w:t>Increase workforce capacity and sustainability</w:t>
            </w:r>
          </w:p>
        </w:tc>
      </w:tr>
      <w:tr w:rsidR="00A82661" w:rsidRPr="00B1166E" w14:paraId="165E0641" w14:textId="77777777" w:rsidTr="00E23F66">
        <w:tc>
          <w:tcPr>
            <w:tcW w:w="647" w:type="pct"/>
            <w:vMerge/>
            <w:shd w:val="clear" w:color="auto" w:fill="B8CCE4" w:themeFill="accent1" w:themeFillTint="66"/>
          </w:tcPr>
          <w:p w14:paraId="2E8F2276" w14:textId="77777777" w:rsidR="00A82661" w:rsidRPr="00B1166E" w:rsidRDefault="00A82661" w:rsidP="00E23F66">
            <w:pPr>
              <w:jc w:val="center"/>
              <w:rPr>
                <w:rFonts w:ascii="Arial" w:hAnsi="Arial" w:cs="Arial"/>
                <w:b/>
                <w:bCs/>
                <w:color w:val="FF0000"/>
              </w:rPr>
            </w:pPr>
          </w:p>
        </w:tc>
        <w:tc>
          <w:tcPr>
            <w:tcW w:w="4343" w:type="pct"/>
            <w:gridSpan w:val="4"/>
            <w:shd w:val="clear" w:color="auto" w:fill="auto"/>
          </w:tcPr>
          <w:p w14:paraId="4429E5B4" w14:textId="77777777" w:rsidR="00A82661" w:rsidRPr="00B940E9" w:rsidRDefault="00A82661" w:rsidP="00E23F66">
            <w:pPr>
              <w:rPr>
                <w:rFonts w:ascii="Arial" w:hAnsi="Arial" w:cs="Arial"/>
                <w:b/>
                <w:bCs/>
              </w:rPr>
            </w:pPr>
            <w:r w:rsidRPr="00B940E9">
              <w:rPr>
                <w:rFonts w:ascii="Arial" w:hAnsi="Arial" w:cs="Arial"/>
              </w:rPr>
              <w:t>Review the potential for Rapid Assessment and Treatment model (RAT) at ED front door (subject to funding available)</w:t>
            </w:r>
          </w:p>
        </w:tc>
      </w:tr>
      <w:tr w:rsidR="00A82661" w:rsidRPr="00B1166E" w14:paraId="3F37993F" w14:textId="77777777" w:rsidTr="00E23F66">
        <w:tc>
          <w:tcPr>
            <w:tcW w:w="4990" w:type="pct"/>
            <w:gridSpan w:val="5"/>
            <w:shd w:val="clear" w:color="auto" w:fill="B8CCE4" w:themeFill="accent1" w:themeFillTint="66"/>
          </w:tcPr>
          <w:p w14:paraId="3022B99D" w14:textId="77777777" w:rsidR="00A82661" w:rsidRPr="00B1166E" w:rsidRDefault="00A82661" w:rsidP="00E23F66">
            <w:pPr>
              <w:rPr>
                <w:rFonts w:ascii="Arial" w:hAnsi="Arial" w:cs="Arial"/>
                <w:color w:val="FF0000"/>
              </w:rPr>
            </w:pPr>
            <w:r w:rsidRPr="00B940E9">
              <w:rPr>
                <w:rFonts w:ascii="Arial" w:hAnsi="Arial" w:cs="Arial"/>
              </w:rPr>
              <w:t xml:space="preserve">It is recognised that improvements to ED waiting times is multi-faceted, therefore there are key links to other UEC GMOs, including admission avoidance, flow activities to support reduced occupancy and improve flow, and additional capacity schemes: </w:t>
            </w:r>
          </w:p>
        </w:tc>
      </w:tr>
      <w:tr w:rsidR="00A82661" w:rsidRPr="00B1166E" w14:paraId="1B64421A" w14:textId="77777777" w:rsidTr="00E23F66">
        <w:tc>
          <w:tcPr>
            <w:tcW w:w="647" w:type="pct"/>
            <w:shd w:val="clear" w:color="auto" w:fill="B8CCE4" w:themeFill="accent1" w:themeFillTint="66"/>
          </w:tcPr>
          <w:p w14:paraId="52FEDE3A" w14:textId="77777777" w:rsidR="00A82661" w:rsidRPr="00B940E9" w:rsidRDefault="00A82661" w:rsidP="00E23F66">
            <w:pPr>
              <w:rPr>
                <w:rFonts w:ascii="Arial" w:hAnsi="Arial" w:cs="Arial"/>
                <w:b/>
                <w:bCs/>
              </w:rPr>
            </w:pPr>
            <w:r w:rsidRPr="00B940E9">
              <w:rPr>
                <w:rFonts w:ascii="Arial" w:hAnsi="Arial" w:cs="Arial"/>
                <w:b/>
                <w:bCs/>
              </w:rPr>
              <w:t>UEC_001</w:t>
            </w:r>
          </w:p>
        </w:tc>
        <w:tc>
          <w:tcPr>
            <w:tcW w:w="4343" w:type="pct"/>
            <w:gridSpan w:val="4"/>
            <w:shd w:val="clear" w:color="auto" w:fill="auto"/>
          </w:tcPr>
          <w:p w14:paraId="16A036D5" w14:textId="77777777" w:rsidR="00A82661" w:rsidRPr="00B940E9" w:rsidRDefault="00A82661" w:rsidP="00E23F66">
            <w:pPr>
              <w:rPr>
                <w:rFonts w:ascii="Arial" w:hAnsi="Arial" w:cs="Arial"/>
                <w:bCs/>
              </w:rPr>
            </w:pPr>
            <w:r w:rsidRPr="00B940E9">
              <w:rPr>
                <w:rFonts w:ascii="Arial" w:hAnsi="Arial" w:cs="Arial"/>
                <w:bCs/>
              </w:rPr>
              <w:t>Focussed management of at risk UEC patients, to avoid admission to acute settings: Expand the Virtual Ward model, implement phase 4 (FDS expansion) and 5 (</w:t>
            </w:r>
            <w:proofErr w:type="spellStart"/>
            <w:r w:rsidRPr="00B940E9">
              <w:rPr>
                <w:rFonts w:ascii="Arial" w:hAnsi="Arial" w:cs="Arial"/>
                <w:bCs/>
              </w:rPr>
              <w:t>Inreach</w:t>
            </w:r>
            <w:proofErr w:type="spellEnd"/>
            <w:r w:rsidRPr="00B940E9">
              <w:rPr>
                <w:rFonts w:ascii="Arial" w:hAnsi="Arial" w:cs="Arial"/>
                <w:bCs/>
              </w:rPr>
              <w:t xml:space="preserve"> and 7/7 service) [</w:t>
            </w:r>
            <w:r w:rsidRPr="00B940E9">
              <w:rPr>
                <w:rFonts w:ascii="Arial" w:hAnsi="Arial" w:cs="Arial"/>
                <w:bCs/>
                <w:i/>
              </w:rPr>
              <w:t xml:space="preserve">Part of UEC 6 Goals </w:t>
            </w:r>
            <w:r w:rsidRPr="00B940E9">
              <w:rPr>
                <w:rFonts w:ascii="Arial" w:hAnsi="Arial" w:cs="Arial"/>
                <w:b/>
                <w:bCs/>
                <w:i/>
              </w:rPr>
              <w:t>Programme 1 – Coordination, signposting and alternatives to admission</w:t>
            </w:r>
            <w:r w:rsidRPr="00B940E9">
              <w:rPr>
                <w:rFonts w:ascii="Arial" w:hAnsi="Arial" w:cs="Arial"/>
                <w:bCs/>
              </w:rPr>
              <w:t>]</w:t>
            </w:r>
          </w:p>
        </w:tc>
      </w:tr>
      <w:tr w:rsidR="00A82661" w:rsidRPr="00B1166E" w14:paraId="020C7226" w14:textId="77777777" w:rsidTr="00E23F66">
        <w:tc>
          <w:tcPr>
            <w:tcW w:w="647" w:type="pct"/>
            <w:shd w:val="clear" w:color="auto" w:fill="B8CCE4" w:themeFill="accent1" w:themeFillTint="66"/>
          </w:tcPr>
          <w:p w14:paraId="7048A62D" w14:textId="77777777" w:rsidR="00A82661" w:rsidRPr="00B940E9" w:rsidRDefault="00A82661" w:rsidP="00E23F66">
            <w:pPr>
              <w:rPr>
                <w:rFonts w:ascii="Arial" w:hAnsi="Arial" w:cs="Arial"/>
                <w:b/>
              </w:rPr>
            </w:pPr>
            <w:r w:rsidRPr="00B940E9">
              <w:rPr>
                <w:rFonts w:ascii="Arial" w:hAnsi="Arial" w:cs="Arial"/>
                <w:b/>
              </w:rPr>
              <w:t>UEC_012</w:t>
            </w:r>
          </w:p>
        </w:tc>
        <w:tc>
          <w:tcPr>
            <w:tcW w:w="4343" w:type="pct"/>
            <w:gridSpan w:val="4"/>
            <w:shd w:val="clear" w:color="auto" w:fill="auto"/>
          </w:tcPr>
          <w:p w14:paraId="2E1BF82C" w14:textId="77777777" w:rsidR="00A82661" w:rsidRPr="00B940E9" w:rsidRDefault="00A82661" w:rsidP="00E23F66">
            <w:pPr>
              <w:rPr>
                <w:rFonts w:ascii="Arial" w:hAnsi="Arial" w:cs="Arial"/>
              </w:rPr>
            </w:pPr>
            <w:r w:rsidRPr="00B940E9">
              <w:rPr>
                <w:rFonts w:ascii="Arial" w:hAnsi="Arial" w:cs="Arial"/>
              </w:rPr>
              <w:t xml:space="preserve">Implementation and embedding of SAFER, Red2Green, D2RA across all sites </w:t>
            </w:r>
            <w:r w:rsidRPr="00B940E9">
              <w:rPr>
                <w:rFonts w:ascii="Arial" w:hAnsi="Arial" w:cs="Arial"/>
                <w:bCs/>
                <w:i/>
              </w:rPr>
              <w:t xml:space="preserve">[Part of UEC 6 Goals - </w:t>
            </w:r>
            <w:r w:rsidRPr="00B940E9">
              <w:rPr>
                <w:rFonts w:ascii="Arial" w:hAnsi="Arial" w:cs="Arial"/>
                <w:b/>
                <w:bCs/>
                <w:i/>
              </w:rPr>
              <w:t>Programme 3: Acute Hospital flow and discharge]</w:t>
            </w:r>
          </w:p>
        </w:tc>
      </w:tr>
      <w:tr w:rsidR="00A82661" w:rsidRPr="00B1166E" w14:paraId="16CEDBA7" w14:textId="77777777" w:rsidTr="00E23F66">
        <w:tc>
          <w:tcPr>
            <w:tcW w:w="647" w:type="pct"/>
            <w:shd w:val="clear" w:color="auto" w:fill="B8CCE4" w:themeFill="accent1" w:themeFillTint="66"/>
          </w:tcPr>
          <w:p w14:paraId="3283DE31" w14:textId="77777777" w:rsidR="00A82661" w:rsidRPr="00B940E9" w:rsidRDefault="00A82661" w:rsidP="00E23F66">
            <w:pPr>
              <w:rPr>
                <w:rFonts w:ascii="Arial" w:hAnsi="Arial" w:cs="Arial"/>
                <w:b/>
              </w:rPr>
            </w:pPr>
            <w:r w:rsidRPr="00B940E9">
              <w:rPr>
                <w:rFonts w:ascii="Arial" w:hAnsi="Arial" w:cs="Arial"/>
                <w:b/>
              </w:rPr>
              <w:t>UEC_024</w:t>
            </w:r>
          </w:p>
        </w:tc>
        <w:tc>
          <w:tcPr>
            <w:tcW w:w="4343" w:type="pct"/>
            <w:gridSpan w:val="4"/>
            <w:shd w:val="clear" w:color="auto" w:fill="auto"/>
          </w:tcPr>
          <w:p w14:paraId="07EFD519" w14:textId="77777777" w:rsidR="00A82661" w:rsidRPr="00B940E9" w:rsidRDefault="00A82661" w:rsidP="00E23F66">
            <w:pPr>
              <w:rPr>
                <w:rFonts w:ascii="Arial" w:hAnsi="Arial" w:cs="Arial"/>
              </w:rPr>
            </w:pPr>
            <w:r w:rsidRPr="00B940E9">
              <w:rPr>
                <w:rFonts w:ascii="Arial" w:hAnsi="Arial" w:cs="Arial"/>
              </w:rPr>
              <w:t xml:space="preserve">Implementation of Single Point of Access/Integrated Discharge Hub for all community services </w:t>
            </w:r>
            <w:r w:rsidRPr="00B940E9">
              <w:rPr>
                <w:rFonts w:ascii="Arial" w:hAnsi="Arial" w:cs="Arial"/>
                <w:bCs/>
                <w:i/>
              </w:rPr>
              <w:t xml:space="preserve">Part of UEC 6 Goals - </w:t>
            </w:r>
            <w:r w:rsidRPr="00B940E9">
              <w:rPr>
                <w:rFonts w:ascii="Arial" w:hAnsi="Arial" w:cs="Arial"/>
                <w:b/>
                <w:i/>
              </w:rPr>
              <w:t>Programme 4 – Integrated Discharge</w:t>
            </w:r>
            <w:r w:rsidRPr="00B940E9">
              <w:rPr>
                <w:rFonts w:ascii="Arial" w:hAnsi="Arial" w:cs="Arial"/>
                <w:i/>
              </w:rPr>
              <w:t>]</w:t>
            </w:r>
          </w:p>
        </w:tc>
      </w:tr>
      <w:tr w:rsidR="00A82661" w:rsidRPr="00B1166E" w14:paraId="548DEB4A" w14:textId="77777777" w:rsidTr="00E23F66">
        <w:trPr>
          <w:trHeight w:val="307"/>
        </w:trPr>
        <w:tc>
          <w:tcPr>
            <w:tcW w:w="647" w:type="pct"/>
            <w:shd w:val="clear" w:color="auto" w:fill="B8CCE4" w:themeFill="accent1" w:themeFillTint="66"/>
          </w:tcPr>
          <w:p w14:paraId="18CD58A8" w14:textId="77777777" w:rsidR="00A82661" w:rsidRPr="00B940E9" w:rsidRDefault="00A82661" w:rsidP="00E23F66">
            <w:pPr>
              <w:rPr>
                <w:rFonts w:ascii="Arial" w:hAnsi="Arial" w:cs="Arial"/>
                <w:b/>
              </w:rPr>
            </w:pPr>
            <w:r w:rsidRPr="00B940E9">
              <w:rPr>
                <w:rFonts w:ascii="Arial" w:hAnsi="Arial" w:cs="Arial"/>
                <w:b/>
              </w:rPr>
              <w:t>UEC_016</w:t>
            </w:r>
          </w:p>
        </w:tc>
        <w:tc>
          <w:tcPr>
            <w:tcW w:w="4343" w:type="pct"/>
            <w:gridSpan w:val="4"/>
            <w:shd w:val="clear" w:color="auto" w:fill="auto"/>
          </w:tcPr>
          <w:p w14:paraId="18CEE758" w14:textId="77777777" w:rsidR="00A82661" w:rsidRPr="00B940E9" w:rsidRDefault="00A82661" w:rsidP="00E23F66">
            <w:pPr>
              <w:rPr>
                <w:rFonts w:ascii="Arial" w:hAnsi="Arial" w:cs="Arial"/>
              </w:rPr>
            </w:pPr>
            <w:r w:rsidRPr="00B940E9">
              <w:rPr>
                <w:rFonts w:ascii="Arial" w:hAnsi="Arial" w:cs="Arial"/>
              </w:rPr>
              <w:t>In conjunction with the RPB provide additional EMI placements to provide discharge to assess services  [</w:t>
            </w:r>
            <w:r w:rsidRPr="00B940E9">
              <w:rPr>
                <w:rFonts w:ascii="Arial" w:hAnsi="Arial" w:cs="Arial"/>
                <w:i/>
              </w:rPr>
              <w:t xml:space="preserve">Part of UEC 6 Goals </w:t>
            </w:r>
            <w:r w:rsidRPr="00B940E9">
              <w:rPr>
                <w:rFonts w:ascii="Arial" w:hAnsi="Arial" w:cs="Arial"/>
                <w:b/>
                <w:i/>
              </w:rPr>
              <w:t>Programme 4 – Integrated Discharge</w:t>
            </w:r>
            <w:r w:rsidRPr="00B940E9">
              <w:rPr>
                <w:rFonts w:ascii="Arial" w:hAnsi="Arial" w:cs="Arial"/>
                <w:i/>
              </w:rPr>
              <w:t>]</w:t>
            </w:r>
          </w:p>
        </w:tc>
      </w:tr>
      <w:tr w:rsidR="00A82661" w:rsidRPr="00B1166E" w14:paraId="3BF5F1E4" w14:textId="77777777" w:rsidTr="00E23F66">
        <w:tc>
          <w:tcPr>
            <w:tcW w:w="647" w:type="pct"/>
            <w:vMerge w:val="restart"/>
            <w:shd w:val="clear" w:color="auto" w:fill="B8CCE4" w:themeFill="accent1" w:themeFillTint="66"/>
          </w:tcPr>
          <w:p w14:paraId="63886B4B" w14:textId="77777777" w:rsidR="00A82661" w:rsidRPr="00B940E9" w:rsidRDefault="00A82661" w:rsidP="00E23F66">
            <w:pPr>
              <w:jc w:val="center"/>
              <w:rPr>
                <w:rFonts w:ascii="Arial" w:hAnsi="Arial" w:cs="Arial"/>
                <w:b/>
                <w:bCs/>
              </w:rPr>
            </w:pPr>
            <w:r w:rsidRPr="00B940E9">
              <w:rPr>
                <w:rFonts w:ascii="Arial" w:hAnsi="Arial" w:cs="Arial"/>
                <w:b/>
                <w:bCs/>
              </w:rPr>
              <w:t>GMO ref:</w:t>
            </w:r>
          </w:p>
        </w:tc>
        <w:tc>
          <w:tcPr>
            <w:tcW w:w="4343" w:type="pct"/>
            <w:gridSpan w:val="4"/>
            <w:shd w:val="clear" w:color="auto" w:fill="DBE5F1" w:themeFill="accent1" w:themeFillTint="33"/>
          </w:tcPr>
          <w:p w14:paraId="03890E4A" w14:textId="77777777" w:rsidR="00A82661" w:rsidRPr="00B940E9" w:rsidRDefault="00A82661" w:rsidP="00E23F66">
            <w:pPr>
              <w:jc w:val="center"/>
              <w:rPr>
                <w:rFonts w:ascii="Arial" w:hAnsi="Arial" w:cs="Arial"/>
                <w:b/>
                <w:bCs/>
              </w:rPr>
            </w:pPr>
            <w:r w:rsidRPr="00B940E9">
              <w:rPr>
                <w:rFonts w:ascii="Arial" w:hAnsi="Arial" w:cs="Arial"/>
                <w:b/>
                <w:bCs/>
              </w:rPr>
              <w:t xml:space="preserve">Milestones 23/24: </w:t>
            </w:r>
          </w:p>
        </w:tc>
      </w:tr>
      <w:tr w:rsidR="00A82661" w:rsidRPr="00B1166E" w14:paraId="0F251996" w14:textId="77777777" w:rsidTr="00E23F66">
        <w:tc>
          <w:tcPr>
            <w:tcW w:w="647" w:type="pct"/>
            <w:vMerge/>
            <w:shd w:val="clear" w:color="auto" w:fill="B8CCE4" w:themeFill="accent1" w:themeFillTint="66"/>
          </w:tcPr>
          <w:p w14:paraId="654D9CD4" w14:textId="77777777" w:rsidR="00A82661" w:rsidRPr="00B940E9" w:rsidRDefault="00A82661" w:rsidP="00E23F66">
            <w:pPr>
              <w:jc w:val="center"/>
              <w:rPr>
                <w:rFonts w:ascii="Arial" w:hAnsi="Arial" w:cs="Arial"/>
                <w:bCs/>
              </w:rPr>
            </w:pPr>
          </w:p>
        </w:tc>
        <w:tc>
          <w:tcPr>
            <w:tcW w:w="1122" w:type="pct"/>
            <w:shd w:val="clear" w:color="auto" w:fill="DBE5F1" w:themeFill="accent1" w:themeFillTint="33"/>
          </w:tcPr>
          <w:p w14:paraId="6D866B85" w14:textId="77777777" w:rsidR="00A82661" w:rsidRPr="00875681" w:rsidRDefault="00A82661" w:rsidP="00E23F66">
            <w:pPr>
              <w:jc w:val="center"/>
              <w:rPr>
                <w:rFonts w:ascii="Arial" w:hAnsi="Arial" w:cs="Arial"/>
                <w:b/>
                <w:bCs/>
              </w:rPr>
            </w:pPr>
            <w:r w:rsidRPr="00875681">
              <w:rPr>
                <w:rFonts w:ascii="Arial" w:hAnsi="Arial" w:cs="Arial"/>
                <w:b/>
                <w:bCs/>
              </w:rPr>
              <w:t>Quarter 1</w:t>
            </w:r>
          </w:p>
          <w:p w14:paraId="58D7CCD8" w14:textId="77777777" w:rsidR="00A82661" w:rsidRPr="00875681" w:rsidRDefault="00A82661" w:rsidP="00E23F66">
            <w:pPr>
              <w:jc w:val="center"/>
              <w:rPr>
                <w:rFonts w:ascii="Arial" w:hAnsi="Arial" w:cs="Arial"/>
                <w:b/>
                <w:bCs/>
              </w:rPr>
            </w:pPr>
            <w:r w:rsidRPr="00875681">
              <w:rPr>
                <w:rFonts w:ascii="Arial" w:hAnsi="Arial" w:cs="Arial"/>
                <w:b/>
                <w:bCs/>
              </w:rPr>
              <w:t>(See METHODS status definitions above)</w:t>
            </w:r>
          </w:p>
        </w:tc>
        <w:tc>
          <w:tcPr>
            <w:tcW w:w="1014" w:type="pct"/>
            <w:shd w:val="clear" w:color="auto" w:fill="DBE5F1" w:themeFill="accent1" w:themeFillTint="33"/>
          </w:tcPr>
          <w:p w14:paraId="69DA5A4D" w14:textId="77777777" w:rsidR="00A82661" w:rsidRDefault="00A82661" w:rsidP="00E23F66">
            <w:pPr>
              <w:jc w:val="center"/>
              <w:rPr>
                <w:rFonts w:ascii="Arial" w:hAnsi="Arial" w:cs="Arial"/>
                <w:b/>
                <w:bCs/>
              </w:rPr>
            </w:pPr>
            <w:r w:rsidRPr="00875681">
              <w:rPr>
                <w:rFonts w:ascii="Arial" w:hAnsi="Arial" w:cs="Arial"/>
                <w:b/>
                <w:bCs/>
              </w:rPr>
              <w:t>Quarter 2</w:t>
            </w:r>
          </w:p>
          <w:p w14:paraId="78C72206" w14:textId="77777777" w:rsidR="00A82661" w:rsidRPr="00875681" w:rsidRDefault="00A82661" w:rsidP="00E23F66">
            <w:pPr>
              <w:jc w:val="center"/>
              <w:rPr>
                <w:rFonts w:ascii="Arial" w:hAnsi="Arial" w:cs="Arial"/>
              </w:rPr>
            </w:pPr>
            <w:r w:rsidRPr="00875681">
              <w:rPr>
                <w:rFonts w:ascii="Arial" w:hAnsi="Arial" w:cs="Arial"/>
                <w:b/>
                <w:bCs/>
              </w:rPr>
              <w:t>(See METHODS status definitions above)</w:t>
            </w:r>
          </w:p>
        </w:tc>
        <w:tc>
          <w:tcPr>
            <w:tcW w:w="912" w:type="pct"/>
            <w:shd w:val="clear" w:color="auto" w:fill="DBE5F1" w:themeFill="accent1" w:themeFillTint="33"/>
          </w:tcPr>
          <w:p w14:paraId="0A712928" w14:textId="77777777" w:rsidR="00A82661" w:rsidRPr="00B940E9" w:rsidRDefault="00A82661" w:rsidP="00E23F66">
            <w:pPr>
              <w:jc w:val="center"/>
              <w:rPr>
                <w:rFonts w:ascii="Arial" w:hAnsi="Arial" w:cs="Arial"/>
              </w:rPr>
            </w:pPr>
            <w:r w:rsidRPr="00B940E9">
              <w:rPr>
                <w:rFonts w:ascii="Arial" w:hAnsi="Arial" w:cs="Arial"/>
                <w:b/>
                <w:bCs/>
              </w:rPr>
              <w:t>Quarter 3</w:t>
            </w:r>
          </w:p>
        </w:tc>
        <w:tc>
          <w:tcPr>
            <w:tcW w:w="1295" w:type="pct"/>
            <w:shd w:val="clear" w:color="auto" w:fill="DBE5F1" w:themeFill="accent1" w:themeFillTint="33"/>
          </w:tcPr>
          <w:p w14:paraId="3244A971" w14:textId="77777777" w:rsidR="00A82661" w:rsidRPr="00B940E9" w:rsidRDefault="00A82661" w:rsidP="00E23F66">
            <w:pPr>
              <w:jc w:val="center"/>
              <w:rPr>
                <w:rFonts w:ascii="Arial" w:hAnsi="Arial" w:cs="Arial"/>
              </w:rPr>
            </w:pPr>
            <w:r w:rsidRPr="00B940E9">
              <w:rPr>
                <w:rFonts w:ascii="Arial" w:hAnsi="Arial" w:cs="Arial"/>
                <w:b/>
                <w:bCs/>
              </w:rPr>
              <w:t>Quarter 4</w:t>
            </w:r>
          </w:p>
        </w:tc>
      </w:tr>
      <w:tr w:rsidR="00A82661" w:rsidRPr="00B1166E" w14:paraId="0B14A4BA" w14:textId="77777777" w:rsidTr="00E23F66">
        <w:tc>
          <w:tcPr>
            <w:tcW w:w="647" w:type="pct"/>
            <w:vMerge w:val="restart"/>
            <w:shd w:val="clear" w:color="auto" w:fill="B8CCE4" w:themeFill="accent1" w:themeFillTint="66"/>
          </w:tcPr>
          <w:p w14:paraId="1D53588D" w14:textId="77777777" w:rsidR="00A82661" w:rsidRPr="00B940E9" w:rsidRDefault="00A82661" w:rsidP="00E23F66">
            <w:pPr>
              <w:spacing w:after="0" w:line="240" w:lineRule="auto"/>
              <w:jc w:val="center"/>
              <w:rPr>
                <w:rFonts w:ascii="Arial" w:hAnsi="Arial" w:cs="Arial"/>
                <w:b/>
              </w:rPr>
            </w:pPr>
            <w:r w:rsidRPr="00B940E9">
              <w:rPr>
                <w:rFonts w:ascii="Arial" w:hAnsi="Arial" w:cs="Arial"/>
                <w:b/>
              </w:rPr>
              <w:t>UEC_008</w:t>
            </w:r>
          </w:p>
        </w:tc>
        <w:tc>
          <w:tcPr>
            <w:tcW w:w="1122" w:type="pct"/>
            <w:shd w:val="clear" w:color="auto" w:fill="00B050"/>
          </w:tcPr>
          <w:p w14:paraId="2178D086" w14:textId="77777777" w:rsidR="00A82661" w:rsidRPr="00CA64EC" w:rsidRDefault="00A82661" w:rsidP="00E23F66">
            <w:pPr>
              <w:spacing w:after="0" w:line="240" w:lineRule="auto"/>
              <w:rPr>
                <w:rFonts w:ascii="Arial" w:hAnsi="Arial" w:cs="Arial"/>
              </w:rPr>
            </w:pPr>
            <w:r w:rsidRPr="00CA64EC">
              <w:rPr>
                <w:rFonts w:ascii="Arial" w:hAnsi="Arial" w:cs="Arial"/>
              </w:rPr>
              <w:t>Project group formed - work underway in relation to merging services that form part of SDEC</w:t>
            </w:r>
          </w:p>
        </w:tc>
        <w:tc>
          <w:tcPr>
            <w:tcW w:w="1014" w:type="pct"/>
            <w:shd w:val="clear" w:color="auto" w:fill="00B050"/>
          </w:tcPr>
          <w:p w14:paraId="32E45A1B" w14:textId="77777777" w:rsidR="00A82661" w:rsidRPr="00CA64EC" w:rsidRDefault="00A82661" w:rsidP="00A82661">
            <w:pPr>
              <w:pStyle w:val="ListParagraph"/>
              <w:numPr>
                <w:ilvl w:val="0"/>
                <w:numId w:val="43"/>
              </w:numPr>
              <w:spacing w:after="0" w:line="240" w:lineRule="auto"/>
              <w:ind w:left="355" w:hanging="355"/>
              <w:rPr>
                <w:rFonts w:ascii="Arial" w:hAnsi="Arial" w:cs="Arial"/>
                <w:b/>
                <w:bCs/>
              </w:rPr>
            </w:pPr>
            <w:r w:rsidRPr="00CA64EC">
              <w:rPr>
                <w:rFonts w:ascii="Arial" w:hAnsi="Arial" w:cs="Arial"/>
                <w:b/>
                <w:bCs/>
              </w:rPr>
              <w:t xml:space="preserve">Review learning from medical SDEC improvement event </w:t>
            </w:r>
          </w:p>
          <w:p w14:paraId="7D6184D6" w14:textId="77777777" w:rsidR="00A82661" w:rsidRPr="00CA64EC" w:rsidRDefault="00A82661" w:rsidP="00A82661">
            <w:pPr>
              <w:pStyle w:val="ListParagraph"/>
              <w:numPr>
                <w:ilvl w:val="0"/>
                <w:numId w:val="43"/>
              </w:numPr>
              <w:spacing w:after="0" w:line="240" w:lineRule="auto"/>
              <w:ind w:left="355" w:hanging="355"/>
              <w:rPr>
                <w:rFonts w:ascii="Arial" w:hAnsi="Arial" w:cs="Arial"/>
                <w:b/>
                <w:bCs/>
              </w:rPr>
            </w:pPr>
            <w:r w:rsidRPr="00CA64EC">
              <w:rPr>
                <w:rFonts w:ascii="Arial" w:hAnsi="Arial" w:cs="Arial"/>
                <w:b/>
                <w:bCs/>
              </w:rPr>
              <w:t>Begin improvement changes</w:t>
            </w:r>
          </w:p>
          <w:p w14:paraId="21320D71" w14:textId="77777777" w:rsidR="00A82661" w:rsidRPr="00CA64EC" w:rsidRDefault="00A82661" w:rsidP="00A82661">
            <w:pPr>
              <w:pStyle w:val="ListParagraph"/>
              <w:numPr>
                <w:ilvl w:val="0"/>
                <w:numId w:val="43"/>
              </w:numPr>
              <w:spacing w:after="0" w:line="240" w:lineRule="auto"/>
              <w:ind w:left="355" w:hanging="355"/>
              <w:rPr>
                <w:rFonts w:ascii="Arial" w:hAnsi="Arial" w:cs="Arial"/>
                <w:b/>
                <w:bCs/>
              </w:rPr>
            </w:pPr>
            <w:r w:rsidRPr="00CA64EC">
              <w:rPr>
                <w:rFonts w:ascii="Arial" w:hAnsi="Arial" w:cs="Arial"/>
                <w:b/>
                <w:bCs/>
              </w:rPr>
              <w:lastRenderedPageBreak/>
              <w:t xml:space="preserve">Progress with SDMU capital improvements/ model review  </w:t>
            </w:r>
          </w:p>
        </w:tc>
        <w:tc>
          <w:tcPr>
            <w:tcW w:w="912" w:type="pct"/>
            <w:shd w:val="clear" w:color="auto" w:fill="FFC000"/>
          </w:tcPr>
          <w:p w14:paraId="183A59BB" w14:textId="77777777" w:rsidR="00A82661" w:rsidRDefault="00A82661" w:rsidP="00E23F66">
            <w:pPr>
              <w:rPr>
                <w:rFonts w:ascii="Arial" w:hAnsi="Arial" w:cs="Arial"/>
              </w:rPr>
            </w:pPr>
            <w:r w:rsidRPr="00CA64EC">
              <w:rPr>
                <w:rFonts w:ascii="Arial" w:hAnsi="Arial" w:cs="Arial"/>
              </w:rPr>
              <w:lastRenderedPageBreak/>
              <w:t>New model rolled out following sharing of learning from rapid improvement event</w:t>
            </w:r>
          </w:p>
          <w:p w14:paraId="11911ED2" w14:textId="77777777" w:rsidR="00A82661" w:rsidRDefault="00A82661" w:rsidP="00E23F66">
            <w:pPr>
              <w:rPr>
                <w:rFonts w:ascii="Arial" w:hAnsi="Arial" w:cs="Arial"/>
              </w:rPr>
            </w:pPr>
          </w:p>
          <w:p w14:paraId="0758277F" w14:textId="77777777" w:rsidR="00A82661" w:rsidRPr="005E3205" w:rsidRDefault="00A82661" w:rsidP="00E23F66">
            <w:pPr>
              <w:rPr>
                <w:rFonts w:ascii="Arial" w:hAnsi="Arial" w:cs="Arial"/>
                <w:b/>
                <w:bCs/>
              </w:rPr>
            </w:pPr>
            <w:r w:rsidRPr="005E3205">
              <w:rPr>
                <w:rFonts w:ascii="Arial" w:hAnsi="Arial" w:cs="Arial"/>
                <w:b/>
                <w:bCs/>
              </w:rPr>
              <w:t>GMO is Amber (due to challe</w:t>
            </w:r>
            <w:r>
              <w:rPr>
                <w:rFonts w:ascii="Arial" w:hAnsi="Arial" w:cs="Arial"/>
                <w:b/>
                <w:bCs/>
              </w:rPr>
              <w:t>n</w:t>
            </w:r>
            <w:r w:rsidRPr="005E3205">
              <w:rPr>
                <w:rFonts w:ascii="Arial" w:hAnsi="Arial" w:cs="Arial"/>
                <w:b/>
                <w:bCs/>
              </w:rPr>
              <w:t>ging position re; bedding overnight)</w:t>
            </w:r>
          </w:p>
        </w:tc>
        <w:tc>
          <w:tcPr>
            <w:tcW w:w="1295" w:type="pct"/>
            <w:shd w:val="clear" w:color="auto" w:fill="auto"/>
          </w:tcPr>
          <w:p w14:paraId="5BEFF85E" w14:textId="77777777" w:rsidR="00A82661" w:rsidRDefault="00A82661" w:rsidP="00E23F66">
            <w:pPr>
              <w:rPr>
                <w:rFonts w:ascii="Arial" w:hAnsi="Arial" w:cs="Arial"/>
              </w:rPr>
            </w:pPr>
            <w:r w:rsidRPr="00CA64EC">
              <w:rPr>
                <w:rFonts w:ascii="Arial" w:hAnsi="Arial" w:cs="Arial"/>
              </w:rPr>
              <w:lastRenderedPageBreak/>
              <w:t>Test and further embedding of improved SDEC model</w:t>
            </w:r>
          </w:p>
          <w:p w14:paraId="2018280F" w14:textId="77777777" w:rsidR="00A82661" w:rsidRDefault="00A82661" w:rsidP="00E23F66">
            <w:pPr>
              <w:rPr>
                <w:rFonts w:ascii="Arial" w:hAnsi="Arial" w:cs="Arial"/>
              </w:rPr>
            </w:pPr>
          </w:p>
          <w:p w14:paraId="59C58F3B" w14:textId="77777777" w:rsidR="00A82661" w:rsidRPr="005E3205" w:rsidRDefault="00A82661" w:rsidP="00E23F66">
            <w:pPr>
              <w:rPr>
                <w:rFonts w:ascii="Arial" w:hAnsi="Arial" w:cs="Arial"/>
                <w:b/>
                <w:bCs/>
              </w:rPr>
            </w:pPr>
            <w:r w:rsidRPr="005E3205">
              <w:rPr>
                <w:rFonts w:ascii="Arial" w:hAnsi="Arial" w:cs="Arial"/>
                <w:b/>
                <w:bCs/>
              </w:rPr>
              <w:lastRenderedPageBreak/>
              <w:t>Anticipated that further work will take place re; SDEC with 24/ 25 as part of improvements to ED/ AMU/ SDEC/ MIU pathways - SEE AMSR 2 GMO WITHIN SERVICE GROUP 24/ 25 plan (planned cross-reporting with work led within MGH Service Group)</w:t>
            </w:r>
          </w:p>
        </w:tc>
      </w:tr>
      <w:tr w:rsidR="00A82661" w:rsidRPr="00B1166E" w14:paraId="35CE00DF" w14:textId="77777777" w:rsidTr="00E23F66">
        <w:trPr>
          <w:trHeight w:val="4803"/>
        </w:trPr>
        <w:tc>
          <w:tcPr>
            <w:tcW w:w="647" w:type="pct"/>
            <w:vMerge/>
            <w:shd w:val="clear" w:color="auto" w:fill="B8CCE4" w:themeFill="accent1" w:themeFillTint="66"/>
          </w:tcPr>
          <w:p w14:paraId="32002254" w14:textId="77777777" w:rsidR="00A82661" w:rsidRPr="00B940E9" w:rsidRDefault="00A82661" w:rsidP="00E23F66">
            <w:pPr>
              <w:spacing w:after="0" w:line="240" w:lineRule="auto"/>
              <w:jc w:val="center"/>
              <w:rPr>
                <w:rFonts w:ascii="Arial" w:hAnsi="Arial" w:cs="Arial"/>
                <w:b/>
              </w:rPr>
            </w:pPr>
          </w:p>
        </w:tc>
        <w:tc>
          <w:tcPr>
            <w:tcW w:w="1122" w:type="pct"/>
            <w:shd w:val="clear" w:color="auto" w:fill="FFFFFF" w:themeFill="background1"/>
          </w:tcPr>
          <w:p w14:paraId="4A31B12E" w14:textId="77777777" w:rsidR="00A82661" w:rsidRPr="00CA64EC" w:rsidRDefault="00A82661" w:rsidP="00E23F66">
            <w:pPr>
              <w:spacing w:after="160" w:line="259" w:lineRule="auto"/>
              <w:ind w:left="163" w:hanging="163"/>
              <w:contextualSpacing/>
              <w:rPr>
                <w:rFonts w:ascii="Arial" w:hAnsi="Arial" w:cs="Arial"/>
                <w:bCs/>
              </w:rPr>
            </w:pPr>
            <w:r w:rsidRPr="00CA64EC">
              <w:rPr>
                <w:rFonts w:ascii="Arial" w:hAnsi="Arial" w:cs="Arial"/>
                <w:bCs/>
              </w:rPr>
              <w:t>Q1 Update SDEC:</w:t>
            </w:r>
          </w:p>
          <w:p w14:paraId="6F67022E" w14:textId="77777777" w:rsidR="00A82661" w:rsidRPr="00CA64EC" w:rsidRDefault="00A82661" w:rsidP="00A82661">
            <w:pPr>
              <w:pStyle w:val="ListParagraph"/>
              <w:numPr>
                <w:ilvl w:val="0"/>
                <w:numId w:val="22"/>
              </w:numPr>
              <w:spacing w:after="160" w:line="259" w:lineRule="auto"/>
              <w:ind w:left="163" w:hanging="163"/>
              <w:rPr>
                <w:rFonts w:ascii="Arial" w:eastAsiaTheme="minorHAnsi" w:hAnsi="Arial" w:cs="Arial"/>
                <w:bCs/>
              </w:rPr>
            </w:pPr>
            <w:r w:rsidRPr="00CA64EC">
              <w:rPr>
                <w:rFonts w:ascii="Arial" w:eastAsiaTheme="minorHAnsi" w:hAnsi="Arial" w:cs="Arial"/>
                <w:bCs/>
              </w:rPr>
              <w:t xml:space="preserve">Medical SDEC learning/ improvement event phase 1 (review/ discover period) completed – currently reviewing learning from event and looking at what improvements can take place. Aim for this period was to pull 10 additional patients per day and look at joint working opportunities  </w:t>
            </w:r>
          </w:p>
          <w:p w14:paraId="5DCBA20F" w14:textId="77777777" w:rsidR="00A82661" w:rsidRPr="00CA64EC" w:rsidRDefault="00A82661" w:rsidP="00A82661">
            <w:pPr>
              <w:numPr>
                <w:ilvl w:val="0"/>
                <w:numId w:val="21"/>
              </w:numPr>
              <w:spacing w:after="160" w:line="259" w:lineRule="auto"/>
              <w:ind w:left="163" w:hanging="163"/>
              <w:rPr>
                <w:rFonts w:ascii="Arial" w:hAnsi="Arial" w:cs="Arial"/>
                <w:bCs/>
              </w:rPr>
            </w:pPr>
            <w:r w:rsidRPr="00CA64EC">
              <w:rPr>
                <w:rFonts w:ascii="Arial" w:hAnsi="Arial" w:cs="Arial"/>
                <w:bCs/>
              </w:rPr>
              <w:t>SDMU capital improvements and review of model underway – target completion date of capital improvements is July 23</w:t>
            </w:r>
          </w:p>
        </w:tc>
        <w:tc>
          <w:tcPr>
            <w:tcW w:w="1014" w:type="pct"/>
            <w:shd w:val="clear" w:color="auto" w:fill="auto"/>
          </w:tcPr>
          <w:p w14:paraId="68150352" w14:textId="77777777" w:rsidR="00A82661" w:rsidRPr="00CA64EC" w:rsidRDefault="00A82661" w:rsidP="00E23F66">
            <w:pPr>
              <w:rPr>
                <w:rFonts w:ascii="Arial" w:hAnsi="Arial" w:cs="Arial"/>
                <w:b/>
              </w:rPr>
            </w:pPr>
            <w:r w:rsidRPr="00CA64EC">
              <w:rPr>
                <w:rFonts w:ascii="Arial" w:hAnsi="Arial" w:cs="Arial"/>
                <w:b/>
              </w:rPr>
              <w:t xml:space="preserve">Q2 Update SDEC: </w:t>
            </w:r>
          </w:p>
          <w:p w14:paraId="092D53E2" w14:textId="77777777" w:rsidR="00A82661" w:rsidRPr="00CA64EC" w:rsidRDefault="00A82661" w:rsidP="00A82661">
            <w:pPr>
              <w:pStyle w:val="ListParagraph"/>
              <w:numPr>
                <w:ilvl w:val="0"/>
                <w:numId w:val="22"/>
              </w:numPr>
              <w:spacing w:after="0" w:line="240" w:lineRule="auto"/>
              <w:ind w:left="355" w:hanging="284"/>
              <w:rPr>
                <w:rFonts w:ascii="Arial" w:hAnsi="Arial" w:cs="Arial"/>
                <w:b/>
              </w:rPr>
            </w:pPr>
            <w:r w:rsidRPr="00CA64EC">
              <w:rPr>
                <w:rFonts w:ascii="Arial" w:hAnsi="Arial" w:cs="Arial"/>
                <w:b/>
              </w:rPr>
              <w:t>10 additional patients through SDEC per day</w:t>
            </w:r>
          </w:p>
          <w:p w14:paraId="2AF7B894" w14:textId="77777777" w:rsidR="00A82661" w:rsidRPr="00CA64EC" w:rsidRDefault="00A82661" w:rsidP="00A82661">
            <w:pPr>
              <w:pStyle w:val="ListParagraph"/>
              <w:numPr>
                <w:ilvl w:val="0"/>
                <w:numId w:val="21"/>
              </w:numPr>
              <w:spacing w:after="0" w:line="240" w:lineRule="auto"/>
              <w:ind w:left="355" w:hanging="284"/>
              <w:rPr>
                <w:rFonts w:ascii="Arial" w:hAnsi="Arial" w:cs="Arial"/>
                <w:b/>
                <w:bCs/>
              </w:rPr>
            </w:pPr>
            <w:r w:rsidRPr="00CA64EC">
              <w:rPr>
                <w:rFonts w:ascii="Arial" w:hAnsi="Arial" w:cs="Arial"/>
                <w:b/>
                <w:bCs/>
              </w:rPr>
              <w:t>Triage for AMU and SDEC within SDEC and all-walks in’s now coming through SDEC</w:t>
            </w:r>
          </w:p>
          <w:p w14:paraId="7C70D76F" w14:textId="77777777" w:rsidR="00A82661" w:rsidRPr="00CA64EC" w:rsidRDefault="00A82661" w:rsidP="00A82661">
            <w:pPr>
              <w:pStyle w:val="ListParagraph"/>
              <w:numPr>
                <w:ilvl w:val="0"/>
                <w:numId w:val="21"/>
              </w:numPr>
              <w:spacing w:after="0" w:line="240" w:lineRule="auto"/>
              <w:ind w:left="355" w:hanging="284"/>
              <w:rPr>
                <w:rFonts w:ascii="Arial" w:hAnsi="Arial" w:cs="Arial"/>
                <w:b/>
                <w:bCs/>
              </w:rPr>
            </w:pPr>
            <w:r w:rsidRPr="00CA64EC">
              <w:rPr>
                <w:rFonts w:ascii="Arial" w:hAnsi="Arial" w:cs="Arial"/>
                <w:b/>
                <w:bCs/>
              </w:rPr>
              <w:t>Perfect fortnight completed – successfully decompressed yellow zone (and fit to sit area altered to trollies) - anecdotal improvements in flow from ED</w:t>
            </w:r>
          </w:p>
          <w:p w14:paraId="1005BD15" w14:textId="77777777" w:rsidR="00A82661" w:rsidRPr="00CA64EC" w:rsidRDefault="00A82661" w:rsidP="00A82661">
            <w:pPr>
              <w:numPr>
                <w:ilvl w:val="0"/>
                <w:numId w:val="21"/>
              </w:numPr>
              <w:spacing w:after="0" w:line="240" w:lineRule="auto"/>
              <w:ind w:left="355" w:hanging="284"/>
              <w:rPr>
                <w:rFonts w:ascii="Arial" w:hAnsi="Arial" w:cs="Arial"/>
                <w:b/>
                <w:bCs/>
              </w:rPr>
            </w:pPr>
            <w:r w:rsidRPr="00CA64EC">
              <w:rPr>
                <w:rFonts w:ascii="Arial" w:hAnsi="Arial" w:cs="Arial"/>
                <w:b/>
                <w:bCs/>
                <w:lang w:eastAsia="en-US"/>
              </w:rPr>
              <w:t>Challenge that SDEC now regularly utilised as surge area (bedded overnight)</w:t>
            </w:r>
          </w:p>
          <w:p w14:paraId="47337691" w14:textId="77777777" w:rsidR="00A82661" w:rsidRPr="00CA64EC" w:rsidRDefault="00A82661" w:rsidP="00A82661">
            <w:pPr>
              <w:numPr>
                <w:ilvl w:val="0"/>
                <w:numId w:val="21"/>
              </w:numPr>
              <w:spacing w:after="0" w:line="240" w:lineRule="auto"/>
              <w:ind w:left="355" w:hanging="284"/>
              <w:rPr>
                <w:rFonts w:ascii="Arial" w:hAnsi="Arial" w:cs="Arial"/>
                <w:bCs/>
              </w:rPr>
            </w:pPr>
            <w:r w:rsidRPr="00CA64EC">
              <w:rPr>
                <w:rFonts w:ascii="Arial" w:hAnsi="Arial" w:cs="Arial"/>
                <w:b/>
                <w:bCs/>
              </w:rPr>
              <w:t>SAU planning/ pre-reconfiguration works underway</w:t>
            </w:r>
          </w:p>
        </w:tc>
        <w:tc>
          <w:tcPr>
            <w:tcW w:w="912" w:type="pct"/>
            <w:shd w:val="clear" w:color="auto" w:fill="auto"/>
          </w:tcPr>
          <w:p w14:paraId="1C586B66" w14:textId="77777777" w:rsidR="00A82661" w:rsidRPr="00CA64EC" w:rsidRDefault="00A82661" w:rsidP="00E23F66">
            <w:pPr>
              <w:ind w:left="280" w:hanging="280"/>
              <w:rPr>
                <w:rFonts w:ascii="Arial" w:hAnsi="Arial" w:cs="Arial"/>
              </w:rPr>
            </w:pPr>
            <w:r w:rsidRPr="00CA64EC">
              <w:rPr>
                <w:rFonts w:ascii="Arial" w:hAnsi="Arial" w:cs="Arial"/>
              </w:rPr>
              <w:t>Q3 Priorities:</w:t>
            </w:r>
          </w:p>
          <w:p w14:paraId="071CEFEA" w14:textId="77777777" w:rsidR="00A82661" w:rsidRPr="00CA64EC" w:rsidRDefault="00A82661" w:rsidP="00A82661">
            <w:pPr>
              <w:numPr>
                <w:ilvl w:val="0"/>
                <w:numId w:val="28"/>
              </w:numPr>
              <w:tabs>
                <w:tab w:val="left" w:pos="720"/>
              </w:tabs>
              <w:spacing w:after="0" w:line="240" w:lineRule="auto"/>
              <w:ind w:left="280" w:hanging="280"/>
              <w:rPr>
                <w:rFonts w:ascii="Arial" w:hAnsi="Arial" w:cs="Arial"/>
                <w:bCs/>
              </w:rPr>
            </w:pPr>
            <w:r w:rsidRPr="00CA64EC">
              <w:rPr>
                <w:rFonts w:ascii="Arial" w:hAnsi="Arial" w:cs="Arial"/>
                <w:bCs/>
              </w:rPr>
              <w:t>Confirm way forward re; model (staffing/ rotas etc.) to ensure levels of work can continue in SDEC/ AMU as per the ‘perfect fortnight’ (and continue decompressing ED)</w:t>
            </w:r>
          </w:p>
          <w:p w14:paraId="7C2C9EE6" w14:textId="77777777" w:rsidR="00A82661" w:rsidRPr="00CA64EC" w:rsidRDefault="00A82661" w:rsidP="00A82661">
            <w:pPr>
              <w:numPr>
                <w:ilvl w:val="0"/>
                <w:numId w:val="28"/>
              </w:numPr>
              <w:tabs>
                <w:tab w:val="clear" w:pos="720"/>
              </w:tabs>
              <w:spacing w:after="0" w:line="240" w:lineRule="auto"/>
              <w:ind w:left="280" w:hanging="280"/>
              <w:rPr>
                <w:rFonts w:ascii="Arial" w:hAnsi="Arial" w:cs="Arial"/>
                <w:bCs/>
              </w:rPr>
            </w:pPr>
            <w:r w:rsidRPr="00CA64EC">
              <w:rPr>
                <w:rFonts w:ascii="Arial" w:hAnsi="Arial" w:cs="Arial"/>
                <w:bCs/>
              </w:rPr>
              <w:t>Address challenge re; bedding in SDEC area/ utilised as surge (impacting on SDEC service to deliver the following day)</w:t>
            </w:r>
          </w:p>
          <w:p w14:paraId="56D8D4EA" w14:textId="77777777" w:rsidR="00A82661" w:rsidRPr="00CA64EC" w:rsidRDefault="00A82661" w:rsidP="00A82661">
            <w:pPr>
              <w:numPr>
                <w:ilvl w:val="0"/>
                <w:numId w:val="28"/>
              </w:numPr>
              <w:tabs>
                <w:tab w:val="left" w:pos="720"/>
              </w:tabs>
              <w:spacing w:after="0" w:line="240" w:lineRule="auto"/>
              <w:ind w:left="280" w:hanging="280"/>
              <w:rPr>
                <w:rFonts w:ascii="Arial" w:hAnsi="Arial" w:cs="Arial"/>
                <w:bCs/>
              </w:rPr>
            </w:pPr>
            <w:r w:rsidRPr="00CA64EC">
              <w:rPr>
                <w:rFonts w:ascii="Arial" w:hAnsi="Arial" w:cs="Arial"/>
                <w:bCs/>
              </w:rPr>
              <w:t>Progress with SDMU (SAU) model change – planned reconfiguration of new model in early November.</w:t>
            </w:r>
          </w:p>
        </w:tc>
        <w:tc>
          <w:tcPr>
            <w:tcW w:w="1295" w:type="pct"/>
            <w:shd w:val="clear" w:color="auto" w:fill="auto"/>
          </w:tcPr>
          <w:p w14:paraId="576CFC7C" w14:textId="77777777" w:rsidR="00A82661" w:rsidRPr="00ED6982" w:rsidRDefault="00A82661" w:rsidP="00E23F66">
            <w:pPr>
              <w:rPr>
                <w:rFonts w:ascii="Arial" w:hAnsi="Arial" w:cs="Arial"/>
                <w:b/>
                <w:bCs/>
              </w:rPr>
            </w:pPr>
            <w:r w:rsidRPr="00ED6982">
              <w:rPr>
                <w:rFonts w:ascii="Arial" w:hAnsi="Arial" w:cs="Arial"/>
                <w:b/>
                <w:bCs/>
              </w:rPr>
              <w:t>Q4 Priorities:</w:t>
            </w:r>
          </w:p>
          <w:p w14:paraId="0B1EF4F8" w14:textId="77777777" w:rsidR="00A82661" w:rsidRPr="00ED6982" w:rsidRDefault="00A82661" w:rsidP="00A82661">
            <w:pPr>
              <w:pStyle w:val="ListParagraph"/>
              <w:numPr>
                <w:ilvl w:val="0"/>
                <w:numId w:val="28"/>
              </w:numPr>
              <w:spacing w:after="0" w:line="240" w:lineRule="auto"/>
              <w:rPr>
                <w:rFonts w:ascii="Arial" w:hAnsi="Arial" w:cs="Arial"/>
                <w:b/>
                <w:bCs/>
              </w:rPr>
            </w:pPr>
            <w:r w:rsidRPr="00ED6982">
              <w:rPr>
                <w:rFonts w:ascii="Arial" w:hAnsi="Arial" w:cs="Arial"/>
                <w:b/>
                <w:bCs/>
              </w:rPr>
              <w:t>Continue work to further integrate AMU and SDEC into an acute hub</w:t>
            </w:r>
          </w:p>
          <w:p w14:paraId="3DA8925B" w14:textId="77777777" w:rsidR="00A82661" w:rsidRPr="00ED6982" w:rsidRDefault="00A82661" w:rsidP="00A82661">
            <w:pPr>
              <w:numPr>
                <w:ilvl w:val="0"/>
                <w:numId w:val="28"/>
              </w:numPr>
              <w:spacing w:after="0" w:line="240" w:lineRule="auto"/>
              <w:rPr>
                <w:rFonts w:ascii="Arial" w:hAnsi="Arial" w:cs="Arial"/>
                <w:b/>
                <w:bCs/>
              </w:rPr>
            </w:pPr>
            <w:r w:rsidRPr="00ED6982">
              <w:rPr>
                <w:rFonts w:ascii="Arial" w:hAnsi="Arial" w:cs="Arial"/>
                <w:b/>
                <w:bCs/>
              </w:rPr>
              <w:t>Address challenge re; bedding in SDEC area/ utilised as surge (impacting on SDEC service to deliver the following day)</w:t>
            </w:r>
          </w:p>
          <w:p w14:paraId="070372BF" w14:textId="77777777" w:rsidR="00A82661" w:rsidRPr="00ED6982" w:rsidRDefault="00A82661" w:rsidP="00A82661">
            <w:pPr>
              <w:numPr>
                <w:ilvl w:val="0"/>
                <w:numId w:val="28"/>
              </w:numPr>
              <w:spacing w:after="0" w:line="240" w:lineRule="auto"/>
              <w:rPr>
                <w:rFonts w:ascii="Arial" w:hAnsi="Arial" w:cs="Arial"/>
                <w:b/>
                <w:bCs/>
              </w:rPr>
            </w:pPr>
            <w:r w:rsidRPr="00ED6982">
              <w:rPr>
                <w:rFonts w:ascii="Arial" w:hAnsi="Arial" w:cs="Arial"/>
                <w:b/>
                <w:bCs/>
              </w:rPr>
              <w:t xml:space="preserve">Embed SDMU (SAU) model change –reconfiguration of new model took place in early November </w:t>
            </w:r>
          </w:p>
          <w:p w14:paraId="2A55BA04" w14:textId="77777777" w:rsidR="00A82661" w:rsidRPr="00CA64EC" w:rsidRDefault="00A82661" w:rsidP="00E23F66">
            <w:pPr>
              <w:rPr>
                <w:rFonts w:ascii="Arial" w:hAnsi="Arial" w:cs="Arial"/>
              </w:rPr>
            </w:pPr>
          </w:p>
        </w:tc>
      </w:tr>
      <w:tr w:rsidR="00A82661" w:rsidRPr="00B1166E" w14:paraId="67C32A56" w14:textId="77777777" w:rsidTr="00E23F66">
        <w:tc>
          <w:tcPr>
            <w:tcW w:w="647" w:type="pct"/>
            <w:vMerge w:val="restart"/>
            <w:shd w:val="clear" w:color="auto" w:fill="B8CCE4" w:themeFill="accent1" w:themeFillTint="66"/>
          </w:tcPr>
          <w:p w14:paraId="3B04478C" w14:textId="77777777" w:rsidR="00A82661" w:rsidRPr="00CA64EC" w:rsidRDefault="00A82661" w:rsidP="00E23F66">
            <w:pPr>
              <w:spacing w:after="0" w:line="240" w:lineRule="auto"/>
              <w:jc w:val="center"/>
              <w:rPr>
                <w:rFonts w:ascii="Arial" w:hAnsi="Arial" w:cs="Arial"/>
                <w:color w:val="FF0000"/>
              </w:rPr>
            </w:pPr>
            <w:r w:rsidRPr="00CA64EC">
              <w:rPr>
                <w:rFonts w:ascii="Arial" w:hAnsi="Arial" w:cs="Arial"/>
              </w:rPr>
              <w:t>UEC_018</w:t>
            </w:r>
          </w:p>
        </w:tc>
        <w:tc>
          <w:tcPr>
            <w:tcW w:w="1122" w:type="pct"/>
            <w:shd w:val="clear" w:color="auto" w:fill="FFC000"/>
          </w:tcPr>
          <w:p w14:paraId="2E39AC36" w14:textId="77777777" w:rsidR="00A82661" w:rsidRPr="00CA64EC" w:rsidRDefault="00A82661" w:rsidP="00E23F66">
            <w:pPr>
              <w:spacing w:after="0" w:line="240" w:lineRule="auto"/>
              <w:rPr>
                <w:rFonts w:ascii="Arial" w:hAnsi="Arial" w:cs="Arial"/>
              </w:rPr>
            </w:pPr>
            <w:r w:rsidRPr="00CA64EC">
              <w:rPr>
                <w:rFonts w:ascii="Arial" w:hAnsi="Arial" w:cs="Arial"/>
              </w:rPr>
              <w:t>Project group formed - work underway in relation to new model; Capital improvements underway; Business Case for Acute Surgical Unit (ASU) operating model to be developed</w:t>
            </w:r>
          </w:p>
        </w:tc>
        <w:tc>
          <w:tcPr>
            <w:tcW w:w="1014" w:type="pct"/>
            <w:shd w:val="clear" w:color="auto" w:fill="FFC000"/>
          </w:tcPr>
          <w:p w14:paraId="75907219" w14:textId="77777777" w:rsidR="00A82661" w:rsidRPr="00CA64EC" w:rsidRDefault="00A82661" w:rsidP="00A82661">
            <w:pPr>
              <w:pStyle w:val="ListParagraph"/>
              <w:numPr>
                <w:ilvl w:val="0"/>
                <w:numId w:val="22"/>
              </w:numPr>
              <w:spacing w:after="0" w:line="240" w:lineRule="auto"/>
              <w:ind w:left="481" w:hanging="425"/>
              <w:rPr>
                <w:rFonts w:ascii="Arial" w:hAnsi="Arial" w:cs="Arial"/>
                <w:b/>
                <w:bCs/>
              </w:rPr>
            </w:pPr>
            <w:r w:rsidRPr="00CA64EC">
              <w:rPr>
                <w:rFonts w:ascii="Arial" w:hAnsi="Arial" w:cs="Arial"/>
                <w:b/>
                <w:bCs/>
              </w:rPr>
              <w:t>Capital build works timetabled to be completed in July 23</w:t>
            </w:r>
          </w:p>
          <w:p w14:paraId="41762B28" w14:textId="77777777" w:rsidR="00A82661" w:rsidRPr="00CA64EC" w:rsidRDefault="00A82661" w:rsidP="00A82661">
            <w:pPr>
              <w:pStyle w:val="ListParagraph"/>
              <w:numPr>
                <w:ilvl w:val="0"/>
                <w:numId w:val="22"/>
              </w:numPr>
              <w:spacing w:after="0" w:line="240" w:lineRule="auto"/>
              <w:ind w:left="481" w:hanging="425"/>
              <w:rPr>
                <w:rFonts w:ascii="Arial" w:hAnsi="Arial" w:cs="Arial"/>
                <w:b/>
                <w:bCs/>
              </w:rPr>
            </w:pPr>
            <w:r w:rsidRPr="00CA64EC">
              <w:rPr>
                <w:rFonts w:ascii="Arial" w:hAnsi="Arial" w:cs="Arial"/>
                <w:b/>
                <w:bCs/>
              </w:rPr>
              <w:t>Business case to be taken to management board</w:t>
            </w:r>
          </w:p>
          <w:p w14:paraId="6D6283F5" w14:textId="77777777" w:rsidR="00A82661" w:rsidRPr="00CA64EC" w:rsidRDefault="00A82661" w:rsidP="00A82661">
            <w:pPr>
              <w:pStyle w:val="ListParagraph"/>
              <w:numPr>
                <w:ilvl w:val="0"/>
                <w:numId w:val="22"/>
              </w:numPr>
              <w:spacing w:after="0" w:line="240" w:lineRule="auto"/>
              <w:ind w:left="481" w:hanging="425"/>
              <w:rPr>
                <w:rFonts w:ascii="Arial" w:hAnsi="Arial" w:cs="Arial"/>
                <w:b/>
                <w:bCs/>
              </w:rPr>
            </w:pPr>
            <w:r w:rsidRPr="00CA64EC">
              <w:rPr>
                <w:rFonts w:ascii="Arial" w:hAnsi="Arial" w:cs="Arial"/>
                <w:b/>
                <w:bCs/>
              </w:rPr>
              <w:lastRenderedPageBreak/>
              <w:t>Pathways and workforce model confirmed</w:t>
            </w:r>
          </w:p>
        </w:tc>
        <w:tc>
          <w:tcPr>
            <w:tcW w:w="912" w:type="pct"/>
            <w:shd w:val="clear" w:color="auto" w:fill="00B050"/>
          </w:tcPr>
          <w:p w14:paraId="776D3374" w14:textId="77777777" w:rsidR="00A82661" w:rsidRPr="00CA64EC" w:rsidRDefault="00A82661" w:rsidP="00E23F66">
            <w:pPr>
              <w:rPr>
                <w:rFonts w:ascii="Arial" w:hAnsi="Arial" w:cs="Arial"/>
              </w:rPr>
            </w:pPr>
            <w:r w:rsidRPr="00CA64EC">
              <w:rPr>
                <w:rFonts w:ascii="Arial" w:hAnsi="Arial" w:cs="Arial"/>
              </w:rPr>
              <w:lastRenderedPageBreak/>
              <w:t>Embed new model (subject to approved business case)</w:t>
            </w:r>
          </w:p>
        </w:tc>
        <w:tc>
          <w:tcPr>
            <w:tcW w:w="1305" w:type="pct"/>
            <w:shd w:val="clear" w:color="auto" w:fill="auto"/>
          </w:tcPr>
          <w:p w14:paraId="335BE73F" w14:textId="77777777" w:rsidR="00A82661" w:rsidRPr="00CA64EC" w:rsidRDefault="00A82661" w:rsidP="00E23F66">
            <w:pPr>
              <w:rPr>
                <w:rFonts w:ascii="Arial" w:hAnsi="Arial" w:cs="Arial"/>
              </w:rPr>
            </w:pPr>
            <w:r w:rsidRPr="00CA64EC">
              <w:rPr>
                <w:rFonts w:ascii="Arial" w:hAnsi="Arial" w:cs="Arial"/>
              </w:rPr>
              <w:t>Make new model BAU (subject to approved business case)</w:t>
            </w:r>
          </w:p>
        </w:tc>
      </w:tr>
      <w:tr w:rsidR="00A82661" w:rsidRPr="00B1166E" w14:paraId="5863BD82" w14:textId="77777777" w:rsidTr="00E23F66">
        <w:trPr>
          <w:trHeight w:val="2680"/>
        </w:trPr>
        <w:tc>
          <w:tcPr>
            <w:tcW w:w="647" w:type="pct"/>
            <w:vMerge/>
            <w:shd w:val="clear" w:color="auto" w:fill="B8CCE4" w:themeFill="accent1" w:themeFillTint="66"/>
          </w:tcPr>
          <w:p w14:paraId="453C05E6" w14:textId="77777777" w:rsidR="00A82661" w:rsidRPr="00B1166E" w:rsidRDefault="00A82661" w:rsidP="00E23F66">
            <w:pPr>
              <w:spacing w:after="0" w:line="240" w:lineRule="auto"/>
              <w:jc w:val="center"/>
              <w:rPr>
                <w:rFonts w:ascii="Arial" w:hAnsi="Arial" w:cs="Arial"/>
                <w:b/>
                <w:color w:val="FF0000"/>
              </w:rPr>
            </w:pPr>
          </w:p>
        </w:tc>
        <w:tc>
          <w:tcPr>
            <w:tcW w:w="1122" w:type="pct"/>
            <w:shd w:val="clear" w:color="auto" w:fill="FFFFFF" w:themeFill="background1"/>
          </w:tcPr>
          <w:p w14:paraId="2ABB2E89" w14:textId="77777777" w:rsidR="00A82661" w:rsidRPr="00CA64EC" w:rsidRDefault="00A82661" w:rsidP="00E23F66">
            <w:pPr>
              <w:rPr>
                <w:rFonts w:ascii="Arial" w:hAnsi="Arial" w:cs="Arial"/>
              </w:rPr>
            </w:pPr>
            <w:r w:rsidRPr="00CA64EC">
              <w:rPr>
                <w:rFonts w:ascii="Arial" w:hAnsi="Arial" w:cs="Arial"/>
              </w:rPr>
              <w:t xml:space="preserve">Q1 Update/ mitigations ASU: </w:t>
            </w:r>
          </w:p>
          <w:p w14:paraId="69F4F969" w14:textId="77777777" w:rsidR="00A82661" w:rsidRPr="00CA64EC" w:rsidRDefault="00A82661" w:rsidP="00A82661">
            <w:pPr>
              <w:pStyle w:val="ListParagraph"/>
              <w:numPr>
                <w:ilvl w:val="0"/>
                <w:numId w:val="22"/>
              </w:numPr>
              <w:spacing w:after="0" w:line="240" w:lineRule="auto"/>
              <w:rPr>
                <w:rFonts w:ascii="Arial" w:eastAsiaTheme="minorHAnsi" w:hAnsi="Arial" w:cs="Arial"/>
              </w:rPr>
            </w:pPr>
            <w:r w:rsidRPr="00CA64EC">
              <w:rPr>
                <w:rFonts w:ascii="Arial" w:eastAsiaTheme="minorHAnsi" w:hAnsi="Arial" w:cs="Arial"/>
              </w:rPr>
              <w:t xml:space="preserve">Capital build/ improvements underway (minor delays to completion expected). </w:t>
            </w:r>
          </w:p>
          <w:p w14:paraId="76112176" w14:textId="77777777" w:rsidR="00A82661" w:rsidRPr="00CA64EC" w:rsidRDefault="00A82661" w:rsidP="00A82661">
            <w:pPr>
              <w:pStyle w:val="ListParagraph"/>
              <w:numPr>
                <w:ilvl w:val="0"/>
                <w:numId w:val="22"/>
              </w:numPr>
              <w:spacing w:after="0" w:line="240" w:lineRule="auto"/>
              <w:rPr>
                <w:rFonts w:ascii="Arial" w:eastAsiaTheme="minorHAnsi" w:hAnsi="Arial" w:cs="Arial"/>
              </w:rPr>
            </w:pPr>
            <w:r w:rsidRPr="00CA64EC">
              <w:rPr>
                <w:rFonts w:ascii="Arial" w:eastAsiaTheme="minorHAnsi" w:hAnsi="Arial" w:cs="Arial"/>
              </w:rPr>
              <w:t>Work underway to confirm whether model will be in place by time capital build completed.</w:t>
            </w:r>
          </w:p>
          <w:p w14:paraId="0A3D906D" w14:textId="77777777" w:rsidR="00A82661" w:rsidRPr="00CA64EC" w:rsidRDefault="00A82661" w:rsidP="00A82661">
            <w:pPr>
              <w:pStyle w:val="ListParagraph"/>
              <w:numPr>
                <w:ilvl w:val="0"/>
                <w:numId w:val="22"/>
              </w:numPr>
              <w:spacing w:after="0" w:line="240" w:lineRule="auto"/>
              <w:rPr>
                <w:rFonts w:ascii="Arial" w:eastAsiaTheme="minorHAnsi" w:hAnsi="Arial" w:cs="Arial"/>
              </w:rPr>
            </w:pPr>
            <w:r w:rsidRPr="00CA64EC">
              <w:rPr>
                <w:rFonts w:ascii="Arial" w:eastAsiaTheme="minorHAnsi" w:hAnsi="Arial" w:cs="Arial"/>
              </w:rPr>
              <w:t>Lead for mitigating actions is SGH Service Group Director</w:t>
            </w:r>
            <w:r w:rsidRPr="00CA64EC">
              <w:rPr>
                <w:rFonts w:ascii="Arial" w:eastAsiaTheme="minorHAnsi" w:hAnsi="Arial" w:cs="Arial"/>
                <w:i/>
              </w:rPr>
              <w:t>.</w:t>
            </w:r>
          </w:p>
        </w:tc>
        <w:tc>
          <w:tcPr>
            <w:tcW w:w="1014" w:type="pct"/>
            <w:shd w:val="clear" w:color="auto" w:fill="auto"/>
          </w:tcPr>
          <w:p w14:paraId="76DA5014" w14:textId="77777777" w:rsidR="00A82661" w:rsidRPr="00E911D4" w:rsidRDefault="00A82661" w:rsidP="00E23F66">
            <w:pPr>
              <w:rPr>
                <w:rFonts w:ascii="Arial" w:hAnsi="Arial" w:cs="Arial"/>
              </w:rPr>
            </w:pPr>
            <w:r w:rsidRPr="00E911D4">
              <w:rPr>
                <w:rFonts w:ascii="Arial" w:hAnsi="Arial" w:cs="Arial"/>
              </w:rPr>
              <w:t>Q2 Update ASU:</w:t>
            </w:r>
          </w:p>
          <w:p w14:paraId="303F0F18" w14:textId="77777777" w:rsidR="00A82661" w:rsidRPr="00E911D4" w:rsidRDefault="00A82661" w:rsidP="00A82661">
            <w:pPr>
              <w:pStyle w:val="ListParagraph"/>
              <w:numPr>
                <w:ilvl w:val="0"/>
                <w:numId w:val="44"/>
              </w:numPr>
              <w:ind w:left="340" w:hanging="142"/>
              <w:rPr>
                <w:rFonts w:ascii="Arial" w:hAnsi="Arial" w:cs="Arial"/>
              </w:rPr>
            </w:pPr>
            <w:r w:rsidRPr="00E911D4">
              <w:rPr>
                <w:rFonts w:ascii="Arial" w:hAnsi="Arial" w:cs="Arial"/>
                <w:bCs/>
              </w:rPr>
              <w:t xml:space="preserve">Capital build (SAU) completed. </w:t>
            </w:r>
          </w:p>
          <w:p w14:paraId="7E32E10F" w14:textId="77777777" w:rsidR="00A82661" w:rsidRPr="00E911D4" w:rsidRDefault="00A82661" w:rsidP="00A82661">
            <w:pPr>
              <w:pStyle w:val="ListParagraph"/>
              <w:numPr>
                <w:ilvl w:val="0"/>
                <w:numId w:val="44"/>
              </w:numPr>
              <w:ind w:left="340" w:hanging="142"/>
              <w:rPr>
                <w:rFonts w:ascii="Arial" w:hAnsi="Arial" w:cs="Arial"/>
              </w:rPr>
            </w:pPr>
            <w:r w:rsidRPr="00E911D4">
              <w:rPr>
                <w:rFonts w:ascii="Arial" w:hAnsi="Arial" w:cs="Arial"/>
                <w:bCs/>
              </w:rPr>
              <w:t>Acute Surgical Reconfiguration business case approved and reconfiguration to commence start of November</w:t>
            </w:r>
          </w:p>
          <w:p w14:paraId="00F0F863" w14:textId="77777777" w:rsidR="00A82661" w:rsidRPr="00CA64EC" w:rsidRDefault="00A82661" w:rsidP="00E23F66">
            <w:pPr>
              <w:spacing w:after="0" w:line="240" w:lineRule="auto"/>
              <w:rPr>
                <w:rFonts w:ascii="Arial" w:hAnsi="Arial" w:cs="Arial"/>
              </w:rPr>
            </w:pPr>
          </w:p>
        </w:tc>
        <w:tc>
          <w:tcPr>
            <w:tcW w:w="912" w:type="pct"/>
            <w:shd w:val="clear" w:color="auto" w:fill="auto"/>
          </w:tcPr>
          <w:p w14:paraId="37758BDD" w14:textId="77777777" w:rsidR="00A82661" w:rsidRPr="00CA64EC" w:rsidRDefault="00A82661" w:rsidP="00E23F66">
            <w:pPr>
              <w:rPr>
                <w:rFonts w:ascii="Arial" w:hAnsi="Arial" w:cs="Arial"/>
              </w:rPr>
            </w:pPr>
            <w:r w:rsidRPr="00CA64EC">
              <w:rPr>
                <w:rFonts w:ascii="Arial" w:hAnsi="Arial" w:cs="Arial"/>
              </w:rPr>
              <w:t>Q3 Priorities ASU:</w:t>
            </w:r>
          </w:p>
          <w:p w14:paraId="338362F9" w14:textId="77777777" w:rsidR="00A82661" w:rsidRPr="00CA64EC" w:rsidRDefault="00A82661" w:rsidP="00E23F66">
            <w:pPr>
              <w:spacing w:after="0" w:line="240" w:lineRule="auto"/>
              <w:rPr>
                <w:rFonts w:ascii="Arial" w:hAnsi="Arial" w:cs="Arial"/>
                <w:bCs/>
              </w:rPr>
            </w:pPr>
            <w:r w:rsidRPr="00CA64EC">
              <w:rPr>
                <w:rFonts w:ascii="Arial" w:hAnsi="Arial" w:cs="Arial"/>
                <w:bCs/>
              </w:rPr>
              <w:t xml:space="preserve">Reconfiguration underway </w:t>
            </w:r>
          </w:p>
          <w:p w14:paraId="5278A68C" w14:textId="77777777" w:rsidR="00A82661" w:rsidRPr="00CA64EC" w:rsidRDefault="00A82661" w:rsidP="00E23F66">
            <w:pPr>
              <w:rPr>
                <w:rFonts w:ascii="Arial" w:hAnsi="Arial" w:cs="Arial"/>
              </w:rPr>
            </w:pPr>
          </w:p>
        </w:tc>
        <w:tc>
          <w:tcPr>
            <w:tcW w:w="1305" w:type="pct"/>
            <w:shd w:val="clear" w:color="auto" w:fill="auto"/>
          </w:tcPr>
          <w:p w14:paraId="799A3C9F" w14:textId="77777777" w:rsidR="00A82661" w:rsidRDefault="00A82661" w:rsidP="00E23F66">
            <w:pPr>
              <w:rPr>
                <w:rFonts w:ascii="Arial" w:hAnsi="Arial" w:cs="Arial"/>
              </w:rPr>
            </w:pPr>
            <w:r>
              <w:rPr>
                <w:rFonts w:ascii="Arial" w:hAnsi="Arial" w:cs="Arial"/>
              </w:rPr>
              <w:t>Q4 Priorities:</w:t>
            </w:r>
          </w:p>
          <w:p w14:paraId="2D1491F4" w14:textId="77777777" w:rsidR="00A82661" w:rsidRPr="00ED6982" w:rsidRDefault="00A82661" w:rsidP="00A82661">
            <w:pPr>
              <w:pStyle w:val="ListParagraph"/>
              <w:numPr>
                <w:ilvl w:val="0"/>
                <w:numId w:val="49"/>
              </w:numPr>
              <w:spacing w:after="0" w:line="240" w:lineRule="auto"/>
              <w:rPr>
                <w:rFonts w:ascii="Arial" w:hAnsi="Arial" w:cs="Arial"/>
                <w:bCs/>
              </w:rPr>
            </w:pPr>
            <w:r w:rsidRPr="00ED6982">
              <w:rPr>
                <w:rFonts w:ascii="Arial" w:hAnsi="Arial" w:cs="Arial"/>
                <w:bCs/>
              </w:rPr>
              <w:t>Put in place plans to mitigate medical outliers</w:t>
            </w:r>
          </w:p>
          <w:p w14:paraId="09301097" w14:textId="77777777" w:rsidR="00A82661" w:rsidRPr="00ED6982" w:rsidRDefault="00A82661" w:rsidP="00A82661">
            <w:pPr>
              <w:pStyle w:val="ListParagraph"/>
              <w:numPr>
                <w:ilvl w:val="0"/>
                <w:numId w:val="49"/>
              </w:numPr>
              <w:spacing w:after="0" w:line="240" w:lineRule="auto"/>
              <w:rPr>
                <w:rFonts w:ascii="Arial" w:hAnsi="Arial" w:cs="Arial"/>
                <w:bCs/>
              </w:rPr>
            </w:pPr>
            <w:r w:rsidRPr="00ED6982">
              <w:rPr>
                <w:rFonts w:ascii="Arial" w:hAnsi="Arial" w:cs="Arial"/>
                <w:bCs/>
              </w:rPr>
              <w:t xml:space="preserve">Monitoring of benefits realisation performance </w:t>
            </w:r>
          </w:p>
          <w:p w14:paraId="13F92742" w14:textId="77777777" w:rsidR="00A82661" w:rsidRPr="00CA64EC" w:rsidRDefault="00A82661" w:rsidP="00E23F66">
            <w:pPr>
              <w:rPr>
                <w:rFonts w:ascii="Arial" w:hAnsi="Arial" w:cs="Arial"/>
              </w:rPr>
            </w:pPr>
          </w:p>
        </w:tc>
      </w:tr>
      <w:tr w:rsidR="00A82661" w:rsidRPr="00B1166E" w14:paraId="1679BB62" w14:textId="77777777" w:rsidTr="00E23F66">
        <w:trPr>
          <w:trHeight w:val="1114"/>
        </w:trPr>
        <w:tc>
          <w:tcPr>
            <w:tcW w:w="647" w:type="pct"/>
            <w:vMerge w:val="restart"/>
            <w:shd w:val="clear" w:color="auto" w:fill="B8CCE4" w:themeFill="accent1" w:themeFillTint="66"/>
          </w:tcPr>
          <w:p w14:paraId="0569F65A" w14:textId="77777777" w:rsidR="00A82661" w:rsidRPr="00CA64EC" w:rsidRDefault="00A82661" w:rsidP="00E23F66">
            <w:pPr>
              <w:spacing w:after="0" w:line="240" w:lineRule="auto"/>
              <w:jc w:val="center"/>
              <w:rPr>
                <w:rFonts w:ascii="Arial" w:hAnsi="Arial" w:cs="Arial"/>
                <w:b/>
              </w:rPr>
            </w:pPr>
            <w:r w:rsidRPr="00CA64EC">
              <w:rPr>
                <w:rFonts w:ascii="Arial" w:hAnsi="Arial" w:cs="Arial"/>
                <w:b/>
              </w:rPr>
              <w:t>UEC_023</w:t>
            </w:r>
          </w:p>
        </w:tc>
        <w:tc>
          <w:tcPr>
            <w:tcW w:w="1122" w:type="pct"/>
            <w:shd w:val="clear" w:color="auto" w:fill="00B050"/>
          </w:tcPr>
          <w:p w14:paraId="4D1C912B" w14:textId="77777777" w:rsidR="00A82661" w:rsidRPr="00CA64EC" w:rsidRDefault="00A82661" w:rsidP="00E23F66">
            <w:pPr>
              <w:spacing w:after="0" w:line="240" w:lineRule="auto"/>
              <w:rPr>
                <w:rFonts w:ascii="Arial" w:hAnsi="Arial" w:cs="Arial"/>
              </w:rPr>
            </w:pPr>
            <w:r w:rsidRPr="00CA64EC">
              <w:rPr>
                <w:rFonts w:ascii="Arial" w:hAnsi="Arial" w:cs="Arial"/>
              </w:rPr>
              <w:t>Reviewing acute hub model with rapid testing in SDEC</w:t>
            </w:r>
          </w:p>
        </w:tc>
        <w:tc>
          <w:tcPr>
            <w:tcW w:w="1014" w:type="pct"/>
            <w:shd w:val="clear" w:color="auto" w:fill="00B050"/>
          </w:tcPr>
          <w:p w14:paraId="5BF9FA7B" w14:textId="77777777" w:rsidR="00A82661" w:rsidRPr="00CA64EC" w:rsidRDefault="00A82661" w:rsidP="00E23F66">
            <w:pPr>
              <w:rPr>
                <w:rFonts w:ascii="Arial" w:hAnsi="Arial" w:cs="Arial"/>
                <w:b/>
              </w:rPr>
            </w:pPr>
            <w:r w:rsidRPr="00CA64EC">
              <w:rPr>
                <w:rFonts w:ascii="Arial" w:hAnsi="Arial" w:cs="Arial"/>
                <w:b/>
              </w:rPr>
              <w:t>SDEC rapid learning event completed - shared across acute hub footprint</w:t>
            </w:r>
          </w:p>
        </w:tc>
        <w:tc>
          <w:tcPr>
            <w:tcW w:w="912" w:type="pct"/>
            <w:shd w:val="clear" w:color="auto" w:fill="00B050"/>
          </w:tcPr>
          <w:p w14:paraId="200B350D" w14:textId="77777777" w:rsidR="00A82661" w:rsidRPr="00E911D4" w:rsidRDefault="00A82661" w:rsidP="00E23F66">
            <w:pPr>
              <w:rPr>
                <w:rFonts w:ascii="Arial" w:hAnsi="Arial" w:cs="Arial"/>
              </w:rPr>
            </w:pPr>
            <w:r w:rsidRPr="00E911D4">
              <w:rPr>
                <w:rFonts w:ascii="Arial" w:hAnsi="Arial" w:cs="Arial"/>
              </w:rPr>
              <w:t xml:space="preserve">Broader acute hub/ AMU model amended in line with changes to SDEC </w:t>
            </w:r>
          </w:p>
        </w:tc>
        <w:tc>
          <w:tcPr>
            <w:tcW w:w="1305" w:type="pct"/>
            <w:shd w:val="clear" w:color="auto" w:fill="auto"/>
          </w:tcPr>
          <w:p w14:paraId="68FEEA91" w14:textId="77777777" w:rsidR="00A82661" w:rsidRPr="00CA64EC" w:rsidRDefault="00A82661" w:rsidP="00E23F66">
            <w:pPr>
              <w:rPr>
                <w:rFonts w:ascii="Arial" w:hAnsi="Arial" w:cs="Arial"/>
              </w:rPr>
            </w:pPr>
            <w:r w:rsidRPr="005E3205">
              <w:rPr>
                <w:rFonts w:ascii="Arial" w:hAnsi="Arial" w:cs="Arial"/>
              </w:rPr>
              <w:t>Continue works – focus to be ambulatory first modal and work to decongest ED and AMU</w:t>
            </w:r>
          </w:p>
        </w:tc>
      </w:tr>
      <w:tr w:rsidR="00A82661" w:rsidRPr="00B1166E" w14:paraId="21E9F7D6" w14:textId="77777777" w:rsidTr="00E23F66">
        <w:trPr>
          <w:trHeight w:val="1971"/>
        </w:trPr>
        <w:tc>
          <w:tcPr>
            <w:tcW w:w="647" w:type="pct"/>
            <w:vMerge/>
            <w:shd w:val="clear" w:color="auto" w:fill="B8CCE4" w:themeFill="accent1" w:themeFillTint="66"/>
          </w:tcPr>
          <w:p w14:paraId="571657FF" w14:textId="77777777" w:rsidR="00A82661" w:rsidRPr="00CA64EC" w:rsidRDefault="00A82661" w:rsidP="00E23F66">
            <w:pPr>
              <w:spacing w:after="0" w:line="240" w:lineRule="auto"/>
              <w:jc w:val="center"/>
              <w:rPr>
                <w:rFonts w:ascii="Arial" w:hAnsi="Arial" w:cs="Arial"/>
                <w:b/>
              </w:rPr>
            </w:pPr>
          </w:p>
        </w:tc>
        <w:tc>
          <w:tcPr>
            <w:tcW w:w="1122" w:type="pct"/>
            <w:shd w:val="clear" w:color="auto" w:fill="FFFFFF" w:themeFill="background1"/>
          </w:tcPr>
          <w:p w14:paraId="0F3AB0B9" w14:textId="77777777" w:rsidR="00A82661" w:rsidRPr="00CA64EC" w:rsidRDefault="00A82661" w:rsidP="00E23F66">
            <w:pPr>
              <w:spacing w:after="160" w:line="259" w:lineRule="auto"/>
              <w:rPr>
                <w:rFonts w:ascii="Arial" w:hAnsi="Arial" w:cs="Arial"/>
                <w:bCs/>
              </w:rPr>
            </w:pPr>
            <w:r w:rsidRPr="00CA64EC">
              <w:rPr>
                <w:rFonts w:ascii="Arial" w:hAnsi="Arial" w:cs="Arial"/>
                <w:bCs/>
              </w:rPr>
              <w:t>Q1 Update Embed centralised acute admissions</w:t>
            </w:r>
          </w:p>
          <w:p w14:paraId="599A6FF0" w14:textId="77777777" w:rsidR="00A82661" w:rsidRPr="00CA64EC" w:rsidRDefault="00A82661" w:rsidP="00A82661">
            <w:pPr>
              <w:numPr>
                <w:ilvl w:val="0"/>
                <w:numId w:val="23"/>
              </w:numPr>
              <w:spacing w:after="160" w:line="259" w:lineRule="auto"/>
              <w:ind w:left="446" w:hanging="283"/>
              <w:contextualSpacing/>
              <w:rPr>
                <w:rFonts w:ascii="Arial" w:hAnsi="Arial" w:cs="Arial"/>
                <w:bCs/>
              </w:rPr>
            </w:pPr>
            <w:r w:rsidRPr="00CA64EC">
              <w:rPr>
                <w:rFonts w:ascii="Arial" w:hAnsi="Arial" w:cs="Arial"/>
                <w:bCs/>
              </w:rPr>
              <w:t>Circa 10 additional patients seen in SDEC being pulled from ED and AMU Yellow Bay</w:t>
            </w:r>
          </w:p>
          <w:p w14:paraId="14C53603" w14:textId="77777777" w:rsidR="00A82661" w:rsidRPr="00CA64EC" w:rsidRDefault="00A82661" w:rsidP="00A82661">
            <w:pPr>
              <w:numPr>
                <w:ilvl w:val="0"/>
                <w:numId w:val="23"/>
              </w:numPr>
              <w:spacing w:after="160" w:line="259" w:lineRule="auto"/>
              <w:ind w:left="446" w:hanging="283"/>
              <w:contextualSpacing/>
              <w:rPr>
                <w:rFonts w:ascii="Arial" w:hAnsi="Arial" w:cs="Arial"/>
                <w:bCs/>
              </w:rPr>
            </w:pPr>
            <w:r w:rsidRPr="00CA64EC">
              <w:rPr>
                <w:rFonts w:ascii="Arial" w:hAnsi="Arial" w:cs="Arial"/>
                <w:bCs/>
              </w:rPr>
              <w:t>Staffing vacancies being worked on</w:t>
            </w:r>
          </w:p>
          <w:p w14:paraId="6CB5D32D" w14:textId="77777777" w:rsidR="00A82661" w:rsidRPr="00CA64EC" w:rsidRDefault="00A82661" w:rsidP="00A82661">
            <w:pPr>
              <w:numPr>
                <w:ilvl w:val="0"/>
                <w:numId w:val="23"/>
              </w:numPr>
              <w:spacing w:after="160" w:line="259" w:lineRule="auto"/>
              <w:ind w:left="446" w:hanging="283"/>
              <w:contextualSpacing/>
              <w:rPr>
                <w:rFonts w:ascii="Arial" w:hAnsi="Arial" w:cs="Arial"/>
                <w:bCs/>
              </w:rPr>
            </w:pPr>
            <w:r w:rsidRPr="00CA64EC">
              <w:rPr>
                <w:rFonts w:ascii="Arial" w:hAnsi="Arial" w:cs="Arial"/>
                <w:bCs/>
              </w:rPr>
              <w:t>Reduction in average bed occupancy, medical outliers and COPs seen since opening AMU</w:t>
            </w:r>
          </w:p>
          <w:p w14:paraId="16734722" w14:textId="77777777" w:rsidR="00A82661" w:rsidRPr="00CA64EC" w:rsidRDefault="00A82661" w:rsidP="00E23F66">
            <w:pPr>
              <w:spacing w:after="0" w:line="240" w:lineRule="auto"/>
              <w:rPr>
                <w:rFonts w:ascii="Arial" w:hAnsi="Arial" w:cs="Arial"/>
              </w:rPr>
            </w:pPr>
          </w:p>
        </w:tc>
        <w:tc>
          <w:tcPr>
            <w:tcW w:w="1014" w:type="pct"/>
            <w:shd w:val="clear" w:color="auto" w:fill="auto"/>
          </w:tcPr>
          <w:p w14:paraId="5F7C9879" w14:textId="77777777" w:rsidR="00A82661" w:rsidRPr="00CA64EC" w:rsidRDefault="00A82661" w:rsidP="00E23F66">
            <w:pPr>
              <w:rPr>
                <w:rFonts w:ascii="Arial" w:hAnsi="Arial" w:cs="Arial"/>
                <w:b/>
              </w:rPr>
            </w:pPr>
            <w:r w:rsidRPr="00CA64EC">
              <w:rPr>
                <w:rFonts w:ascii="Arial" w:hAnsi="Arial" w:cs="Arial"/>
                <w:b/>
              </w:rPr>
              <w:t>Q2 Update Embed centralised acute admissions:</w:t>
            </w:r>
          </w:p>
          <w:p w14:paraId="49F251D8" w14:textId="77777777" w:rsidR="00A82661" w:rsidRPr="00CA64EC" w:rsidRDefault="00A82661" w:rsidP="00E23F66">
            <w:pPr>
              <w:rPr>
                <w:rFonts w:ascii="Arial" w:hAnsi="Arial" w:cs="Arial"/>
                <w:b/>
              </w:rPr>
            </w:pPr>
            <w:r w:rsidRPr="00CA64EC">
              <w:rPr>
                <w:rFonts w:ascii="Arial" w:hAnsi="Arial" w:cs="Arial"/>
                <w:b/>
                <w:bCs/>
              </w:rPr>
              <w:t>Work ongoing to embed all acute admissions at MGH, including:</w:t>
            </w:r>
          </w:p>
          <w:p w14:paraId="703A96EB" w14:textId="77777777" w:rsidR="00A82661" w:rsidRPr="00CA64EC" w:rsidRDefault="00A82661" w:rsidP="00A82661">
            <w:pPr>
              <w:numPr>
                <w:ilvl w:val="0"/>
                <w:numId w:val="45"/>
              </w:numPr>
              <w:spacing w:after="0" w:line="240" w:lineRule="auto"/>
              <w:ind w:left="481" w:hanging="283"/>
              <w:rPr>
                <w:rFonts w:ascii="Arial" w:hAnsi="Arial" w:cs="Arial"/>
                <w:b/>
              </w:rPr>
            </w:pPr>
            <w:r w:rsidRPr="00CA64EC">
              <w:rPr>
                <w:rFonts w:ascii="Arial" w:hAnsi="Arial" w:cs="Arial"/>
                <w:b/>
              </w:rPr>
              <w:t>2 Acute Care Physician posts being progressed</w:t>
            </w:r>
          </w:p>
          <w:p w14:paraId="12BCB234" w14:textId="77777777" w:rsidR="00A82661" w:rsidRPr="00CA64EC" w:rsidRDefault="00A82661" w:rsidP="00A82661">
            <w:pPr>
              <w:numPr>
                <w:ilvl w:val="0"/>
                <w:numId w:val="45"/>
              </w:numPr>
              <w:spacing w:after="0" w:line="240" w:lineRule="auto"/>
              <w:ind w:left="481" w:hanging="283"/>
              <w:rPr>
                <w:rFonts w:ascii="Arial" w:hAnsi="Arial" w:cs="Arial"/>
                <w:b/>
              </w:rPr>
            </w:pPr>
            <w:r w:rsidRPr="00CA64EC">
              <w:rPr>
                <w:rFonts w:ascii="Arial" w:hAnsi="Arial" w:cs="Arial"/>
                <w:b/>
              </w:rPr>
              <w:t>Future staffing model including expanded Advanced Clinical Practitioners to be reviewed- awaiting workforce input</w:t>
            </w:r>
          </w:p>
          <w:p w14:paraId="6C0D400B" w14:textId="77777777" w:rsidR="00A82661" w:rsidRPr="00CA64EC" w:rsidRDefault="00A82661" w:rsidP="00A82661">
            <w:pPr>
              <w:numPr>
                <w:ilvl w:val="0"/>
                <w:numId w:val="45"/>
              </w:numPr>
              <w:spacing w:after="0" w:line="240" w:lineRule="auto"/>
              <w:ind w:left="481" w:hanging="283"/>
              <w:rPr>
                <w:rFonts w:ascii="Arial" w:hAnsi="Arial" w:cs="Arial"/>
                <w:b/>
              </w:rPr>
            </w:pPr>
            <w:r w:rsidRPr="00CA64EC">
              <w:rPr>
                <w:rFonts w:ascii="Arial" w:hAnsi="Arial" w:cs="Arial"/>
                <w:b/>
              </w:rPr>
              <w:lastRenderedPageBreak/>
              <w:t xml:space="preserve">AMU escalation criteria to be agreed and implemented </w:t>
            </w:r>
          </w:p>
          <w:p w14:paraId="535EC6F4" w14:textId="77777777" w:rsidR="00A82661" w:rsidRPr="00CA64EC" w:rsidRDefault="00A82661" w:rsidP="00A82661">
            <w:pPr>
              <w:numPr>
                <w:ilvl w:val="0"/>
                <w:numId w:val="45"/>
              </w:numPr>
              <w:spacing w:after="0" w:line="240" w:lineRule="auto"/>
              <w:ind w:left="481" w:hanging="283"/>
              <w:rPr>
                <w:rFonts w:ascii="Arial" w:hAnsi="Arial" w:cs="Arial"/>
                <w:b/>
              </w:rPr>
            </w:pPr>
            <w:r w:rsidRPr="00CA64EC">
              <w:rPr>
                <w:rFonts w:ascii="Arial" w:hAnsi="Arial" w:cs="Arial"/>
                <w:b/>
              </w:rPr>
              <w:t xml:space="preserve">SDEC admission criteria for out of hours’ usage agreed on. </w:t>
            </w:r>
          </w:p>
          <w:p w14:paraId="76035A46" w14:textId="77777777" w:rsidR="00A82661" w:rsidRPr="00CA64EC" w:rsidRDefault="00A82661" w:rsidP="00A82661">
            <w:pPr>
              <w:numPr>
                <w:ilvl w:val="0"/>
                <w:numId w:val="45"/>
              </w:numPr>
              <w:spacing w:after="0" w:line="240" w:lineRule="auto"/>
              <w:ind w:left="481" w:hanging="283"/>
              <w:rPr>
                <w:rFonts w:ascii="Arial" w:hAnsi="Arial" w:cs="Arial"/>
                <w:b/>
              </w:rPr>
            </w:pPr>
            <w:r w:rsidRPr="00CA64EC">
              <w:rPr>
                <w:rFonts w:ascii="Arial" w:hAnsi="Arial" w:cs="Arial"/>
                <w:b/>
              </w:rPr>
              <w:t xml:space="preserve">Review of SDEC corridor usage to ensure all relevant alternatives to admission are explored </w:t>
            </w:r>
          </w:p>
        </w:tc>
        <w:tc>
          <w:tcPr>
            <w:tcW w:w="912" w:type="pct"/>
            <w:shd w:val="clear" w:color="auto" w:fill="auto"/>
          </w:tcPr>
          <w:p w14:paraId="79AB3540" w14:textId="77777777" w:rsidR="00A82661" w:rsidRPr="00E911D4" w:rsidRDefault="00A82661" w:rsidP="00E23F66">
            <w:pPr>
              <w:rPr>
                <w:rFonts w:ascii="Arial" w:hAnsi="Arial" w:cs="Arial"/>
              </w:rPr>
            </w:pPr>
            <w:r w:rsidRPr="00E911D4">
              <w:rPr>
                <w:rFonts w:ascii="Arial" w:hAnsi="Arial" w:cs="Arial"/>
              </w:rPr>
              <w:lastRenderedPageBreak/>
              <w:t>Q3 Priorities Embed centralised acute admissions:</w:t>
            </w:r>
          </w:p>
          <w:p w14:paraId="3826C1FA" w14:textId="77777777" w:rsidR="00A82661" w:rsidRPr="00E911D4" w:rsidRDefault="00A82661" w:rsidP="00E23F66">
            <w:pPr>
              <w:rPr>
                <w:rFonts w:ascii="Arial" w:hAnsi="Arial" w:cs="Arial"/>
                <w:color w:val="1F497D"/>
                <w:sz w:val="22"/>
                <w:szCs w:val="22"/>
              </w:rPr>
            </w:pPr>
            <w:r w:rsidRPr="00E911D4">
              <w:rPr>
                <w:rFonts w:ascii="Arial" w:hAnsi="Arial" w:cs="Arial"/>
              </w:rPr>
              <w:t xml:space="preserve">Continue works – focus to be ambulatory first model and work to decongest ED and AMU </w:t>
            </w:r>
          </w:p>
          <w:p w14:paraId="41EC52AF" w14:textId="77777777" w:rsidR="00A82661" w:rsidRPr="00E911D4" w:rsidRDefault="00A82661" w:rsidP="00E23F66">
            <w:pPr>
              <w:rPr>
                <w:rFonts w:ascii="Arial" w:hAnsi="Arial" w:cs="Arial"/>
              </w:rPr>
            </w:pPr>
          </w:p>
        </w:tc>
        <w:tc>
          <w:tcPr>
            <w:tcW w:w="1305" w:type="pct"/>
            <w:shd w:val="clear" w:color="auto" w:fill="auto"/>
          </w:tcPr>
          <w:p w14:paraId="222CECA0" w14:textId="77777777" w:rsidR="00A82661" w:rsidRDefault="00A82661" w:rsidP="00E23F66">
            <w:pPr>
              <w:rPr>
                <w:rFonts w:ascii="Arial" w:hAnsi="Arial" w:cs="Arial"/>
              </w:rPr>
            </w:pPr>
            <w:r>
              <w:rPr>
                <w:rFonts w:ascii="Arial" w:hAnsi="Arial" w:cs="Arial"/>
              </w:rPr>
              <w:t>Q4 Priorities:</w:t>
            </w:r>
          </w:p>
          <w:p w14:paraId="307E82EE" w14:textId="77777777" w:rsidR="00A82661" w:rsidRPr="00ED6982" w:rsidRDefault="00A82661" w:rsidP="00A82661">
            <w:pPr>
              <w:pStyle w:val="ListParagraph"/>
              <w:numPr>
                <w:ilvl w:val="0"/>
                <w:numId w:val="49"/>
              </w:numPr>
              <w:spacing w:after="0" w:line="240" w:lineRule="auto"/>
              <w:rPr>
                <w:rFonts w:ascii="Arial" w:hAnsi="Arial" w:cs="Arial"/>
                <w:u w:val="single"/>
              </w:rPr>
            </w:pPr>
            <w:r w:rsidRPr="00ED6982">
              <w:rPr>
                <w:rFonts w:ascii="Arial" w:hAnsi="Arial" w:cs="Arial"/>
              </w:rPr>
              <w:t>Continue works as Business as Usual – monitoring of AMU to take place through Morriston Management Group structures</w:t>
            </w:r>
          </w:p>
          <w:p w14:paraId="00719EE9" w14:textId="77777777" w:rsidR="00A82661" w:rsidRPr="00CA64EC" w:rsidRDefault="00A82661" w:rsidP="00E23F66">
            <w:pPr>
              <w:rPr>
                <w:rFonts w:ascii="Arial" w:hAnsi="Arial" w:cs="Arial"/>
              </w:rPr>
            </w:pPr>
          </w:p>
        </w:tc>
      </w:tr>
      <w:tr w:rsidR="00A82661" w:rsidRPr="00B1166E" w14:paraId="71884398" w14:textId="77777777" w:rsidTr="00E23F66">
        <w:trPr>
          <w:trHeight w:val="2238"/>
        </w:trPr>
        <w:tc>
          <w:tcPr>
            <w:tcW w:w="647" w:type="pct"/>
            <w:vMerge w:val="restart"/>
            <w:shd w:val="clear" w:color="auto" w:fill="B8CCE4" w:themeFill="accent1" w:themeFillTint="66"/>
          </w:tcPr>
          <w:p w14:paraId="27D58025" w14:textId="77777777" w:rsidR="00A82661" w:rsidRPr="00CA64EC" w:rsidRDefault="00A82661" w:rsidP="00E23F66">
            <w:pPr>
              <w:rPr>
                <w:rFonts w:ascii="Arial" w:hAnsi="Arial" w:cs="Arial"/>
                <w:b/>
                <w:bCs/>
              </w:rPr>
            </w:pPr>
            <w:r w:rsidRPr="00CA64EC">
              <w:rPr>
                <w:rFonts w:ascii="Arial" w:hAnsi="Arial" w:cs="Arial"/>
                <w:b/>
                <w:bCs/>
              </w:rPr>
              <w:t>UEC_001</w:t>
            </w:r>
          </w:p>
        </w:tc>
        <w:tc>
          <w:tcPr>
            <w:tcW w:w="1122" w:type="pct"/>
            <w:shd w:val="clear" w:color="auto" w:fill="00B050"/>
          </w:tcPr>
          <w:p w14:paraId="44A1E1A5" w14:textId="77777777" w:rsidR="00A82661" w:rsidRPr="00E911D4" w:rsidRDefault="00A82661" w:rsidP="00E23F66">
            <w:pPr>
              <w:spacing w:after="0" w:line="240" w:lineRule="auto"/>
              <w:rPr>
                <w:rFonts w:ascii="Arial" w:hAnsi="Arial" w:cs="Arial"/>
              </w:rPr>
            </w:pPr>
            <w:r w:rsidRPr="00E911D4">
              <w:rPr>
                <w:rFonts w:ascii="Arial" w:hAnsi="Arial" w:cs="Arial"/>
              </w:rPr>
              <w:t>Refocussing of workforce requirements and scoping of rotational roles required for delivery. Commenced Business Case development</w:t>
            </w:r>
          </w:p>
        </w:tc>
        <w:tc>
          <w:tcPr>
            <w:tcW w:w="1014" w:type="pct"/>
            <w:shd w:val="clear" w:color="auto" w:fill="C00000"/>
          </w:tcPr>
          <w:p w14:paraId="115A631B" w14:textId="77777777" w:rsidR="00A82661" w:rsidRPr="00CA64EC" w:rsidRDefault="00A82661" w:rsidP="00E23F66">
            <w:pPr>
              <w:rPr>
                <w:rFonts w:ascii="Arial" w:hAnsi="Arial" w:cs="Arial"/>
                <w:b/>
              </w:rPr>
            </w:pPr>
            <w:r w:rsidRPr="00CA64EC">
              <w:rPr>
                <w:rFonts w:ascii="Arial" w:hAnsi="Arial" w:cs="Arial"/>
                <w:b/>
              </w:rPr>
              <w:t>Business Case approval/ commence recruitment</w:t>
            </w:r>
          </w:p>
        </w:tc>
        <w:tc>
          <w:tcPr>
            <w:tcW w:w="912" w:type="pct"/>
            <w:shd w:val="clear" w:color="auto" w:fill="C00000"/>
          </w:tcPr>
          <w:p w14:paraId="5398AAAB" w14:textId="77777777" w:rsidR="00A82661" w:rsidRPr="005E3205" w:rsidRDefault="00A82661" w:rsidP="00E23F66">
            <w:pPr>
              <w:rPr>
                <w:rFonts w:ascii="Arial" w:hAnsi="Arial" w:cs="Arial"/>
                <w:b/>
                <w:lang w:eastAsia="en-US"/>
              </w:rPr>
            </w:pPr>
            <w:r w:rsidRPr="005E3205">
              <w:rPr>
                <w:rFonts w:ascii="Arial" w:hAnsi="Arial" w:cs="Arial"/>
                <w:b/>
              </w:rPr>
              <w:t xml:space="preserve">Continue to look for in-reach and expansion opportunities. Further develop/ grow VW model (funding yet to be sourced). Fracture Discharge Service to </w:t>
            </w:r>
            <w:r w:rsidRPr="005E3205">
              <w:rPr>
                <w:rFonts w:ascii="Arial" w:hAnsi="Arial" w:cs="Arial"/>
                <w:b/>
                <w:lang w:eastAsia="en-US"/>
              </w:rPr>
              <w:t>continue operating/ developing as appropriate</w:t>
            </w:r>
          </w:p>
        </w:tc>
        <w:tc>
          <w:tcPr>
            <w:tcW w:w="1305" w:type="pct"/>
            <w:shd w:val="clear" w:color="auto" w:fill="auto"/>
          </w:tcPr>
          <w:p w14:paraId="22D8543D" w14:textId="77777777" w:rsidR="00A82661" w:rsidRDefault="00A82661" w:rsidP="00E23F66">
            <w:pPr>
              <w:rPr>
                <w:rFonts w:ascii="Arial" w:hAnsi="Arial" w:cs="Arial"/>
                <w:b/>
                <w:bCs/>
                <w:i/>
                <w:color w:val="FF0000"/>
              </w:rPr>
            </w:pPr>
            <w:r w:rsidRPr="005E3205">
              <w:rPr>
                <w:rFonts w:ascii="Arial" w:hAnsi="Arial" w:cs="Arial"/>
                <w:b/>
                <w:bCs/>
                <w:i/>
                <w:color w:val="FF0000"/>
              </w:rPr>
              <w:t xml:space="preserve">Milestones TBC </w:t>
            </w:r>
          </w:p>
          <w:p w14:paraId="60247423" w14:textId="77777777" w:rsidR="00A82661" w:rsidRPr="005E3205" w:rsidRDefault="00A82661" w:rsidP="00E23F66">
            <w:pPr>
              <w:rPr>
                <w:rFonts w:ascii="Arial" w:hAnsi="Arial" w:cs="Arial"/>
                <w:i/>
              </w:rPr>
            </w:pPr>
            <w:r>
              <w:rPr>
                <w:rFonts w:ascii="Arial" w:hAnsi="Arial" w:cs="Arial"/>
                <w:i/>
                <w:color w:val="FF0000"/>
              </w:rPr>
              <w:t>Original Q4 Milestone: Phased delivery of bed savings</w:t>
            </w:r>
          </w:p>
        </w:tc>
      </w:tr>
      <w:tr w:rsidR="00A82661" w:rsidRPr="00B1166E" w14:paraId="7727A74B" w14:textId="77777777" w:rsidTr="00E23F66">
        <w:tc>
          <w:tcPr>
            <w:tcW w:w="647" w:type="pct"/>
            <w:vMerge/>
            <w:shd w:val="clear" w:color="auto" w:fill="B8CCE4" w:themeFill="accent1" w:themeFillTint="66"/>
          </w:tcPr>
          <w:p w14:paraId="1396191B" w14:textId="77777777" w:rsidR="00A82661" w:rsidRPr="00CA64EC" w:rsidRDefault="00A82661" w:rsidP="00E23F66">
            <w:pPr>
              <w:rPr>
                <w:rFonts w:ascii="Arial" w:hAnsi="Arial" w:cs="Arial"/>
                <w:b/>
                <w:bCs/>
              </w:rPr>
            </w:pPr>
          </w:p>
        </w:tc>
        <w:tc>
          <w:tcPr>
            <w:tcW w:w="1122" w:type="pct"/>
            <w:shd w:val="clear" w:color="auto" w:fill="FFFFFF" w:themeFill="background1"/>
          </w:tcPr>
          <w:p w14:paraId="004DD018" w14:textId="77777777" w:rsidR="00A82661" w:rsidRPr="00E911D4" w:rsidRDefault="00A82661" w:rsidP="00E23F66">
            <w:pPr>
              <w:spacing w:after="160" w:line="259" w:lineRule="auto"/>
              <w:rPr>
                <w:rFonts w:ascii="Arial" w:hAnsi="Arial" w:cs="Arial"/>
                <w:bCs/>
              </w:rPr>
            </w:pPr>
            <w:r w:rsidRPr="00E911D4">
              <w:rPr>
                <w:rFonts w:ascii="Arial" w:hAnsi="Arial" w:cs="Arial"/>
                <w:bCs/>
              </w:rPr>
              <w:t>Q1 Update Virtual wards:</w:t>
            </w:r>
          </w:p>
          <w:p w14:paraId="4434CD6F" w14:textId="77777777" w:rsidR="00A82661" w:rsidRPr="00E911D4" w:rsidRDefault="00A82661" w:rsidP="00A82661">
            <w:pPr>
              <w:pStyle w:val="xmsolistparagraph"/>
              <w:numPr>
                <w:ilvl w:val="0"/>
                <w:numId w:val="24"/>
              </w:numPr>
              <w:rPr>
                <w:rFonts w:ascii="Arial" w:hAnsi="Arial" w:cs="Arial"/>
                <w:bCs/>
              </w:rPr>
            </w:pPr>
            <w:r w:rsidRPr="00E911D4">
              <w:rPr>
                <w:rFonts w:ascii="Arial" w:hAnsi="Arial" w:cs="Arial"/>
                <w:bCs/>
              </w:rPr>
              <w:t>Virtual wards in all clusters and performance over target.</w:t>
            </w:r>
          </w:p>
          <w:p w14:paraId="38B9F551" w14:textId="77777777" w:rsidR="00A82661" w:rsidRPr="00E911D4" w:rsidRDefault="00A82661" w:rsidP="00E23F66">
            <w:pPr>
              <w:pStyle w:val="xmsolistparagraph"/>
              <w:ind w:left="0"/>
              <w:rPr>
                <w:rFonts w:ascii="Arial" w:hAnsi="Arial" w:cs="Arial"/>
                <w:bCs/>
              </w:rPr>
            </w:pPr>
          </w:p>
        </w:tc>
        <w:tc>
          <w:tcPr>
            <w:tcW w:w="1014" w:type="pct"/>
            <w:shd w:val="clear" w:color="auto" w:fill="auto"/>
          </w:tcPr>
          <w:p w14:paraId="5104EC0E" w14:textId="77777777" w:rsidR="00A82661" w:rsidRPr="00CA64EC" w:rsidRDefault="00A82661" w:rsidP="00E23F66">
            <w:pPr>
              <w:ind w:left="198" w:hanging="198"/>
              <w:rPr>
                <w:rFonts w:ascii="Arial" w:hAnsi="Arial" w:cs="Arial"/>
                <w:b/>
              </w:rPr>
            </w:pPr>
            <w:r w:rsidRPr="00CA64EC">
              <w:rPr>
                <w:rFonts w:ascii="Arial" w:hAnsi="Arial" w:cs="Arial"/>
                <w:b/>
              </w:rPr>
              <w:t>Q2 Update VW expansion phase 4/5:</w:t>
            </w:r>
          </w:p>
          <w:p w14:paraId="44E0C7CD" w14:textId="77777777" w:rsidR="00A82661" w:rsidRPr="00CA64EC" w:rsidRDefault="00A82661" w:rsidP="00A82661">
            <w:pPr>
              <w:pStyle w:val="xmsolistparagraph"/>
              <w:numPr>
                <w:ilvl w:val="0"/>
                <w:numId w:val="20"/>
              </w:numPr>
              <w:ind w:left="198" w:hanging="198"/>
              <w:rPr>
                <w:rFonts w:ascii="Arial" w:hAnsi="Arial" w:cs="Arial"/>
                <w:b/>
                <w:bCs/>
              </w:rPr>
            </w:pPr>
            <w:r w:rsidRPr="00CA64EC">
              <w:rPr>
                <w:rFonts w:ascii="Arial" w:hAnsi="Arial" w:cs="Arial"/>
                <w:b/>
                <w:bCs/>
              </w:rPr>
              <w:t>Virtual wards require funding to expand to 7/7 and in reach model. Business case developed however cannot be progressed as requires identification of savings to fund the proposed model.</w:t>
            </w:r>
          </w:p>
          <w:p w14:paraId="7E5DE0D4" w14:textId="77777777" w:rsidR="00A82661" w:rsidRDefault="00A82661" w:rsidP="00A82661">
            <w:pPr>
              <w:pStyle w:val="xmsolistparagraph"/>
              <w:numPr>
                <w:ilvl w:val="0"/>
                <w:numId w:val="20"/>
              </w:numPr>
              <w:ind w:left="198" w:hanging="198"/>
              <w:rPr>
                <w:rFonts w:ascii="Arial" w:hAnsi="Arial" w:cs="Arial"/>
                <w:b/>
                <w:bCs/>
              </w:rPr>
            </w:pPr>
            <w:r w:rsidRPr="00CA64EC">
              <w:rPr>
                <w:rFonts w:ascii="Arial" w:hAnsi="Arial" w:cs="Arial"/>
                <w:b/>
                <w:bCs/>
              </w:rPr>
              <w:t xml:space="preserve">However funded VW model (phase 1 and 2) remains in place in all </w:t>
            </w:r>
            <w:r w:rsidRPr="00CA64EC">
              <w:rPr>
                <w:rFonts w:ascii="Arial" w:hAnsi="Arial" w:cs="Arial"/>
                <w:b/>
                <w:bCs/>
              </w:rPr>
              <w:lastRenderedPageBreak/>
              <w:t xml:space="preserve">clusters and are performing above set targets; Phase 1 Bed days saved (Sept 23) = 1210, compared to target of 667; Phase 2 Bed days saved (Sept 23) = 1068, compared to target of 667 </w:t>
            </w:r>
          </w:p>
          <w:p w14:paraId="728731A7" w14:textId="77777777" w:rsidR="00A82661" w:rsidRPr="00965258" w:rsidRDefault="00A82661" w:rsidP="00A82661">
            <w:pPr>
              <w:pStyle w:val="xmsolistparagraph"/>
              <w:numPr>
                <w:ilvl w:val="0"/>
                <w:numId w:val="20"/>
              </w:numPr>
              <w:ind w:left="198" w:hanging="198"/>
              <w:rPr>
                <w:rFonts w:ascii="Arial" w:hAnsi="Arial" w:cs="Arial"/>
                <w:b/>
                <w:bCs/>
              </w:rPr>
            </w:pPr>
            <w:r w:rsidRPr="00CA64EC">
              <w:rPr>
                <w:rFonts w:ascii="Arial" w:hAnsi="Arial" w:cs="Arial"/>
                <w:b/>
                <w:bCs/>
              </w:rPr>
              <w:t xml:space="preserve">Work underway re; fracture discharge service (FDS) in place and operating. </w:t>
            </w:r>
          </w:p>
        </w:tc>
        <w:tc>
          <w:tcPr>
            <w:tcW w:w="912" w:type="pct"/>
            <w:shd w:val="clear" w:color="auto" w:fill="auto"/>
          </w:tcPr>
          <w:p w14:paraId="4788D19F" w14:textId="77777777" w:rsidR="00A82661" w:rsidRDefault="00A82661" w:rsidP="00E23F66">
            <w:pPr>
              <w:rPr>
                <w:rFonts w:ascii="Arial" w:hAnsi="Arial" w:cs="Arial"/>
              </w:rPr>
            </w:pPr>
            <w:r>
              <w:rPr>
                <w:rFonts w:ascii="Arial" w:hAnsi="Arial" w:cs="Arial"/>
              </w:rPr>
              <w:lastRenderedPageBreak/>
              <w:t>Q3 Priorities:</w:t>
            </w:r>
          </w:p>
          <w:p w14:paraId="66DEA7A3" w14:textId="77777777" w:rsidR="00A82661" w:rsidRDefault="00A82661" w:rsidP="00E23F66">
            <w:pPr>
              <w:rPr>
                <w:rFonts w:ascii="Arial" w:hAnsi="Arial" w:cs="Arial"/>
              </w:rPr>
            </w:pPr>
            <w:r>
              <w:rPr>
                <w:rFonts w:ascii="Arial" w:hAnsi="Arial" w:cs="Arial"/>
              </w:rPr>
              <w:t>As above</w:t>
            </w:r>
          </w:p>
          <w:p w14:paraId="06D2011E" w14:textId="77777777" w:rsidR="00A82661" w:rsidRPr="00CA64EC" w:rsidRDefault="00A82661" w:rsidP="00E23F66">
            <w:pPr>
              <w:rPr>
                <w:rFonts w:ascii="Arial" w:hAnsi="Arial" w:cs="Arial"/>
              </w:rPr>
            </w:pPr>
          </w:p>
        </w:tc>
        <w:tc>
          <w:tcPr>
            <w:tcW w:w="1305" w:type="pct"/>
            <w:shd w:val="clear" w:color="auto" w:fill="auto"/>
          </w:tcPr>
          <w:p w14:paraId="41819AC3" w14:textId="77777777" w:rsidR="00A82661" w:rsidRDefault="00A82661" w:rsidP="00E23F66">
            <w:pPr>
              <w:rPr>
                <w:rFonts w:ascii="Arial" w:hAnsi="Arial" w:cs="Arial"/>
              </w:rPr>
            </w:pPr>
            <w:r>
              <w:rPr>
                <w:rFonts w:ascii="Arial" w:hAnsi="Arial" w:cs="Arial"/>
              </w:rPr>
              <w:t>Q4 Priorities:</w:t>
            </w:r>
          </w:p>
          <w:p w14:paraId="241B13E4" w14:textId="77777777" w:rsidR="00A82661" w:rsidRPr="00E05391" w:rsidRDefault="00A82661" w:rsidP="00A82661">
            <w:pPr>
              <w:pStyle w:val="ListParagraph"/>
              <w:numPr>
                <w:ilvl w:val="0"/>
                <w:numId w:val="20"/>
              </w:numPr>
              <w:spacing w:after="0" w:line="240" w:lineRule="auto"/>
              <w:rPr>
                <w:rFonts w:ascii="Arial" w:hAnsi="Arial" w:cs="Arial"/>
              </w:rPr>
            </w:pPr>
            <w:r w:rsidRPr="00E05391">
              <w:rPr>
                <w:rFonts w:ascii="Arial" w:hAnsi="Arial" w:cs="Arial"/>
                <w:bCs/>
              </w:rPr>
              <w:t xml:space="preserve">Continue to look for in-reach and expansion opportunities (finance). Further develop/ grow VW model (funding yet to be sourced). FDS to </w:t>
            </w:r>
            <w:r w:rsidRPr="00E05391">
              <w:rPr>
                <w:rFonts w:ascii="Arial" w:hAnsi="Arial" w:cs="Arial"/>
              </w:rPr>
              <w:t>continue operating/ developing as appropriate</w:t>
            </w:r>
          </w:p>
          <w:p w14:paraId="3DD6DEA1" w14:textId="77777777" w:rsidR="00A82661" w:rsidRPr="00CA64EC" w:rsidRDefault="00A82661" w:rsidP="00E23F66">
            <w:pPr>
              <w:rPr>
                <w:rFonts w:ascii="Arial" w:hAnsi="Arial" w:cs="Arial"/>
              </w:rPr>
            </w:pPr>
          </w:p>
        </w:tc>
      </w:tr>
      <w:tr w:rsidR="00A82661" w:rsidRPr="00B1166E" w14:paraId="565169F6" w14:textId="77777777" w:rsidTr="00E23F66">
        <w:trPr>
          <w:trHeight w:val="701"/>
        </w:trPr>
        <w:tc>
          <w:tcPr>
            <w:tcW w:w="647" w:type="pct"/>
            <w:vMerge w:val="restart"/>
            <w:shd w:val="clear" w:color="auto" w:fill="B8CCE4" w:themeFill="accent1" w:themeFillTint="66"/>
          </w:tcPr>
          <w:p w14:paraId="4749DC29" w14:textId="77777777" w:rsidR="00A82661" w:rsidRPr="00965258" w:rsidRDefault="00A82661" w:rsidP="00E23F66">
            <w:pPr>
              <w:rPr>
                <w:rFonts w:ascii="Arial" w:hAnsi="Arial" w:cs="Arial"/>
                <w:b/>
              </w:rPr>
            </w:pPr>
            <w:r w:rsidRPr="00965258">
              <w:rPr>
                <w:rFonts w:ascii="Arial" w:hAnsi="Arial" w:cs="Arial"/>
                <w:b/>
              </w:rPr>
              <w:t>UEC_012</w:t>
            </w:r>
          </w:p>
        </w:tc>
        <w:tc>
          <w:tcPr>
            <w:tcW w:w="1122" w:type="pct"/>
            <w:shd w:val="clear" w:color="auto" w:fill="00B050"/>
          </w:tcPr>
          <w:p w14:paraId="778FEABB" w14:textId="77777777" w:rsidR="00A82661" w:rsidRPr="005C4530" w:rsidRDefault="00A82661" w:rsidP="00E23F66">
            <w:pPr>
              <w:spacing w:after="0" w:line="240" w:lineRule="auto"/>
              <w:rPr>
                <w:rFonts w:ascii="Arial" w:hAnsi="Arial" w:cs="Arial"/>
              </w:rPr>
            </w:pPr>
            <w:r w:rsidRPr="005C4530">
              <w:rPr>
                <w:rFonts w:ascii="Arial" w:hAnsi="Arial" w:cs="Arial"/>
              </w:rPr>
              <w:t>Roll-out of SAFER &amp; D2RA across all sites underway</w:t>
            </w:r>
          </w:p>
        </w:tc>
        <w:tc>
          <w:tcPr>
            <w:tcW w:w="1014" w:type="pct"/>
            <w:shd w:val="clear" w:color="auto" w:fill="00B050"/>
          </w:tcPr>
          <w:p w14:paraId="672CFFF7" w14:textId="77777777" w:rsidR="00A82661" w:rsidRPr="005C4530" w:rsidRDefault="00A82661" w:rsidP="00E23F66">
            <w:pPr>
              <w:rPr>
                <w:rFonts w:ascii="Arial" w:hAnsi="Arial" w:cs="Arial"/>
                <w:b/>
              </w:rPr>
            </w:pPr>
            <w:r w:rsidRPr="005C4530">
              <w:rPr>
                <w:rFonts w:ascii="Arial" w:hAnsi="Arial" w:cs="Arial"/>
                <w:b/>
              </w:rPr>
              <w:t>Roll-out of SAFER &amp; D2RA completed</w:t>
            </w:r>
          </w:p>
        </w:tc>
        <w:tc>
          <w:tcPr>
            <w:tcW w:w="912" w:type="pct"/>
            <w:shd w:val="clear" w:color="auto" w:fill="00B050"/>
          </w:tcPr>
          <w:p w14:paraId="4464A6A2" w14:textId="77777777" w:rsidR="00A82661" w:rsidRPr="005C4530" w:rsidRDefault="00A82661" w:rsidP="00E23F66">
            <w:pPr>
              <w:rPr>
                <w:rFonts w:ascii="Arial" w:hAnsi="Arial" w:cs="Arial"/>
              </w:rPr>
            </w:pPr>
            <w:r w:rsidRPr="005C4530">
              <w:rPr>
                <w:rFonts w:ascii="Arial" w:hAnsi="Arial" w:cs="Arial"/>
              </w:rPr>
              <w:t xml:space="preserve">Test and embedding of cultural change/ new ways of working </w:t>
            </w:r>
          </w:p>
        </w:tc>
        <w:tc>
          <w:tcPr>
            <w:tcW w:w="1305" w:type="pct"/>
            <w:shd w:val="clear" w:color="auto" w:fill="auto"/>
          </w:tcPr>
          <w:p w14:paraId="64597103" w14:textId="77777777" w:rsidR="00A82661" w:rsidRPr="00965258" w:rsidRDefault="00A82661" w:rsidP="00E23F66">
            <w:pPr>
              <w:rPr>
                <w:rFonts w:ascii="Arial" w:hAnsi="Arial" w:cs="Arial"/>
              </w:rPr>
            </w:pPr>
            <w:r w:rsidRPr="00965258">
              <w:rPr>
                <w:rFonts w:ascii="Arial" w:hAnsi="Arial" w:cs="Arial"/>
              </w:rPr>
              <w:t>Further test and embedding of cultural change/ new ways of working</w:t>
            </w:r>
          </w:p>
        </w:tc>
      </w:tr>
      <w:tr w:rsidR="00A82661" w:rsidRPr="00B1166E" w14:paraId="4357FC2E" w14:textId="77777777" w:rsidTr="00E23F66">
        <w:tc>
          <w:tcPr>
            <w:tcW w:w="647" w:type="pct"/>
            <w:vMerge/>
            <w:shd w:val="clear" w:color="auto" w:fill="B8CCE4" w:themeFill="accent1" w:themeFillTint="66"/>
          </w:tcPr>
          <w:p w14:paraId="0C5AF576" w14:textId="77777777" w:rsidR="00A82661" w:rsidRPr="00965258" w:rsidRDefault="00A82661" w:rsidP="00E23F66">
            <w:pPr>
              <w:rPr>
                <w:rFonts w:ascii="Arial" w:hAnsi="Arial" w:cs="Arial"/>
                <w:b/>
              </w:rPr>
            </w:pPr>
          </w:p>
        </w:tc>
        <w:tc>
          <w:tcPr>
            <w:tcW w:w="1122" w:type="pct"/>
            <w:shd w:val="clear" w:color="auto" w:fill="FFFFFF" w:themeFill="background1"/>
          </w:tcPr>
          <w:p w14:paraId="18876358" w14:textId="77777777" w:rsidR="00A82661" w:rsidRPr="005C4530" w:rsidRDefault="00A82661" w:rsidP="00E23F66">
            <w:pPr>
              <w:spacing w:after="160" w:line="259" w:lineRule="auto"/>
              <w:rPr>
                <w:rFonts w:ascii="Arial" w:hAnsi="Arial" w:cs="Arial"/>
                <w:bCs/>
              </w:rPr>
            </w:pPr>
            <w:r w:rsidRPr="005C4530">
              <w:rPr>
                <w:rFonts w:ascii="Arial" w:hAnsi="Arial" w:cs="Arial"/>
                <w:bCs/>
              </w:rPr>
              <w:t>Q1 Update SAFER/ Red2Green/ D2RA:</w:t>
            </w:r>
          </w:p>
          <w:p w14:paraId="1CFAF8A5" w14:textId="77777777" w:rsidR="00A82661" w:rsidRPr="005C4530" w:rsidRDefault="00A82661" w:rsidP="00A82661">
            <w:pPr>
              <w:numPr>
                <w:ilvl w:val="0"/>
                <w:numId w:val="25"/>
              </w:numPr>
              <w:spacing w:after="160" w:line="259" w:lineRule="auto"/>
              <w:contextualSpacing/>
              <w:rPr>
                <w:rFonts w:ascii="Arial" w:hAnsi="Arial" w:cs="Arial"/>
                <w:bCs/>
              </w:rPr>
            </w:pPr>
            <w:r w:rsidRPr="005C4530">
              <w:rPr>
                <w:rFonts w:ascii="Arial" w:hAnsi="Arial" w:cs="Arial"/>
              </w:rPr>
              <w:t>Rollout underway across MGH, SGH &amp; NPT</w:t>
            </w:r>
          </w:p>
          <w:p w14:paraId="632184F7" w14:textId="77777777" w:rsidR="00A82661" w:rsidRPr="005C4530" w:rsidRDefault="00A82661" w:rsidP="00A82661">
            <w:pPr>
              <w:numPr>
                <w:ilvl w:val="0"/>
                <w:numId w:val="25"/>
              </w:numPr>
              <w:spacing w:after="160" w:line="259" w:lineRule="auto"/>
              <w:contextualSpacing/>
              <w:rPr>
                <w:rFonts w:ascii="Arial" w:hAnsi="Arial" w:cs="Arial"/>
                <w:bCs/>
              </w:rPr>
            </w:pPr>
            <w:r w:rsidRPr="005C4530">
              <w:rPr>
                <w:rFonts w:ascii="Arial" w:hAnsi="Arial" w:cs="Arial"/>
                <w:bCs/>
              </w:rPr>
              <w:t>23 wards rolled out to at MGH</w:t>
            </w:r>
          </w:p>
          <w:p w14:paraId="17F6EC52" w14:textId="77777777" w:rsidR="00A82661" w:rsidRPr="005C4530" w:rsidRDefault="00A82661" w:rsidP="00E23F66">
            <w:pPr>
              <w:spacing w:after="0" w:line="240" w:lineRule="auto"/>
              <w:rPr>
                <w:rFonts w:ascii="Arial" w:hAnsi="Arial" w:cs="Arial"/>
              </w:rPr>
            </w:pPr>
          </w:p>
        </w:tc>
        <w:tc>
          <w:tcPr>
            <w:tcW w:w="1014" w:type="pct"/>
            <w:shd w:val="clear" w:color="auto" w:fill="auto"/>
          </w:tcPr>
          <w:p w14:paraId="76D4D18A" w14:textId="77777777" w:rsidR="00A82661" w:rsidRPr="005C4530" w:rsidRDefault="00A82661" w:rsidP="00E23F66">
            <w:pPr>
              <w:rPr>
                <w:rFonts w:ascii="Arial" w:hAnsi="Arial" w:cs="Arial"/>
                <w:b/>
                <w:bCs/>
              </w:rPr>
            </w:pPr>
            <w:r w:rsidRPr="005C4530">
              <w:rPr>
                <w:rFonts w:ascii="Arial" w:hAnsi="Arial" w:cs="Arial"/>
                <w:b/>
              </w:rPr>
              <w:t xml:space="preserve">Q2 Update </w:t>
            </w:r>
            <w:r w:rsidRPr="005C4530">
              <w:rPr>
                <w:rFonts w:ascii="Arial" w:hAnsi="Arial" w:cs="Arial"/>
                <w:b/>
                <w:bCs/>
              </w:rPr>
              <w:t>SAFER/ Red2Green/ D2RA:</w:t>
            </w:r>
          </w:p>
          <w:p w14:paraId="5D778D79" w14:textId="77777777" w:rsidR="00A82661" w:rsidRPr="005C4530" w:rsidRDefault="00A82661" w:rsidP="00A82661">
            <w:pPr>
              <w:pStyle w:val="ListParagraph"/>
              <w:numPr>
                <w:ilvl w:val="0"/>
                <w:numId w:val="46"/>
              </w:numPr>
              <w:spacing w:after="0" w:line="240" w:lineRule="auto"/>
              <w:ind w:left="198" w:hanging="198"/>
              <w:rPr>
                <w:rFonts w:ascii="Arial" w:hAnsi="Arial" w:cs="Arial"/>
                <w:b/>
                <w:bCs/>
              </w:rPr>
            </w:pPr>
            <w:r w:rsidRPr="005C4530">
              <w:rPr>
                <w:rFonts w:ascii="Arial" w:hAnsi="Arial" w:cs="Arial"/>
                <w:b/>
              </w:rPr>
              <w:t xml:space="preserve">Criteria Led Discharge underway </w:t>
            </w:r>
          </w:p>
          <w:p w14:paraId="4E7B3BFD" w14:textId="77777777" w:rsidR="00A82661" w:rsidRPr="005C4530" w:rsidRDefault="00A82661" w:rsidP="00A82661">
            <w:pPr>
              <w:pStyle w:val="ListParagraph"/>
              <w:numPr>
                <w:ilvl w:val="0"/>
                <w:numId w:val="47"/>
              </w:numPr>
              <w:spacing w:after="0" w:line="240" w:lineRule="auto"/>
              <w:ind w:left="481" w:hanging="283"/>
              <w:rPr>
                <w:rFonts w:ascii="Arial" w:hAnsi="Arial" w:cs="Arial"/>
              </w:rPr>
            </w:pPr>
            <w:r w:rsidRPr="005C4530">
              <w:rPr>
                <w:rFonts w:ascii="Arial" w:hAnsi="Arial" w:cs="Arial"/>
              </w:rPr>
              <w:t>6 ward/areas have had sign off in relation to their competency framework. This will allow the ward managers to sign off the rest of their substantive staff by 17</w:t>
            </w:r>
            <w:r w:rsidRPr="005C4530">
              <w:rPr>
                <w:rFonts w:ascii="Arial" w:hAnsi="Arial" w:cs="Arial"/>
                <w:vertAlign w:val="superscript"/>
              </w:rPr>
              <w:t>th</w:t>
            </w:r>
            <w:r w:rsidRPr="005C4530">
              <w:rPr>
                <w:rFonts w:ascii="Arial" w:hAnsi="Arial" w:cs="Arial"/>
              </w:rPr>
              <w:t xml:space="preserve"> November 23. The remaining 6 medical wards will be signed off by the end of this week and will be given one month to complete sign off for all their substantive staff.</w:t>
            </w:r>
          </w:p>
          <w:p w14:paraId="68B93B5D" w14:textId="77777777" w:rsidR="00A82661" w:rsidRPr="005C4530" w:rsidRDefault="00A82661" w:rsidP="00A82661">
            <w:pPr>
              <w:pStyle w:val="ListParagraph"/>
              <w:numPr>
                <w:ilvl w:val="0"/>
                <w:numId w:val="47"/>
              </w:numPr>
              <w:spacing w:after="0" w:line="240" w:lineRule="auto"/>
              <w:ind w:left="481" w:hanging="283"/>
              <w:rPr>
                <w:rFonts w:ascii="Arial" w:hAnsi="Arial" w:cs="Arial"/>
              </w:rPr>
            </w:pPr>
            <w:r w:rsidRPr="005C4530">
              <w:rPr>
                <w:rFonts w:ascii="Arial" w:hAnsi="Arial" w:cs="Arial"/>
              </w:rPr>
              <w:t xml:space="preserve">Failed CLD’S will be reviewed each Tuesday to see why they didn’t happen and matrons to </w:t>
            </w:r>
            <w:r w:rsidRPr="005C4530">
              <w:rPr>
                <w:rFonts w:ascii="Arial" w:hAnsi="Arial" w:cs="Arial"/>
              </w:rPr>
              <w:lastRenderedPageBreak/>
              <w:t>attend the weekend D/C meeting to discuss failed D/C’s from their own wards.</w:t>
            </w:r>
          </w:p>
          <w:p w14:paraId="2527528D" w14:textId="77777777" w:rsidR="00A82661" w:rsidRPr="005C4530" w:rsidRDefault="00A82661" w:rsidP="00A82661">
            <w:pPr>
              <w:pStyle w:val="ListParagraph"/>
              <w:numPr>
                <w:ilvl w:val="0"/>
                <w:numId w:val="47"/>
              </w:numPr>
              <w:spacing w:after="0" w:line="240" w:lineRule="auto"/>
              <w:ind w:left="481" w:hanging="283"/>
              <w:rPr>
                <w:rFonts w:ascii="Arial" w:hAnsi="Arial" w:cs="Arial"/>
              </w:rPr>
            </w:pPr>
            <w:r w:rsidRPr="005C4530">
              <w:rPr>
                <w:rFonts w:ascii="Arial" w:hAnsi="Arial" w:cs="Arial"/>
              </w:rPr>
              <w:t>OT/PT’s have been brought on board and their clinical lead is reviewing whether therapists could be also be signed off on the competency framework to allow for a greater number of staff to supporting/enabling CLD.</w:t>
            </w:r>
          </w:p>
          <w:p w14:paraId="7096B70C" w14:textId="77777777" w:rsidR="00A82661" w:rsidRPr="005C4530" w:rsidRDefault="00A82661" w:rsidP="00E23F66">
            <w:pPr>
              <w:pStyle w:val="ListParagraph"/>
              <w:spacing w:after="0" w:line="240" w:lineRule="auto"/>
              <w:ind w:left="340"/>
              <w:rPr>
                <w:rFonts w:ascii="Arial" w:hAnsi="Arial" w:cs="Arial"/>
                <w:b/>
                <w:bCs/>
              </w:rPr>
            </w:pPr>
          </w:p>
          <w:p w14:paraId="60F940AB" w14:textId="77777777" w:rsidR="00A82661" w:rsidRPr="00E911D4" w:rsidRDefault="00A82661" w:rsidP="00A82661">
            <w:pPr>
              <w:pStyle w:val="ListParagraph"/>
              <w:numPr>
                <w:ilvl w:val="0"/>
                <w:numId w:val="46"/>
              </w:numPr>
              <w:spacing w:after="0" w:line="240" w:lineRule="auto"/>
              <w:ind w:left="198" w:hanging="198"/>
              <w:rPr>
                <w:rFonts w:ascii="Arial" w:hAnsi="Arial" w:cs="Arial"/>
                <w:b/>
                <w:bCs/>
              </w:rPr>
            </w:pPr>
            <w:r w:rsidRPr="005C4530">
              <w:rPr>
                <w:rFonts w:ascii="Arial" w:hAnsi="Arial" w:cs="Arial"/>
                <w:b/>
              </w:rPr>
              <w:t>Signal system changes underway so as to carry out reporting of all discharges (all discharges forming part of D2RA framework)</w:t>
            </w:r>
          </w:p>
        </w:tc>
        <w:tc>
          <w:tcPr>
            <w:tcW w:w="912" w:type="pct"/>
            <w:shd w:val="clear" w:color="auto" w:fill="auto"/>
          </w:tcPr>
          <w:p w14:paraId="5532BCF5" w14:textId="77777777" w:rsidR="00A82661" w:rsidRPr="005C4530" w:rsidRDefault="00A82661" w:rsidP="00E23F66">
            <w:pPr>
              <w:rPr>
                <w:rFonts w:ascii="Arial" w:hAnsi="Arial" w:cs="Arial"/>
                <w:bCs/>
              </w:rPr>
            </w:pPr>
            <w:r w:rsidRPr="005C4530">
              <w:rPr>
                <w:rFonts w:ascii="Arial" w:hAnsi="Arial" w:cs="Arial"/>
              </w:rPr>
              <w:lastRenderedPageBreak/>
              <w:t xml:space="preserve">Q3 Priorities </w:t>
            </w:r>
            <w:r w:rsidRPr="005C4530">
              <w:rPr>
                <w:rFonts w:ascii="Arial" w:hAnsi="Arial" w:cs="Arial"/>
                <w:bCs/>
              </w:rPr>
              <w:t>SAFER/ Red2Green/ D2RA:</w:t>
            </w:r>
          </w:p>
          <w:p w14:paraId="1687DEDE" w14:textId="77777777" w:rsidR="00A82661" w:rsidRPr="005C4530" w:rsidRDefault="00A82661" w:rsidP="00A82661">
            <w:pPr>
              <w:pStyle w:val="ListParagraph"/>
              <w:numPr>
                <w:ilvl w:val="0"/>
                <w:numId w:val="48"/>
              </w:numPr>
              <w:spacing w:after="0" w:line="240" w:lineRule="auto"/>
              <w:ind w:left="406" w:hanging="283"/>
              <w:rPr>
                <w:rFonts w:ascii="Arial" w:hAnsi="Arial" w:cs="Arial"/>
                <w:bCs/>
              </w:rPr>
            </w:pPr>
            <w:r w:rsidRPr="005C4530">
              <w:rPr>
                <w:rFonts w:ascii="Arial" w:hAnsi="Arial" w:cs="Arial"/>
                <w:bCs/>
              </w:rPr>
              <w:t>Continue roll-out of D2RA, preventing deconditioning and criteria led discharge across sites</w:t>
            </w:r>
          </w:p>
          <w:p w14:paraId="757DB8A5" w14:textId="77777777" w:rsidR="00A82661" w:rsidRPr="005C4530" w:rsidRDefault="00A82661" w:rsidP="00A82661">
            <w:pPr>
              <w:pStyle w:val="ListParagraph"/>
              <w:numPr>
                <w:ilvl w:val="0"/>
                <w:numId w:val="48"/>
              </w:numPr>
              <w:spacing w:after="0" w:line="240" w:lineRule="auto"/>
              <w:ind w:left="406" w:hanging="283"/>
              <w:rPr>
                <w:rFonts w:ascii="Arial" w:hAnsi="Arial" w:cs="Arial"/>
                <w:bCs/>
              </w:rPr>
            </w:pPr>
            <w:r w:rsidRPr="005C4530">
              <w:rPr>
                <w:rFonts w:ascii="Arial" w:hAnsi="Arial" w:cs="Arial"/>
                <w:bCs/>
              </w:rPr>
              <w:t>Undertake activity to record D2RA measures on Signal</w:t>
            </w:r>
          </w:p>
          <w:p w14:paraId="73219583" w14:textId="77777777" w:rsidR="00A82661" w:rsidRPr="005C4530" w:rsidRDefault="00A82661" w:rsidP="00E23F66">
            <w:pPr>
              <w:rPr>
                <w:rFonts w:ascii="Arial" w:hAnsi="Arial" w:cs="Arial"/>
              </w:rPr>
            </w:pPr>
          </w:p>
        </w:tc>
        <w:tc>
          <w:tcPr>
            <w:tcW w:w="1305" w:type="pct"/>
            <w:shd w:val="clear" w:color="auto" w:fill="auto"/>
          </w:tcPr>
          <w:p w14:paraId="6A71C14B" w14:textId="77777777" w:rsidR="00A82661" w:rsidRDefault="00A82661" w:rsidP="00E23F66">
            <w:pPr>
              <w:rPr>
                <w:rFonts w:ascii="Arial" w:hAnsi="Arial" w:cs="Arial"/>
              </w:rPr>
            </w:pPr>
            <w:r>
              <w:rPr>
                <w:rFonts w:ascii="Arial" w:hAnsi="Arial" w:cs="Arial"/>
              </w:rPr>
              <w:t>Q4 Priorities:</w:t>
            </w:r>
          </w:p>
          <w:p w14:paraId="29113A15" w14:textId="77777777" w:rsidR="00A82661" w:rsidRPr="00E05391" w:rsidRDefault="00A82661" w:rsidP="00A82661">
            <w:pPr>
              <w:pStyle w:val="ListParagraph"/>
              <w:numPr>
                <w:ilvl w:val="0"/>
                <w:numId w:val="49"/>
              </w:numPr>
              <w:spacing w:after="0" w:line="240" w:lineRule="auto"/>
              <w:rPr>
                <w:rFonts w:ascii="Arial" w:hAnsi="Arial" w:cs="Arial"/>
                <w:bCs/>
              </w:rPr>
            </w:pPr>
            <w:r w:rsidRPr="00E05391">
              <w:rPr>
                <w:rFonts w:ascii="Arial" w:hAnsi="Arial" w:cs="Arial"/>
                <w:bCs/>
              </w:rPr>
              <w:t>Continue roll-out of D2RA, preventing deconditioning and criteria led discharge across sites</w:t>
            </w:r>
          </w:p>
          <w:p w14:paraId="14EDF752" w14:textId="77777777" w:rsidR="00A82661" w:rsidRPr="00E05391" w:rsidRDefault="00A82661" w:rsidP="00A82661">
            <w:pPr>
              <w:pStyle w:val="ListParagraph"/>
              <w:numPr>
                <w:ilvl w:val="0"/>
                <w:numId w:val="49"/>
              </w:numPr>
              <w:spacing w:after="0" w:line="240" w:lineRule="auto"/>
              <w:rPr>
                <w:rFonts w:ascii="Arial" w:hAnsi="Arial" w:cs="Arial"/>
                <w:bCs/>
              </w:rPr>
            </w:pPr>
            <w:r w:rsidRPr="00E05391">
              <w:rPr>
                <w:rFonts w:ascii="Arial" w:hAnsi="Arial" w:cs="Arial"/>
                <w:bCs/>
              </w:rPr>
              <w:t>Undertake activity to record D2RA measures on Signal</w:t>
            </w:r>
          </w:p>
          <w:p w14:paraId="0835C767" w14:textId="77777777" w:rsidR="00A82661" w:rsidRDefault="00A82661" w:rsidP="00E23F66">
            <w:pPr>
              <w:rPr>
                <w:rFonts w:ascii="Arial" w:hAnsi="Arial" w:cs="Arial"/>
              </w:rPr>
            </w:pPr>
          </w:p>
          <w:p w14:paraId="122F8041" w14:textId="77777777" w:rsidR="00A82661" w:rsidRPr="00965258" w:rsidRDefault="00A82661" w:rsidP="00E23F66">
            <w:pPr>
              <w:rPr>
                <w:rFonts w:ascii="Arial" w:hAnsi="Arial" w:cs="Arial"/>
              </w:rPr>
            </w:pPr>
            <w:r w:rsidRPr="00DC4673">
              <w:rPr>
                <w:rFonts w:ascii="Arial" w:hAnsi="Arial" w:cs="Arial"/>
              </w:rPr>
              <w:t>Anticipated that further work will take place re; SAFER, Red2Green, D2RA as  part of 'Productive ward(s) to reduce length of stay' 24/ 25 UEC GMO</w:t>
            </w:r>
          </w:p>
        </w:tc>
      </w:tr>
      <w:tr w:rsidR="00A82661" w:rsidRPr="00B1166E" w14:paraId="703E5A59" w14:textId="77777777" w:rsidTr="00E23F66">
        <w:trPr>
          <w:trHeight w:val="677"/>
        </w:trPr>
        <w:tc>
          <w:tcPr>
            <w:tcW w:w="647" w:type="pct"/>
            <w:vMerge w:val="restart"/>
            <w:shd w:val="clear" w:color="auto" w:fill="B8CCE4" w:themeFill="accent1" w:themeFillTint="66"/>
          </w:tcPr>
          <w:p w14:paraId="21723DE4" w14:textId="77777777" w:rsidR="00A82661" w:rsidRPr="0048537E" w:rsidRDefault="00A82661" w:rsidP="00E23F66">
            <w:pPr>
              <w:rPr>
                <w:rFonts w:ascii="Arial" w:hAnsi="Arial" w:cs="Arial"/>
                <w:b/>
              </w:rPr>
            </w:pPr>
            <w:r w:rsidRPr="0048537E">
              <w:rPr>
                <w:rFonts w:ascii="Arial" w:hAnsi="Arial" w:cs="Arial"/>
                <w:b/>
              </w:rPr>
              <w:t>UEC_024</w:t>
            </w:r>
          </w:p>
        </w:tc>
        <w:tc>
          <w:tcPr>
            <w:tcW w:w="1122" w:type="pct"/>
            <w:shd w:val="clear" w:color="auto" w:fill="00B050"/>
            <w:vAlign w:val="center"/>
          </w:tcPr>
          <w:p w14:paraId="36BD0AC0" w14:textId="77777777" w:rsidR="00A82661" w:rsidRPr="00875681" w:rsidRDefault="00A82661" w:rsidP="00E23F66">
            <w:pPr>
              <w:spacing w:after="0" w:line="240" w:lineRule="auto"/>
              <w:ind w:left="14" w:hangingChars="7" w:hanging="14"/>
              <w:rPr>
                <w:rFonts w:ascii="Arial" w:hAnsi="Arial" w:cs="Arial"/>
              </w:rPr>
            </w:pPr>
            <w:r w:rsidRPr="00875681">
              <w:rPr>
                <w:rFonts w:ascii="Arial" w:hAnsi="Arial" w:cs="Arial"/>
              </w:rPr>
              <w:t xml:space="preserve"> Scoping of current service</w:t>
            </w:r>
          </w:p>
        </w:tc>
        <w:tc>
          <w:tcPr>
            <w:tcW w:w="1014" w:type="pct"/>
            <w:shd w:val="clear" w:color="auto" w:fill="00B050"/>
            <w:vAlign w:val="center"/>
          </w:tcPr>
          <w:p w14:paraId="0D524710" w14:textId="77777777" w:rsidR="00A82661" w:rsidRPr="00875681" w:rsidRDefault="00A82661" w:rsidP="00E23F66">
            <w:pPr>
              <w:spacing w:after="0" w:line="240" w:lineRule="auto"/>
              <w:rPr>
                <w:rFonts w:ascii="Arial" w:hAnsi="Arial" w:cs="Arial"/>
                <w:b/>
                <w:bCs/>
              </w:rPr>
            </w:pPr>
            <w:r w:rsidRPr="00875681">
              <w:rPr>
                <w:rFonts w:ascii="Arial" w:hAnsi="Arial" w:cs="Arial"/>
                <w:b/>
                <w:bCs/>
              </w:rPr>
              <w:t>Complete workforce mapping and confirm next steps re; implementation plan</w:t>
            </w:r>
          </w:p>
        </w:tc>
        <w:tc>
          <w:tcPr>
            <w:tcW w:w="912" w:type="pct"/>
            <w:shd w:val="clear" w:color="auto" w:fill="00B050"/>
            <w:vAlign w:val="center"/>
          </w:tcPr>
          <w:p w14:paraId="287CE617" w14:textId="77777777" w:rsidR="00A82661" w:rsidRPr="00875681" w:rsidRDefault="00A82661" w:rsidP="00E23F66">
            <w:pPr>
              <w:rPr>
                <w:rFonts w:ascii="Arial" w:hAnsi="Arial" w:cs="Arial"/>
                <w:bCs/>
              </w:rPr>
            </w:pPr>
            <w:r w:rsidRPr="00875681">
              <w:rPr>
                <w:rFonts w:ascii="Arial" w:hAnsi="Arial" w:cs="Arial"/>
                <w:bCs/>
              </w:rPr>
              <w:t>Secure agreement on way forward regarding PAT in winter and longer term agreement re; wider IDH development</w:t>
            </w:r>
          </w:p>
        </w:tc>
        <w:tc>
          <w:tcPr>
            <w:tcW w:w="1305" w:type="pct"/>
            <w:shd w:val="clear" w:color="auto" w:fill="auto"/>
            <w:vAlign w:val="center"/>
          </w:tcPr>
          <w:p w14:paraId="5A93B973" w14:textId="77777777" w:rsidR="00A82661" w:rsidRPr="00875681" w:rsidRDefault="00A82661" w:rsidP="00E23F66">
            <w:pPr>
              <w:ind w:left="14" w:hangingChars="7" w:hanging="14"/>
              <w:rPr>
                <w:rFonts w:ascii="Arial" w:hAnsi="Arial" w:cs="Arial"/>
              </w:rPr>
            </w:pPr>
            <w:r w:rsidRPr="00875681">
              <w:rPr>
                <w:rFonts w:ascii="Arial" w:hAnsi="Arial" w:cs="Arial"/>
              </w:rPr>
              <w:t xml:space="preserve">   TBC </w:t>
            </w:r>
          </w:p>
        </w:tc>
      </w:tr>
      <w:tr w:rsidR="00A82661" w:rsidRPr="00B1166E" w14:paraId="1F264042" w14:textId="77777777" w:rsidTr="00E23F66">
        <w:tc>
          <w:tcPr>
            <w:tcW w:w="647" w:type="pct"/>
            <w:vMerge/>
            <w:shd w:val="clear" w:color="auto" w:fill="B8CCE4" w:themeFill="accent1" w:themeFillTint="66"/>
          </w:tcPr>
          <w:p w14:paraId="231D05EA" w14:textId="77777777" w:rsidR="00A82661" w:rsidRPr="0048537E" w:rsidRDefault="00A82661" w:rsidP="00E23F66">
            <w:pPr>
              <w:rPr>
                <w:rFonts w:ascii="Arial" w:hAnsi="Arial" w:cs="Arial"/>
                <w:b/>
              </w:rPr>
            </w:pPr>
          </w:p>
        </w:tc>
        <w:tc>
          <w:tcPr>
            <w:tcW w:w="1122" w:type="pct"/>
            <w:shd w:val="clear" w:color="auto" w:fill="FFFFFF" w:themeFill="background1"/>
            <w:vAlign w:val="center"/>
          </w:tcPr>
          <w:p w14:paraId="2B78A5F8" w14:textId="77777777" w:rsidR="00A82661" w:rsidRPr="00875681" w:rsidRDefault="00A82661" w:rsidP="00E23F66">
            <w:pPr>
              <w:rPr>
                <w:rFonts w:ascii="Arial" w:hAnsi="Arial" w:cs="Arial"/>
                <w:bCs/>
              </w:rPr>
            </w:pPr>
            <w:r w:rsidRPr="00875681">
              <w:rPr>
                <w:rFonts w:ascii="Arial" w:hAnsi="Arial" w:cs="Arial"/>
                <w:bCs/>
              </w:rPr>
              <w:t>Q1 Update: Implementation of Single Point of Access/ Integrated Discharge Hub</w:t>
            </w:r>
          </w:p>
          <w:p w14:paraId="4E83EB44" w14:textId="77777777" w:rsidR="00A82661" w:rsidRPr="00875681" w:rsidRDefault="00A82661" w:rsidP="00A82661">
            <w:pPr>
              <w:pStyle w:val="ListParagraph"/>
              <w:numPr>
                <w:ilvl w:val="0"/>
                <w:numId w:val="26"/>
              </w:numPr>
              <w:spacing w:after="0" w:line="240" w:lineRule="auto"/>
              <w:rPr>
                <w:rFonts w:ascii="Arial" w:eastAsiaTheme="minorHAnsi" w:hAnsi="Arial" w:cs="Arial"/>
                <w:u w:val="single"/>
              </w:rPr>
            </w:pPr>
            <w:r w:rsidRPr="00875681">
              <w:rPr>
                <w:rFonts w:ascii="Arial" w:eastAsiaTheme="minorHAnsi" w:hAnsi="Arial" w:cs="Arial"/>
                <w:bCs/>
              </w:rPr>
              <w:t>Leads in place – workforce mapping underway</w:t>
            </w:r>
          </w:p>
          <w:p w14:paraId="35E5772E" w14:textId="77777777" w:rsidR="00A82661" w:rsidRDefault="00A82661" w:rsidP="00E23F66">
            <w:pPr>
              <w:spacing w:after="0" w:line="240" w:lineRule="auto"/>
              <w:ind w:left="14" w:hangingChars="7" w:hanging="14"/>
              <w:rPr>
                <w:rFonts w:ascii="Arial" w:hAnsi="Arial" w:cs="Arial"/>
              </w:rPr>
            </w:pPr>
          </w:p>
          <w:p w14:paraId="3F19F3A2" w14:textId="77777777" w:rsidR="00A82661" w:rsidRDefault="00A82661" w:rsidP="00E23F66">
            <w:pPr>
              <w:spacing w:after="0" w:line="240" w:lineRule="auto"/>
              <w:ind w:left="14" w:hangingChars="7" w:hanging="14"/>
              <w:rPr>
                <w:rFonts w:ascii="Arial" w:hAnsi="Arial" w:cs="Arial"/>
              </w:rPr>
            </w:pPr>
          </w:p>
          <w:p w14:paraId="61A4521C" w14:textId="77777777" w:rsidR="00A82661" w:rsidRDefault="00A82661" w:rsidP="00E23F66">
            <w:pPr>
              <w:spacing w:after="0" w:line="240" w:lineRule="auto"/>
              <w:ind w:left="14" w:hangingChars="7" w:hanging="14"/>
              <w:rPr>
                <w:rFonts w:ascii="Arial" w:hAnsi="Arial" w:cs="Arial"/>
              </w:rPr>
            </w:pPr>
          </w:p>
          <w:p w14:paraId="77EEE837" w14:textId="77777777" w:rsidR="00A82661" w:rsidRDefault="00A82661" w:rsidP="00E23F66">
            <w:pPr>
              <w:spacing w:after="0" w:line="240" w:lineRule="auto"/>
              <w:ind w:left="14" w:hangingChars="7" w:hanging="14"/>
              <w:rPr>
                <w:rFonts w:ascii="Arial" w:hAnsi="Arial" w:cs="Arial"/>
              </w:rPr>
            </w:pPr>
          </w:p>
          <w:p w14:paraId="234F8356" w14:textId="77777777" w:rsidR="00A82661" w:rsidRDefault="00A82661" w:rsidP="00E23F66">
            <w:pPr>
              <w:spacing w:after="0" w:line="240" w:lineRule="auto"/>
              <w:ind w:left="14" w:hangingChars="7" w:hanging="14"/>
              <w:rPr>
                <w:rFonts w:ascii="Arial" w:hAnsi="Arial" w:cs="Arial"/>
              </w:rPr>
            </w:pPr>
          </w:p>
          <w:p w14:paraId="3C6E4FBC" w14:textId="77777777" w:rsidR="00A82661" w:rsidRDefault="00A82661" w:rsidP="00E23F66">
            <w:pPr>
              <w:spacing w:after="0" w:line="240" w:lineRule="auto"/>
              <w:ind w:left="14" w:hangingChars="7" w:hanging="14"/>
              <w:rPr>
                <w:rFonts w:ascii="Arial" w:hAnsi="Arial" w:cs="Arial"/>
              </w:rPr>
            </w:pPr>
          </w:p>
          <w:p w14:paraId="6EF5C2CD" w14:textId="77777777" w:rsidR="00A82661" w:rsidRDefault="00A82661" w:rsidP="00E23F66">
            <w:pPr>
              <w:spacing w:after="0" w:line="240" w:lineRule="auto"/>
              <w:ind w:left="14" w:hangingChars="7" w:hanging="14"/>
              <w:rPr>
                <w:rFonts w:ascii="Arial" w:hAnsi="Arial" w:cs="Arial"/>
              </w:rPr>
            </w:pPr>
          </w:p>
          <w:p w14:paraId="653F14B4" w14:textId="77777777" w:rsidR="00A82661" w:rsidRDefault="00A82661" w:rsidP="00E23F66">
            <w:pPr>
              <w:spacing w:after="0" w:line="240" w:lineRule="auto"/>
              <w:ind w:left="14" w:hangingChars="7" w:hanging="14"/>
              <w:rPr>
                <w:rFonts w:ascii="Arial" w:hAnsi="Arial" w:cs="Arial"/>
              </w:rPr>
            </w:pPr>
          </w:p>
          <w:p w14:paraId="400A1C53" w14:textId="77777777" w:rsidR="00A82661" w:rsidRPr="00875681" w:rsidRDefault="00A82661" w:rsidP="00E23F66">
            <w:pPr>
              <w:spacing w:after="0" w:line="240" w:lineRule="auto"/>
              <w:ind w:left="14" w:hangingChars="7" w:hanging="14"/>
              <w:rPr>
                <w:rFonts w:ascii="Arial" w:hAnsi="Arial" w:cs="Arial"/>
              </w:rPr>
            </w:pPr>
          </w:p>
        </w:tc>
        <w:tc>
          <w:tcPr>
            <w:tcW w:w="1014" w:type="pct"/>
            <w:shd w:val="clear" w:color="auto" w:fill="auto"/>
            <w:vAlign w:val="center"/>
          </w:tcPr>
          <w:p w14:paraId="5EED7B4F" w14:textId="77777777" w:rsidR="00A82661" w:rsidRPr="00875681" w:rsidRDefault="00A82661" w:rsidP="00E23F66">
            <w:pPr>
              <w:ind w:left="8" w:hangingChars="4" w:hanging="8"/>
              <w:rPr>
                <w:rFonts w:ascii="Arial" w:hAnsi="Arial" w:cs="Arial"/>
                <w:b/>
                <w:bCs/>
              </w:rPr>
            </w:pPr>
            <w:r w:rsidRPr="00875681">
              <w:rPr>
                <w:rFonts w:ascii="Arial" w:hAnsi="Arial" w:cs="Arial"/>
                <w:b/>
              </w:rPr>
              <w:lastRenderedPageBreak/>
              <w:t xml:space="preserve">Q2 Update </w:t>
            </w:r>
            <w:r w:rsidRPr="00875681">
              <w:rPr>
                <w:rFonts w:ascii="Arial" w:hAnsi="Arial" w:cs="Arial"/>
                <w:b/>
                <w:bCs/>
              </w:rPr>
              <w:t>Implementation of Single Point of Access/ Integrated Discharge Hub:</w:t>
            </w:r>
          </w:p>
          <w:p w14:paraId="57A079C3" w14:textId="77777777" w:rsidR="00A82661" w:rsidRPr="00875681" w:rsidRDefault="00A82661" w:rsidP="00A82661">
            <w:pPr>
              <w:pStyle w:val="ListParagraph"/>
              <w:numPr>
                <w:ilvl w:val="0"/>
                <w:numId w:val="26"/>
              </w:numPr>
              <w:rPr>
                <w:rFonts w:ascii="Arial" w:hAnsi="Arial" w:cs="Arial"/>
                <w:bCs/>
              </w:rPr>
            </w:pPr>
            <w:r w:rsidRPr="00875681">
              <w:rPr>
                <w:rFonts w:ascii="Arial" w:hAnsi="Arial" w:cs="Arial"/>
                <w:bCs/>
              </w:rPr>
              <w:t>Improvement project started on 4</w:t>
            </w:r>
            <w:r w:rsidRPr="00875681">
              <w:rPr>
                <w:rFonts w:ascii="Arial" w:hAnsi="Arial" w:cs="Arial"/>
                <w:bCs/>
                <w:vertAlign w:val="superscript"/>
              </w:rPr>
              <w:t>th</w:t>
            </w:r>
            <w:r w:rsidRPr="00875681">
              <w:rPr>
                <w:rFonts w:ascii="Arial" w:hAnsi="Arial" w:cs="Arial"/>
                <w:bCs/>
              </w:rPr>
              <w:t xml:space="preserve"> Sept and with roll-out of Patient Assignment Team (PAT) within AMU. PAT improvement project </w:t>
            </w:r>
            <w:r w:rsidRPr="00875681">
              <w:rPr>
                <w:rFonts w:ascii="Arial" w:hAnsi="Arial" w:cs="Arial"/>
                <w:bCs/>
              </w:rPr>
              <w:lastRenderedPageBreak/>
              <w:t>operated for 4 weeks -  proposal developed for continuing PAT throughout winter period</w:t>
            </w:r>
          </w:p>
          <w:p w14:paraId="426C158A" w14:textId="77777777" w:rsidR="00A82661" w:rsidRPr="00875681" w:rsidRDefault="00A82661" w:rsidP="00E23F66">
            <w:pPr>
              <w:pStyle w:val="ListParagraph"/>
              <w:spacing w:after="0" w:line="240" w:lineRule="auto"/>
              <w:rPr>
                <w:rFonts w:ascii="Arial" w:hAnsi="Arial" w:cs="Arial"/>
                <w:b/>
              </w:rPr>
            </w:pPr>
          </w:p>
        </w:tc>
        <w:tc>
          <w:tcPr>
            <w:tcW w:w="912" w:type="pct"/>
            <w:shd w:val="clear" w:color="auto" w:fill="auto"/>
            <w:vAlign w:val="center"/>
          </w:tcPr>
          <w:p w14:paraId="478337F5" w14:textId="77777777" w:rsidR="00A82661" w:rsidRDefault="00A82661" w:rsidP="00E23F66">
            <w:pPr>
              <w:rPr>
                <w:rFonts w:ascii="Arial" w:hAnsi="Arial" w:cs="Arial"/>
                <w:bCs/>
              </w:rPr>
            </w:pPr>
            <w:r w:rsidRPr="00875681">
              <w:rPr>
                <w:rFonts w:ascii="Arial" w:hAnsi="Arial" w:cs="Arial"/>
                <w:bCs/>
              </w:rPr>
              <w:lastRenderedPageBreak/>
              <w:t>Q3 priorities as above</w:t>
            </w:r>
          </w:p>
          <w:p w14:paraId="10069044" w14:textId="77777777" w:rsidR="00A82661" w:rsidRDefault="00A82661" w:rsidP="00E23F66">
            <w:pPr>
              <w:rPr>
                <w:rFonts w:ascii="Arial" w:hAnsi="Arial" w:cs="Arial"/>
                <w:bCs/>
              </w:rPr>
            </w:pPr>
          </w:p>
          <w:p w14:paraId="66D94782" w14:textId="77777777" w:rsidR="00A82661" w:rsidRDefault="00A82661" w:rsidP="00E23F66">
            <w:pPr>
              <w:rPr>
                <w:rFonts w:ascii="Arial" w:hAnsi="Arial" w:cs="Arial"/>
                <w:bCs/>
              </w:rPr>
            </w:pPr>
          </w:p>
          <w:p w14:paraId="38993904" w14:textId="77777777" w:rsidR="00A82661" w:rsidRDefault="00A82661" w:rsidP="00E23F66">
            <w:pPr>
              <w:rPr>
                <w:rFonts w:ascii="Arial" w:hAnsi="Arial" w:cs="Arial"/>
                <w:bCs/>
              </w:rPr>
            </w:pPr>
          </w:p>
          <w:p w14:paraId="692D32C8" w14:textId="77777777" w:rsidR="00A82661" w:rsidRDefault="00A82661" w:rsidP="00E23F66">
            <w:pPr>
              <w:rPr>
                <w:rFonts w:ascii="Arial" w:hAnsi="Arial" w:cs="Arial"/>
                <w:bCs/>
              </w:rPr>
            </w:pPr>
          </w:p>
          <w:p w14:paraId="060204D1" w14:textId="77777777" w:rsidR="00A82661" w:rsidRPr="00875681" w:rsidRDefault="00A82661" w:rsidP="00E23F66">
            <w:pPr>
              <w:rPr>
                <w:rFonts w:ascii="Arial" w:hAnsi="Arial" w:cs="Arial"/>
                <w:bCs/>
              </w:rPr>
            </w:pPr>
          </w:p>
          <w:p w14:paraId="167F7775" w14:textId="77777777" w:rsidR="00A82661" w:rsidRPr="00875681" w:rsidRDefault="00A82661" w:rsidP="00E23F66">
            <w:pPr>
              <w:rPr>
                <w:rFonts w:ascii="Arial" w:hAnsi="Arial" w:cs="Arial"/>
              </w:rPr>
            </w:pPr>
          </w:p>
        </w:tc>
        <w:tc>
          <w:tcPr>
            <w:tcW w:w="1305" w:type="pct"/>
            <w:shd w:val="clear" w:color="auto" w:fill="auto"/>
            <w:vAlign w:val="center"/>
          </w:tcPr>
          <w:p w14:paraId="33167974" w14:textId="77777777" w:rsidR="00A82661" w:rsidRDefault="00A82661" w:rsidP="00E23F66">
            <w:pPr>
              <w:ind w:left="14" w:hangingChars="7" w:hanging="14"/>
              <w:rPr>
                <w:rFonts w:ascii="Arial" w:hAnsi="Arial" w:cs="Arial"/>
              </w:rPr>
            </w:pPr>
            <w:r>
              <w:rPr>
                <w:rFonts w:ascii="Arial" w:hAnsi="Arial" w:cs="Arial"/>
              </w:rPr>
              <w:lastRenderedPageBreak/>
              <w:t>Q4 Priorities:</w:t>
            </w:r>
          </w:p>
          <w:p w14:paraId="003E2898" w14:textId="77777777" w:rsidR="00A82661" w:rsidRPr="004E491D" w:rsidRDefault="00A82661" w:rsidP="00A82661">
            <w:pPr>
              <w:pStyle w:val="ListParagraph"/>
              <w:numPr>
                <w:ilvl w:val="0"/>
                <w:numId w:val="49"/>
              </w:numPr>
              <w:spacing w:after="0" w:line="240" w:lineRule="auto"/>
              <w:rPr>
                <w:rFonts w:ascii="Arial" w:hAnsi="Arial" w:cs="Arial"/>
                <w:u w:val="single"/>
              </w:rPr>
            </w:pPr>
            <w:r w:rsidRPr="004E491D">
              <w:rPr>
                <w:rFonts w:ascii="Arial" w:hAnsi="Arial" w:cs="Arial"/>
                <w:bCs/>
              </w:rPr>
              <w:t>Roll-out PAT for Winter period - secure agreement on way forward in the longer term re; wider IDH development</w:t>
            </w:r>
          </w:p>
          <w:p w14:paraId="6BA7ED56" w14:textId="77777777" w:rsidR="00A82661" w:rsidRDefault="00A82661" w:rsidP="00E23F66">
            <w:pPr>
              <w:ind w:left="14" w:hangingChars="7" w:hanging="14"/>
              <w:rPr>
                <w:rFonts w:ascii="Arial" w:hAnsi="Arial" w:cs="Arial"/>
              </w:rPr>
            </w:pPr>
          </w:p>
          <w:p w14:paraId="2448FD32" w14:textId="77777777" w:rsidR="00A82661" w:rsidRPr="00875681" w:rsidRDefault="00A82661" w:rsidP="00E23F66">
            <w:pPr>
              <w:ind w:left="14" w:hangingChars="7" w:hanging="14"/>
              <w:rPr>
                <w:rFonts w:ascii="Arial" w:hAnsi="Arial" w:cs="Arial"/>
              </w:rPr>
            </w:pPr>
            <w:r w:rsidRPr="00267E57">
              <w:rPr>
                <w:rFonts w:ascii="Arial" w:hAnsi="Arial" w:cs="Arial"/>
              </w:rPr>
              <w:t xml:space="preserve">Anticipated that further work will take place re; IDH -  project/ GMO related to implementing full model (1. Patient </w:t>
            </w:r>
            <w:r w:rsidRPr="00267E57">
              <w:rPr>
                <w:rFonts w:ascii="Arial" w:hAnsi="Arial" w:cs="Arial"/>
              </w:rPr>
              <w:lastRenderedPageBreak/>
              <w:t>Assignment Team; 2. Discharge facilitation team; 3. Complex discharge team) in 24/ 25 - full team roll-out subject to funding and/ or re-allocation of resource</w:t>
            </w:r>
          </w:p>
        </w:tc>
      </w:tr>
      <w:tr w:rsidR="00A82661" w:rsidRPr="00B1166E" w14:paraId="673241DD" w14:textId="77777777" w:rsidTr="00E23F66">
        <w:tc>
          <w:tcPr>
            <w:tcW w:w="647" w:type="pct"/>
            <w:vMerge w:val="restart"/>
            <w:shd w:val="clear" w:color="auto" w:fill="B8CCE4" w:themeFill="accent1" w:themeFillTint="66"/>
          </w:tcPr>
          <w:p w14:paraId="197BD655" w14:textId="77777777" w:rsidR="00A82661" w:rsidRPr="00875681" w:rsidRDefault="00A82661" w:rsidP="00E23F66">
            <w:pPr>
              <w:rPr>
                <w:rFonts w:ascii="Arial" w:hAnsi="Arial" w:cs="Arial"/>
                <w:b/>
              </w:rPr>
            </w:pPr>
            <w:r w:rsidRPr="00875681">
              <w:rPr>
                <w:rFonts w:ascii="Arial" w:hAnsi="Arial" w:cs="Arial"/>
                <w:b/>
              </w:rPr>
              <w:lastRenderedPageBreak/>
              <w:t>UEC_016</w:t>
            </w:r>
          </w:p>
        </w:tc>
        <w:tc>
          <w:tcPr>
            <w:tcW w:w="1122" w:type="pct"/>
            <w:shd w:val="clear" w:color="auto" w:fill="00B050"/>
          </w:tcPr>
          <w:p w14:paraId="3EDA30C1" w14:textId="77777777" w:rsidR="00A82661" w:rsidRPr="00875681" w:rsidRDefault="00A82661" w:rsidP="00E23F66">
            <w:pPr>
              <w:spacing w:after="0" w:line="240" w:lineRule="auto"/>
              <w:rPr>
                <w:rFonts w:ascii="Arial" w:hAnsi="Arial" w:cs="Arial"/>
              </w:rPr>
            </w:pPr>
            <w:r w:rsidRPr="00875681">
              <w:rPr>
                <w:rFonts w:ascii="Arial" w:hAnsi="Arial" w:cs="Arial"/>
              </w:rPr>
              <w:t>Planning - scoping of current service</w:t>
            </w:r>
          </w:p>
        </w:tc>
        <w:tc>
          <w:tcPr>
            <w:tcW w:w="1014" w:type="pct"/>
            <w:shd w:val="clear" w:color="auto" w:fill="00B050"/>
          </w:tcPr>
          <w:p w14:paraId="538D2697" w14:textId="77777777" w:rsidR="00A82661" w:rsidRPr="00875681" w:rsidRDefault="00A82661" w:rsidP="00E23F66">
            <w:pPr>
              <w:rPr>
                <w:rFonts w:ascii="Arial" w:hAnsi="Arial" w:cs="Arial"/>
                <w:b/>
              </w:rPr>
            </w:pPr>
            <w:r w:rsidRPr="00875681">
              <w:rPr>
                <w:rFonts w:ascii="Arial" w:hAnsi="Arial" w:cs="Arial"/>
                <w:b/>
                <w:bCs/>
              </w:rPr>
              <w:t>Roll-out and implementation of pilot (ongoing review and investigate exit strategy/ ongoing funding)</w:t>
            </w:r>
          </w:p>
        </w:tc>
        <w:tc>
          <w:tcPr>
            <w:tcW w:w="2217" w:type="pct"/>
            <w:gridSpan w:val="2"/>
            <w:shd w:val="clear" w:color="auto" w:fill="00B050"/>
          </w:tcPr>
          <w:p w14:paraId="690E5DD2" w14:textId="77777777" w:rsidR="00A82661" w:rsidRPr="00875681" w:rsidRDefault="00A82661" w:rsidP="00E23F66">
            <w:pPr>
              <w:rPr>
                <w:rFonts w:ascii="Arial" w:hAnsi="Arial" w:cs="Arial"/>
              </w:rPr>
            </w:pPr>
            <w:r w:rsidRPr="00875681">
              <w:rPr>
                <w:rFonts w:ascii="Arial" w:hAnsi="Arial" w:cs="Arial"/>
                <w:bCs/>
              </w:rPr>
              <w:t>Roll-out and implementation of pilot (ongoing review and investigate exit strategy/ ongoing funding</w:t>
            </w:r>
          </w:p>
        </w:tc>
      </w:tr>
      <w:tr w:rsidR="00A82661" w:rsidRPr="00B1166E" w14:paraId="7613BBB8" w14:textId="77777777" w:rsidTr="00E23F66">
        <w:tc>
          <w:tcPr>
            <w:tcW w:w="647" w:type="pct"/>
            <w:vMerge/>
            <w:shd w:val="clear" w:color="auto" w:fill="B8CCE4" w:themeFill="accent1" w:themeFillTint="66"/>
          </w:tcPr>
          <w:p w14:paraId="0E15AFCD" w14:textId="77777777" w:rsidR="00A82661" w:rsidRPr="00875681" w:rsidRDefault="00A82661" w:rsidP="00E23F66">
            <w:pPr>
              <w:rPr>
                <w:rFonts w:ascii="Arial" w:hAnsi="Arial" w:cs="Arial"/>
                <w:b/>
              </w:rPr>
            </w:pPr>
          </w:p>
        </w:tc>
        <w:tc>
          <w:tcPr>
            <w:tcW w:w="1122" w:type="pct"/>
            <w:shd w:val="clear" w:color="auto" w:fill="FFFFFF" w:themeFill="background1"/>
          </w:tcPr>
          <w:p w14:paraId="71061041" w14:textId="77777777" w:rsidR="00A82661" w:rsidRPr="00875681" w:rsidRDefault="00A82661" w:rsidP="00E23F66">
            <w:pPr>
              <w:rPr>
                <w:rFonts w:ascii="Arial" w:hAnsi="Arial" w:cs="Arial"/>
                <w:bCs/>
              </w:rPr>
            </w:pPr>
            <w:r w:rsidRPr="00875681">
              <w:rPr>
                <w:rFonts w:ascii="Arial" w:hAnsi="Arial" w:cs="Arial"/>
              </w:rPr>
              <w:t xml:space="preserve">Q1 Update: </w:t>
            </w:r>
            <w:r w:rsidRPr="00875681">
              <w:rPr>
                <w:rFonts w:ascii="Arial" w:hAnsi="Arial" w:cs="Arial"/>
                <w:bCs/>
              </w:rPr>
              <w:t xml:space="preserve">Provide additional EMI beds </w:t>
            </w:r>
          </w:p>
          <w:p w14:paraId="10AA8414" w14:textId="77777777" w:rsidR="00A82661" w:rsidRPr="00875681" w:rsidRDefault="00A82661" w:rsidP="00A82661">
            <w:pPr>
              <w:pStyle w:val="ListParagraph"/>
              <w:numPr>
                <w:ilvl w:val="0"/>
                <w:numId w:val="27"/>
              </w:numPr>
              <w:spacing w:after="0" w:line="240" w:lineRule="auto"/>
              <w:rPr>
                <w:rFonts w:ascii="Arial" w:hAnsi="Arial" w:cs="Arial"/>
                <w:bCs/>
              </w:rPr>
            </w:pPr>
            <w:r w:rsidRPr="00875681">
              <w:rPr>
                <w:rFonts w:ascii="Arial" w:hAnsi="Arial" w:cs="Arial"/>
                <w:bCs/>
              </w:rPr>
              <w:t>Pilot approved subject to ongoing review – pilot to begin June 23 until March 24</w:t>
            </w:r>
          </w:p>
          <w:p w14:paraId="7899AD7B" w14:textId="77777777" w:rsidR="00A82661" w:rsidRPr="00875681" w:rsidRDefault="00A82661" w:rsidP="00E23F66">
            <w:pPr>
              <w:spacing w:after="0" w:line="240" w:lineRule="auto"/>
              <w:rPr>
                <w:rFonts w:ascii="Arial" w:hAnsi="Arial" w:cs="Arial"/>
              </w:rPr>
            </w:pPr>
          </w:p>
        </w:tc>
        <w:tc>
          <w:tcPr>
            <w:tcW w:w="1014" w:type="pct"/>
            <w:shd w:val="clear" w:color="auto" w:fill="auto"/>
          </w:tcPr>
          <w:p w14:paraId="3AA14D0E" w14:textId="77777777" w:rsidR="00A82661" w:rsidRPr="00875681" w:rsidRDefault="00A82661" w:rsidP="00E23F66">
            <w:pPr>
              <w:rPr>
                <w:rFonts w:ascii="Arial" w:hAnsi="Arial" w:cs="Arial"/>
                <w:b/>
              </w:rPr>
            </w:pPr>
            <w:r w:rsidRPr="00875681">
              <w:rPr>
                <w:rFonts w:ascii="Arial" w:hAnsi="Arial" w:cs="Arial"/>
                <w:b/>
              </w:rPr>
              <w:t>Q2 Priorities EMI Beds:</w:t>
            </w:r>
          </w:p>
          <w:p w14:paraId="5915F836" w14:textId="77777777" w:rsidR="00A82661" w:rsidRPr="00875681" w:rsidRDefault="00A82661" w:rsidP="00A82661">
            <w:pPr>
              <w:pStyle w:val="ListParagraph"/>
              <w:numPr>
                <w:ilvl w:val="0"/>
                <w:numId w:val="27"/>
              </w:numPr>
              <w:spacing w:after="0" w:line="240" w:lineRule="auto"/>
              <w:rPr>
                <w:rFonts w:ascii="Arial" w:hAnsi="Arial" w:cs="Arial"/>
                <w:b/>
                <w:bCs/>
              </w:rPr>
            </w:pPr>
            <w:r w:rsidRPr="00875681">
              <w:rPr>
                <w:rFonts w:ascii="Arial" w:hAnsi="Arial" w:cs="Arial"/>
                <w:b/>
                <w:bCs/>
              </w:rPr>
              <w:t>Pilot approved subject to ongoing review – pilot to begin June 23 until March 24</w:t>
            </w:r>
          </w:p>
        </w:tc>
        <w:tc>
          <w:tcPr>
            <w:tcW w:w="912" w:type="pct"/>
            <w:shd w:val="clear" w:color="auto" w:fill="auto"/>
          </w:tcPr>
          <w:p w14:paraId="3AE01F90" w14:textId="77777777" w:rsidR="00A82661" w:rsidRPr="00875681" w:rsidRDefault="00A82661" w:rsidP="00E23F66">
            <w:pPr>
              <w:rPr>
                <w:rFonts w:ascii="Arial" w:hAnsi="Arial" w:cs="Arial"/>
              </w:rPr>
            </w:pPr>
            <w:r w:rsidRPr="00875681">
              <w:rPr>
                <w:rFonts w:ascii="Arial" w:hAnsi="Arial" w:cs="Arial"/>
              </w:rPr>
              <w:t>Q3 Priorities as above</w:t>
            </w:r>
          </w:p>
        </w:tc>
        <w:tc>
          <w:tcPr>
            <w:tcW w:w="1305" w:type="pct"/>
            <w:shd w:val="clear" w:color="auto" w:fill="auto"/>
          </w:tcPr>
          <w:p w14:paraId="43279906" w14:textId="77777777" w:rsidR="00A82661" w:rsidRDefault="00A82661" w:rsidP="00E23F66">
            <w:pPr>
              <w:rPr>
                <w:rFonts w:ascii="Arial" w:hAnsi="Arial" w:cs="Arial"/>
              </w:rPr>
            </w:pPr>
            <w:r>
              <w:rPr>
                <w:rFonts w:ascii="Arial" w:hAnsi="Arial" w:cs="Arial"/>
              </w:rPr>
              <w:t>Q4 Priorities:</w:t>
            </w:r>
          </w:p>
          <w:p w14:paraId="6126607B" w14:textId="77777777" w:rsidR="00A82661" w:rsidRPr="004E491D" w:rsidRDefault="00A82661" w:rsidP="00A82661">
            <w:pPr>
              <w:pStyle w:val="ListParagraph"/>
              <w:numPr>
                <w:ilvl w:val="0"/>
                <w:numId w:val="49"/>
              </w:numPr>
              <w:spacing w:after="0" w:line="240" w:lineRule="auto"/>
              <w:rPr>
                <w:rFonts w:ascii="Arial" w:hAnsi="Arial" w:cs="Arial"/>
                <w:bCs/>
              </w:rPr>
            </w:pPr>
            <w:r w:rsidRPr="004E491D">
              <w:rPr>
                <w:rFonts w:ascii="Arial" w:hAnsi="Arial" w:cs="Arial"/>
                <w:bCs/>
              </w:rPr>
              <w:t xml:space="preserve">Roll-out and implementation of pilot (ongoing review and investigate exit strategy/ ongoing funding) </w:t>
            </w:r>
          </w:p>
          <w:p w14:paraId="18503EB4" w14:textId="77777777" w:rsidR="00A82661" w:rsidRDefault="00A82661" w:rsidP="00E23F66">
            <w:pPr>
              <w:rPr>
                <w:rFonts w:ascii="Arial" w:hAnsi="Arial" w:cs="Arial"/>
              </w:rPr>
            </w:pPr>
          </w:p>
          <w:p w14:paraId="59824812" w14:textId="77777777" w:rsidR="00A82661" w:rsidRPr="00875681" w:rsidRDefault="00A82661" w:rsidP="00E23F66">
            <w:pPr>
              <w:rPr>
                <w:rFonts w:ascii="Arial" w:hAnsi="Arial" w:cs="Arial"/>
              </w:rPr>
            </w:pPr>
            <w:r w:rsidRPr="00267E57">
              <w:rPr>
                <w:rFonts w:ascii="Arial" w:hAnsi="Arial" w:cs="Arial"/>
              </w:rPr>
              <w:t>Current funding to cease in March 24 (financial year 23/ 24) - GMO listed in 24/ 25 to source additional funding re; EMI bed opportunities</w:t>
            </w:r>
          </w:p>
        </w:tc>
      </w:tr>
      <w:tr w:rsidR="00A82661" w:rsidRPr="00B1166E" w14:paraId="5FFB06C8" w14:textId="77777777" w:rsidTr="00E23F66">
        <w:tc>
          <w:tcPr>
            <w:tcW w:w="647" w:type="pct"/>
            <w:shd w:val="clear" w:color="auto" w:fill="B8CCE4" w:themeFill="accent1" w:themeFillTint="66"/>
          </w:tcPr>
          <w:p w14:paraId="6E15723C" w14:textId="77777777" w:rsidR="00A82661" w:rsidRPr="00CA64EC" w:rsidRDefault="00A82661" w:rsidP="00E23F66">
            <w:pPr>
              <w:jc w:val="center"/>
              <w:rPr>
                <w:rFonts w:ascii="Arial" w:hAnsi="Arial" w:cs="Arial"/>
                <w:b/>
                <w:bCs/>
              </w:rPr>
            </w:pPr>
            <w:r w:rsidRPr="00CA64EC">
              <w:rPr>
                <w:rFonts w:ascii="Arial" w:hAnsi="Arial" w:cs="Arial"/>
                <w:b/>
                <w:bCs/>
              </w:rPr>
              <w:t>Current Governance arrangements</w:t>
            </w:r>
          </w:p>
        </w:tc>
        <w:tc>
          <w:tcPr>
            <w:tcW w:w="4353" w:type="pct"/>
            <w:gridSpan w:val="4"/>
            <w:shd w:val="clear" w:color="auto" w:fill="auto"/>
          </w:tcPr>
          <w:p w14:paraId="47CC5352" w14:textId="77777777" w:rsidR="00A82661" w:rsidRPr="00CA64EC" w:rsidRDefault="00A82661" w:rsidP="00E23F66">
            <w:pPr>
              <w:rPr>
                <w:rFonts w:ascii="Arial" w:hAnsi="Arial" w:cs="Arial"/>
                <w:iCs/>
              </w:rPr>
            </w:pPr>
            <w:r w:rsidRPr="00CA64EC">
              <w:rPr>
                <w:rFonts w:ascii="Arial" w:hAnsi="Arial" w:cs="Arial"/>
                <w:iCs/>
              </w:rPr>
              <w:t xml:space="preserve">Overall reporting to </w:t>
            </w:r>
            <w:r w:rsidRPr="00CA64EC">
              <w:rPr>
                <w:rFonts w:ascii="Arial" w:hAnsi="Arial" w:cs="Arial"/>
                <w:b/>
                <w:iCs/>
              </w:rPr>
              <w:t>UEC 6 Goals Board</w:t>
            </w:r>
            <w:r w:rsidRPr="00CA64EC">
              <w:rPr>
                <w:rFonts w:ascii="Arial" w:hAnsi="Arial" w:cs="Arial"/>
                <w:iCs/>
              </w:rPr>
              <w:t xml:space="preserve">, </w:t>
            </w:r>
            <w:r w:rsidRPr="00CA64EC">
              <w:rPr>
                <w:rFonts w:ascii="Arial" w:hAnsi="Arial" w:cs="Arial"/>
                <w:b/>
                <w:iCs/>
              </w:rPr>
              <w:t>SRO:</w:t>
            </w:r>
            <w:r w:rsidRPr="00CA64EC">
              <w:rPr>
                <w:rFonts w:ascii="Arial" w:hAnsi="Arial" w:cs="Arial"/>
                <w:iCs/>
              </w:rPr>
              <w:t xml:space="preserve"> Deb Lewis</w:t>
            </w:r>
          </w:p>
          <w:p w14:paraId="04A53D72" w14:textId="77777777" w:rsidR="00A82661" w:rsidRPr="00CA64EC" w:rsidRDefault="00A82661" w:rsidP="00E23F66">
            <w:pPr>
              <w:rPr>
                <w:rFonts w:ascii="Arial" w:hAnsi="Arial" w:cs="Arial"/>
                <w:iCs/>
              </w:rPr>
            </w:pPr>
            <w:r w:rsidRPr="00CA64EC">
              <w:rPr>
                <w:rFonts w:ascii="Arial" w:hAnsi="Arial" w:cs="Arial"/>
                <w:b/>
                <w:iCs/>
              </w:rPr>
              <w:t>Project Director</w:t>
            </w:r>
            <w:r w:rsidRPr="00CA64EC">
              <w:rPr>
                <w:rFonts w:ascii="Arial" w:hAnsi="Arial" w:cs="Arial"/>
                <w:iCs/>
              </w:rPr>
              <w:t xml:space="preserve">: Richard Lee, </w:t>
            </w:r>
            <w:r w:rsidRPr="00CA64EC">
              <w:rPr>
                <w:rFonts w:ascii="Arial" w:hAnsi="Arial" w:cs="Arial"/>
                <w:b/>
                <w:iCs/>
              </w:rPr>
              <w:t>Programme Manager</w:t>
            </w:r>
            <w:r w:rsidRPr="00CA64EC">
              <w:rPr>
                <w:rFonts w:ascii="Arial" w:hAnsi="Arial" w:cs="Arial"/>
                <w:iCs/>
              </w:rPr>
              <w:t xml:space="preserve">: Lee Elwell </w:t>
            </w:r>
          </w:p>
          <w:p w14:paraId="5232EAEC" w14:textId="77777777" w:rsidR="00A82661" w:rsidRPr="00CA64EC" w:rsidRDefault="00A82661" w:rsidP="00E23F66">
            <w:pPr>
              <w:rPr>
                <w:rFonts w:ascii="Arial" w:hAnsi="Arial" w:cs="Arial"/>
                <w:b/>
                <w:iCs/>
              </w:rPr>
            </w:pPr>
            <w:r w:rsidRPr="00CA64EC">
              <w:rPr>
                <w:rFonts w:ascii="Arial" w:hAnsi="Arial" w:cs="Arial"/>
                <w:b/>
                <w:iCs/>
              </w:rPr>
              <w:t xml:space="preserve">Programme Leads: </w:t>
            </w:r>
          </w:p>
          <w:p w14:paraId="066B3588" w14:textId="77777777" w:rsidR="00A82661" w:rsidRPr="00CA64EC" w:rsidRDefault="00A82661" w:rsidP="00E23F66">
            <w:pPr>
              <w:rPr>
                <w:rFonts w:ascii="Arial" w:hAnsi="Arial" w:cs="Arial"/>
                <w:iCs/>
              </w:rPr>
            </w:pPr>
            <w:r w:rsidRPr="00CA64EC">
              <w:rPr>
                <w:rFonts w:ascii="Arial" w:hAnsi="Arial" w:cs="Arial"/>
                <w:iCs/>
              </w:rPr>
              <w:t>Programme 1: Co-ordination, signposting &amp; alternatives to admission – Emily Warren</w:t>
            </w:r>
          </w:p>
          <w:p w14:paraId="59F1550E" w14:textId="77777777" w:rsidR="00A82661" w:rsidRPr="00CA64EC" w:rsidRDefault="00A82661" w:rsidP="00E23F66">
            <w:pPr>
              <w:rPr>
                <w:rFonts w:ascii="Arial" w:hAnsi="Arial" w:cs="Arial"/>
                <w:iCs/>
              </w:rPr>
            </w:pPr>
            <w:r w:rsidRPr="00CA64EC">
              <w:rPr>
                <w:rFonts w:ascii="Arial" w:hAnsi="Arial" w:cs="Arial"/>
                <w:iCs/>
              </w:rPr>
              <w:t>Programme 2: Integrated Front Door – Fiona Hughes</w:t>
            </w:r>
          </w:p>
          <w:p w14:paraId="1A58F233" w14:textId="77777777" w:rsidR="00A82661" w:rsidRPr="00CA64EC" w:rsidRDefault="00A82661" w:rsidP="00E23F66">
            <w:pPr>
              <w:rPr>
                <w:rFonts w:ascii="Arial" w:hAnsi="Arial" w:cs="Arial"/>
                <w:bCs/>
              </w:rPr>
            </w:pPr>
            <w:r w:rsidRPr="00CA64EC">
              <w:rPr>
                <w:rFonts w:ascii="Arial" w:hAnsi="Arial" w:cs="Arial"/>
                <w:iCs/>
              </w:rPr>
              <w:t xml:space="preserve">Programme 3: </w:t>
            </w:r>
            <w:r w:rsidRPr="00CA64EC">
              <w:rPr>
                <w:rFonts w:ascii="Arial" w:hAnsi="Arial" w:cs="Arial"/>
                <w:bCs/>
              </w:rPr>
              <w:t>Acute Hospital flow and discharge – Sue Moore</w:t>
            </w:r>
          </w:p>
          <w:p w14:paraId="61504885" w14:textId="77777777" w:rsidR="00A82661" w:rsidRPr="00CA64EC" w:rsidRDefault="00A82661" w:rsidP="00E23F66">
            <w:pPr>
              <w:rPr>
                <w:rFonts w:ascii="Arial" w:hAnsi="Arial" w:cs="Arial"/>
              </w:rPr>
            </w:pPr>
            <w:r w:rsidRPr="00CA64EC">
              <w:rPr>
                <w:rFonts w:ascii="Arial" w:hAnsi="Arial" w:cs="Arial"/>
                <w:bCs/>
              </w:rPr>
              <w:lastRenderedPageBreak/>
              <w:t>Programme 4: Integrated Discharge – Brian Owens</w:t>
            </w:r>
          </w:p>
        </w:tc>
      </w:tr>
    </w:tbl>
    <w:p w14:paraId="3C401926" w14:textId="77777777" w:rsidR="00A82661" w:rsidRPr="00236E83" w:rsidRDefault="00A82661" w:rsidP="00A82661">
      <w:pPr>
        <w:spacing w:after="160" w:line="259" w:lineRule="auto"/>
        <w:rPr>
          <w:rFonts w:ascii="Arial" w:hAnsi="Arial" w:cs="Arial"/>
        </w:rPr>
      </w:pPr>
    </w:p>
    <w:p w14:paraId="02118F44" w14:textId="77777777" w:rsidR="00A82661" w:rsidRPr="00236E83" w:rsidRDefault="00A82661" w:rsidP="00A82661">
      <w:pPr>
        <w:spacing w:after="160" w:line="259" w:lineRule="auto"/>
        <w:rPr>
          <w:rFonts w:ascii="Arial" w:hAnsi="Arial" w:cs="Arial"/>
        </w:rPr>
      </w:pPr>
      <w:r w:rsidRPr="00236E83">
        <w:rPr>
          <w:rFonts w:ascii="Arial" w:hAnsi="Arial" w:cs="Arial"/>
        </w:rPr>
        <w:br w:type="page"/>
      </w:r>
    </w:p>
    <w:p w14:paraId="76B1C99D" w14:textId="77777777" w:rsidR="00A82661" w:rsidRPr="00236E83" w:rsidRDefault="00A82661" w:rsidP="00A82661">
      <w:pPr>
        <w:rPr>
          <w:rFonts w:ascii="Arial" w:hAnsi="Arial" w:cs="Arial"/>
          <w:b/>
        </w:rPr>
      </w:pPr>
      <w:r w:rsidRPr="00236E83">
        <w:rPr>
          <w:rFonts w:ascii="Arial" w:hAnsi="Arial" w:cs="Arial"/>
          <w:b/>
        </w:rPr>
        <w:lastRenderedPageBreak/>
        <w:t>PRIORITY 2: PLANNED CARE- RTT 104 WEEK WAITS</w:t>
      </w:r>
    </w:p>
    <w:tbl>
      <w:tblPr>
        <w:tblStyle w:val="TableGrid1"/>
        <w:tblW w:w="5093" w:type="pct"/>
        <w:tblLook w:val="04A0" w:firstRow="1" w:lastRow="0" w:firstColumn="1" w:lastColumn="0" w:noHBand="0" w:noVBand="1"/>
      </w:tblPr>
      <w:tblGrid>
        <w:gridCol w:w="1890"/>
        <w:gridCol w:w="3084"/>
        <w:gridCol w:w="2776"/>
        <w:gridCol w:w="1449"/>
        <w:gridCol w:w="1696"/>
        <w:gridCol w:w="3624"/>
      </w:tblGrid>
      <w:tr w:rsidR="00A82661" w:rsidRPr="00236E83" w14:paraId="492A2318" w14:textId="77777777" w:rsidTr="00E23F66">
        <w:tc>
          <w:tcPr>
            <w:tcW w:w="651" w:type="pct"/>
            <w:vMerge w:val="restart"/>
            <w:shd w:val="clear" w:color="auto" w:fill="B8CCE4" w:themeFill="accent1" w:themeFillTint="66"/>
          </w:tcPr>
          <w:p w14:paraId="1D9088CC" w14:textId="77777777" w:rsidR="00A82661" w:rsidRPr="00236E83" w:rsidRDefault="00A82661" w:rsidP="00E23F66">
            <w:pPr>
              <w:jc w:val="center"/>
              <w:rPr>
                <w:rFonts w:ascii="Arial" w:hAnsi="Arial" w:cs="Arial"/>
                <w:b/>
              </w:rPr>
            </w:pPr>
            <w:r w:rsidRPr="00236E83">
              <w:rPr>
                <w:rFonts w:ascii="Arial" w:hAnsi="Arial" w:cs="Arial"/>
                <w:b/>
              </w:rPr>
              <w:t>Ministerial Priorities:</w:t>
            </w:r>
          </w:p>
        </w:tc>
        <w:tc>
          <w:tcPr>
            <w:tcW w:w="4349" w:type="pct"/>
            <w:gridSpan w:val="5"/>
            <w:shd w:val="clear" w:color="auto" w:fill="DBE5F1" w:themeFill="accent1" w:themeFillTint="33"/>
          </w:tcPr>
          <w:p w14:paraId="4CDCAEC9" w14:textId="77777777" w:rsidR="00A82661" w:rsidRPr="00236E83" w:rsidRDefault="00A82661" w:rsidP="00E23F66">
            <w:pPr>
              <w:spacing w:after="0" w:line="240" w:lineRule="auto"/>
              <w:rPr>
                <w:rFonts w:ascii="Arial" w:eastAsia="Times New Roman" w:hAnsi="Arial" w:cs="Arial"/>
                <w:b/>
                <w:szCs w:val="24"/>
              </w:rPr>
            </w:pPr>
            <w:r w:rsidRPr="00236E83">
              <w:rPr>
                <w:rFonts w:ascii="Arial" w:eastAsia="Times New Roman" w:hAnsi="Arial" w:cs="Arial"/>
                <w:b/>
                <w:szCs w:val="24"/>
              </w:rPr>
              <w:t>Eliminate 3 year (156 week) RTT pathways by end of Q2 (end Sept 23)</w:t>
            </w:r>
          </w:p>
        </w:tc>
      </w:tr>
      <w:tr w:rsidR="00A82661" w:rsidRPr="00236E83" w14:paraId="2222D611" w14:textId="77777777" w:rsidTr="00E23F66">
        <w:tc>
          <w:tcPr>
            <w:tcW w:w="651" w:type="pct"/>
            <w:vMerge/>
            <w:shd w:val="clear" w:color="auto" w:fill="B8CCE4" w:themeFill="accent1" w:themeFillTint="66"/>
          </w:tcPr>
          <w:p w14:paraId="709133E5" w14:textId="77777777" w:rsidR="00A82661" w:rsidRPr="00236E83" w:rsidRDefault="00A82661" w:rsidP="00E23F66">
            <w:pPr>
              <w:jc w:val="center"/>
              <w:rPr>
                <w:rFonts w:ascii="Arial" w:hAnsi="Arial" w:cs="Arial"/>
                <w:b/>
              </w:rPr>
            </w:pPr>
          </w:p>
        </w:tc>
        <w:tc>
          <w:tcPr>
            <w:tcW w:w="4349" w:type="pct"/>
            <w:gridSpan w:val="5"/>
            <w:shd w:val="clear" w:color="auto" w:fill="DBE5F1" w:themeFill="accent1" w:themeFillTint="33"/>
          </w:tcPr>
          <w:p w14:paraId="0D80D2C7" w14:textId="77777777" w:rsidR="00A82661" w:rsidRPr="00236E83" w:rsidRDefault="00A82661" w:rsidP="00E23F66">
            <w:pPr>
              <w:spacing w:after="0" w:line="240" w:lineRule="auto"/>
              <w:rPr>
                <w:rFonts w:ascii="Arial" w:eastAsia="Times New Roman" w:hAnsi="Arial" w:cs="Arial"/>
                <w:b/>
                <w:szCs w:val="24"/>
              </w:rPr>
            </w:pPr>
            <w:r w:rsidRPr="00236E83">
              <w:rPr>
                <w:rFonts w:ascii="Arial" w:eastAsia="Times New Roman" w:hAnsi="Arial" w:cs="Arial"/>
                <w:b/>
                <w:szCs w:val="24"/>
              </w:rPr>
              <w:t>Eliminate 2 year (104 week) RTT pathways by end of Q3 (end Dec 23)</w:t>
            </w:r>
          </w:p>
        </w:tc>
      </w:tr>
      <w:tr w:rsidR="00A82661" w:rsidRPr="00236E83" w14:paraId="758DCF7A" w14:textId="77777777" w:rsidTr="00E23F66">
        <w:tc>
          <w:tcPr>
            <w:tcW w:w="651" w:type="pct"/>
            <w:shd w:val="clear" w:color="auto" w:fill="B8CCE4" w:themeFill="accent1" w:themeFillTint="66"/>
          </w:tcPr>
          <w:p w14:paraId="2D7AFF60" w14:textId="77777777" w:rsidR="00A82661" w:rsidRPr="00236E83" w:rsidRDefault="00A82661" w:rsidP="00E23F66">
            <w:pPr>
              <w:jc w:val="center"/>
              <w:rPr>
                <w:rFonts w:ascii="Arial" w:hAnsi="Arial" w:cs="Arial"/>
                <w:b/>
                <w:bCs/>
              </w:rPr>
            </w:pPr>
            <w:r w:rsidRPr="00236E83">
              <w:rPr>
                <w:rFonts w:ascii="Arial" w:hAnsi="Arial" w:cs="Arial"/>
                <w:b/>
                <w:bCs/>
              </w:rPr>
              <w:t>Vision/ Goals</w:t>
            </w:r>
          </w:p>
        </w:tc>
        <w:tc>
          <w:tcPr>
            <w:tcW w:w="4349" w:type="pct"/>
            <w:gridSpan w:val="5"/>
            <w:shd w:val="clear" w:color="auto" w:fill="auto"/>
          </w:tcPr>
          <w:p w14:paraId="62A3DE5D" w14:textId="77777777" w:rsidR="00A82661" w:rsidRPr="00236E83" w:rsidRDefault="00A82661" w:rsidP="00E23F66">
            <w:pPr>
              <w:rPr>
                <w:rFonts w:ascii="Arial" w:eastAsia="Times New Roman" w:hAnsi="Arial" w:cs="Arial"/>
                <w:b/>
              </w:rPr>
            </w:pPr>
            <w:r w:rsidRPr="00236E83">
              <w:rPr>
                <w:rFonts w:ascii="Arial" w:hAnsi="Arial" w:cs="Arial"/>
                <w:b/>
              </w:rPr>
              <w:t xml:space="preserve">Clear RTT 156 week waits by the end of Sept and 104 </w:t>
            </w:r>
            <w:proofErr w:type="spellStart"/>
            <w:r w:rsidRPr="00236E83">
              <w:rPr>
                <w:rFonts w:ascii="Arial" w:hAnsi="Arial" w:cs="Arial"/>
                <w:b/>
              </w:rPr>
              <w:t>wks</w:t>
            </w:r>
            <w:proofErr w:type="spellEnd"/>
            <w:r w:rsidRPr="00236E83">
              <w:rPr>
                <w:rFonts w:ascii="Arial" w:hAnsi="Arial" w:cs="Arial"/>
                <w:b/>
              </w:rPr>
              <w:t xml:space="preserve"> by end of December (i.e. 0 patients waiting &gt;156weeks/ 104weeks), except in </w:t>
            </w:r>
            <w:r w:rsidRPr="00236E83">
              <w:rPr>
                <w:rFonts w:ascii="Arial" w:eastAsia="Times New Roman" w:hAnsi="Arial" w:cs="Arial"/>
                <w:b/>
              </w:rPr>
              <w:t>Orthopaedics, Spines, DIEPs (Breast).</w:t>
            </w:r>
          </w:p>
          <w:p w14:paraId="4396837B" w14:textId="77777777" w:rsidR="00A82661" w:rsidRPr="00236E83" w:rsidRDefault="00A82661" w:rsidP="00E23F66">
            <w:pPr>
              <w:rPr>
                <w:rFonts w:ascii="Arial" w:eastAsia="Times New Roman" w:hAnsi="Arial" w:cs="Arial"/>
              </w:rPr>
            </w:pPr>
            <w:r w:rsidRPr="00236E83">
              <w:rPr>
                <w:rFonts w:ascii="Arial" w:eastAsia="Times New Roman" w:hAnsi="Arial" w:cs="Arial"/>
              </w:rPr>
              <w:t>Aligned to Planned Care Goals set out in Annual Plan 23/24:</w:t>
            </w:r>
          </w:p>
          <w:p w14:paraId="003EDC88" w14:textId="77777777" w:rsidR="00A82661" w:rsidRPr="00236E83" w:rsidRDefault="00A82661" w:rsidP="00A82661">
            <w:pPr>
              <w:pStyle w:val="ListParagraph"/>
              <w:numPr>
                <w:ilvl w:val="0"/>
                <w:numId w:val="18"/>
              </w:numPr>
              <w:spacing w:after="0" w:line="240" w:lineRule="auto"/>
              <w:rPr>
                <w:rFonts w:ascii="Arial" w:hAnsi="Arial" w:cs="Arial"/>
                <w:sz w:val="22"/>
              </w:rPr>
            </w:pPr>
            <w:r w:rsidRPr="00236E83">
              <w:rPr>
                <w:rFonts w:ascii="Arial" w:hAnsi="Arial" w:cs="Arial"/>
                <w:b/>
                <w:iCs/>
                <w:sz w:val="22"/>
              </w:rPr>
              <w:t>Deliver out-patient waits &gt;52 weeks (with the exception of orthopaedics) by June 2023 and 36 week wait by March 24</w:t>
            </w:r>
          </w:p>
          <w:p w14:paraId="069EEE87" w14:textId="77777777" w:rsidR="00A82661" w:rsidRPr="00236E83" w:rsidRDefault="00A82661" w:rsidP="00A82661">
            <w:pPr>
              <w:pStyle w:val="ListParagraph"/>
              <w:numPr>
                <w:ilvl w:val="0"/>
                <w:numId w:val="18"/>
              </w:numPr>
              <w:spacing w:after="0" w:line="240" w:lineRule="auto"/>
              <w:rPr>
                <w:rFonts w:ascii="Arial" w:eastAsiaTheme="minorHAnsi" w:hAnsi="Arial" w:cs="Arial"/>
                <w:iCs/>
              </w:rPr>
            </w:pPr>
            <w:r w:rsidRPr="00236E83">
              <w:rPr>
                <w:rFonts w:ascii="Arial" w:eastAsiaTheme="minorHAnsi" w:hAnsi="Arial" w:cs="Arial"/>
                <w:b/>
                <w:bCs/>
                <w:sz w:val="22"/>
              </w:rPr>
              <w:t>Create greater capacity at Singleton to eradicate &gt;24 waits in all specialties by June 2024</w:t>
            </w:r>
          </w:p>
          <w:p w14:paraId="1A316F76" w14:textId="77777777" w:rsidR="00A82661" w:rsidRPr="00236E83" w:rsidRDefault="00A82661" w:rsidP="00A82661">
            <w:pPr>
              <w:pStyle w:val="ListParagraph"/>
              <w:numPr>
                <w:ilvl w:val="0"/>
                <w:numId w:val="18"/>
              </w:numPr>
              <w:spacing w:after="0" w:line="240" w:lineRule="auto"/>
              <w:rPr>
                <w:rFonts w:ascii="Arial" w:eastAsiaTheme="minorHAnsi" w:hAnsi="Arial" w:cs="Arial"/>
                <w:b/>
                <w:iCs/>
              </w:rPr>
            </w:pPr>
            <w:r w:rsidRPr="00236E83">
              <w:rPr>
                <w:rFonts w:ascii="Arial" w:eastAsiaTheme="minorHAnsi" w:hAnsi="Arial" w:cs="Arial"/>
                <w:b/>
                <w:iCs/>
                <w:sz w:val="22"/>
              </w:rPr>
              <w:t>Deliver orthopaedic strategy to eradicate the &gt;24 month /Stage 5 waits by March '24.</w:t>
            </w:r>
          </w:p>
        </w:tc>
      </w:tr>
      <w:tr w:rsidR="00A82661" w:rsidRPr="00236E83" w14:paraId="2EAE975D" w14:textId="77777777" w:rsidTr="00E23F66">
        <w:tc>
          <w:tcPr>
            <w:tcW w:w="651" w:type="pct"/>
            <w:shd w:val="clear" w:color="auto" w:fill="B8CCE4" w:themeFill="accent1" w:themeFillTint="66"/>
          </w:tcPr>
          <w:p w14:paraId="5C5D6B86" w14:textId="77777777" w:rsidR="00A82661" w:rsidRPr="00236E83" w:rsidRDefault="00A82661" w:rsidP="00E23F66">
            <w:pPr>
              <w:jc w:val="center"/>
              <w:rPr>
                <w:rFonts w:ascii="Arial" w:hAnsi="Arial" w:cs="Arial"/>
                <w:b/>
                <w:bCs/>
              </w:rPr>
            </w:pPr>
            <w:r w:rsidRPr="00236E83">
              <w:rPr>
                <w:rFonts w:ascii="Arial" w:hAnsi="Arial" w:cs="Arial"/>
                <w:b/>
                <w:bCs/>
              </w:rPr>
              <w:t>GMO ref:</w:t>
            </w:r>
          </w:p>
        </w:tc>
        <w:tc>
          <w:tcPr>
            <w:tcW w:w="4349" w:type="pct"/>
            <w:gridSpan w:val="5"/>
            <w:shd w:val="clear" w:color="auto" w:fill="DBE5F1" w:themeFill="accent1" w:themeFillTint="33"/>
          </w:tcPr>
          <w:p w14:paraId="06F2E101" w14:textId="77777777" w:rsidR="00A82661" w:rsidRPr="00236E83" w:rsidRDefault="00A82661" w:rsidP="00E23F66">
            <w:pPr>
              <w:jc w:val="center"/>
              <w:rPr>
                <w:rFonts w:ascii="Arial" w:hAnsi="Arial" w:cs="Arial"/>
                <w:b/>
                <w:iCs/>
              </w:rPr>
            </w:pPr>
            <w:r w:rsidRPr="00236E83">
              <w:rPr>
                <w:rFonts w:ascii="Arial" w:hAnsi="Arial" w:cs="Arial"/>
                <w:b/>
                <w:iCs/>
              </w:rPr>
              <w:t>Methods/ Actions to deliver Ministerial Priorities</w:t>
            </w:r>
          </w:p>
        </w:tc>
      </w:tr>
      <w:tr w:rsidR="00A82661" w:rsidRPr="00236E83" w14:paraId="23B95739" w14:textId="77777777" w:rsidTr="00E23F66">
        <w:tc>
          <w:tcPr>
            <w:tcW w:w="651" w:type="pct"/>
            <w:shd w:val="clear" w:color="auto" w:fill="B8CCE4" w:themeFill="accent1" w:themeFillTint="66"/>
          </w:tcPr>
          <w:p w14:paraId="7AF1A6DE" w14:textId="77777777" w:rsidR="00A82661" w:rsidRPr="00236E83" w:rsidRDefault="00A82661" w:rsidP="00E23F66">
            <w:pPr>
              <w:rPr>
                <w:rFonts w:ascii="Arial" w:hAnsi="Arial" w:cs="Arial"/>
                <w:b/>
                <w:bCs/>
              </w:rPr>
            </w:pPr>
            <w:r w:rsidRPr="00236E83">
              <w:rPr>
                <w:rFonts w:ascii="Arial" w:hAnsi="Arial" w:cs="Arial"/>
                <w:b/>
                <w:bCs/>
              </w:rPr>
              <w:t>PC_009</w:t>
            </w:r>
          </w:p>
        </w:tc>
        <w:tc>
          <w:tcPr>
            <w:tcW w:w="4349" w:type="pct"/>
            <w:gridSpan w:val="5"/>
            <w:shd w:val="clear" w:color="auto" w:fill="auto"/>
          </w:tcPr>
          <w:p w14:paraId="239B9BEB" w14:textId="77777777" w:rsidR="00A82661" w:rsidRPr="00236E83" w:rsidRDefault="00A82661" w:rsidP="00E23F66">
            <w:pPr>
              <w:rPr>
                <w:rFonts w:ascii="Arial" w:hAnsi="Arial" w:cs="Arial"/>
                <w:bCs/>
              </w:rPr>
            </w:pPr>
            <w:r w:rsidRPr="00236E83">
              <w:rPr>
                <w:rFonts w:ascii="Arial" w:hAnsi="Arial" w:cs="Arial"/>
                <w:bCs/>
              </w:rPr>
              <w:t>Continue current improvement trajectory for outpatients utilising additional capacity where necessary and through efficiency gains. Develop further initiatives in primary care to reduce demand including the introduction of at least 50 Health Pathways.</w:t>
            </w:r>
          </w:p>
        </w:tc>
      </w:tr>
      <w:tr w:rsidR="00A82661" w:rsidRPr="00236E83" w14:paraId="24B2B453" w14:textId="77777777" w:rsidTr="00E23F66">
        <w:tc>
          <w:tcPr>
            <w:tcW w:w="651" w:type="pct"/>
            <w:shd w:val="clear" w:color="auto" w:fill="B8CCE4" w:themeFill="accent1" w:themeFillTint="66"/>
            <w:vAlign w:val="center"/>
          </w:tcPr>
          <w:p w14:paraId="1853D8D0" w14:textId="77777777" w:rsidR="00A82661" w:rsidRPr="00236E83" w:rsidRDefault="00A82661" w:rsidP="00E23F66">
            <w:pPr>
              <w:rPr>
                <w:rFonts w:ascii="Arial" w:hAnsi="Arial" w:cs="Arial"/>
                <w:b/>
                <w:bCs/>
              </w:rPr>
            </w:pPr>
            <w:r w:rsidRPr="00236E83">
              <w:rPr>
                <w:rFonts w:ascii="Arial" w:hAnsi="Arial" w:cs="Arial"/>
                <w:b/>
              </w:rPr>
              <w:t>PC_005</w:t>
            </w:r>
          </w:p>
        </w:tc>
        <w:tc>
          <w:tcPr>
            <w:tcW w:w="4349" w:type="pct"/>
            <w:gridSpan w:val="5"/>
            <w:shd w:val="clear" w:color="auto" w:fill="auto"/>
            <w:vAlign w:val="center"/>
          </w:tcPr>
          <w:p w14:paraId="63B15264" w14:textId="77777777" w:rsidR="00A82661" w:rsidRPr="00236E83" w:rsidRDefault="00A82661" w:rsidP="00E23F66">
            <w:pPr>
              <w:rPr>
                <w:rFonts w:ascii="Arial" w:hAnsi="Arial" w:cs="Arial"/>
                <w:bCs/>
              </w:rPr>
            </w:pPr>
            <w:r w:rsidRPr="00236E83">
              <w:rPr>
                <w:rFonts w:ascii="Arial" w:hAnsi="Arial" w:cs="Arial"/>
              </w:rPr>
              <w:t>Finalise business case and secure finalise support to develop a 3 theatre module in Singleton</w:t>
            </w:r>
          </w:p>
        </w:tc>
      </w:tr>
      <w:tr w:rsidR="00A82661" w:rsidRPr="00236E83" w14:paraId="196D3B23" w14:textId="77777777" w:rsidTr="00E23F66">
        <w:tc>
          <w:tcPr>
            <w:tcW w:w="651" w:type="pct"/>
            <w:shd w:val="clear" w:color="auto" w:fill="B8CCE4" w:themeFill="accent1" w:themeFillTint="66"/>
            <w:vAlign w:val="center"/>
          </w:tcPr>
          <w:p w14:paraId="76BCA080" w14:textId="77777777" w:rsidR="00A82661" w:rsidRPr="00236E83" w:rsidRDefault="00A82661" w:rsidP="00E23F66">
            <w:pPr>
              <w:rPr>
                <w:rFonts w:ascii="Arial" w:hAnsi="Arial" w:cs="Arial"/>
                <w:b/>
                <w:bCs/>
              </w:rPr>
            </w:pPr>
            <w:r w:rsidRPr="00236E83">
              <w:rPr>
                <w:rFonts w:ascii="Arial" w:hAnsi="Arial" w:cs="Arial"/>
                <w:b/>
              </w:rPr>
              <w:t>PC_006</w:t>
            </w:r>
          </w:p>
        </w:tc>
        <w:tc>
          <w:tcPr>
            <w:tcW w:w="4349" w:type="pct"/>
            <w:gridSpan w:val="5"/>
            <w:shd w:val="clear" w:color="auto" w:fill="auto"/>
            <w:vAlign w:val="center"/>
          </w:tcPr>
          <w:p w14:paraId="3D665239" w14:textId="77777777" w:rsidR="00A82661" w:rsidRPr="00236E83" w:rsidRDefault="00A82661" w:rsidP="00E23F66">
            <w:pPr>
              <w:rPr>
                <w:rFonts w:ascii="Arial" w:hAnsi="Arial" w:cs="Arial"/>
                <w:bCs/>
              </w:rPr>
            </w:pPr>
            <w:r w:rsidRPr="00236E83">
              <w:rPr>
                <w:rFonts w:ascii="Arial" w:hAnsi="Arial" w:cs="Arial"/>
              </w:rPr>
              <w:t>Expand colorectal / general surgery sessions by 15 including increasing consultant numbers by 2 WTE for benign surgery</w:t>
            </w:r>
          </w:p>
        </w:tc>
      </w:tr>
      <w:tr w:rsidR="00A82661" w:rsidRPr="00236E83" w14:paraId="39252666" w14:textId="77777777" w:rsidTr="00E23F66">
        <w:tc>
          <w:tcPr>
            <w:tcW w:w="651" w:type="pct"/>
            <w:shd w:val="clear" w:color="auto" w:fill="B8CCE4" w:themeFill="accent1" w:themeFillTint="66"/>
            <w:vAlign w:val="center"/>
          </w:tcPr>
          <w:p w14:paraId="0E826CCF" w14:textId="77777777" w:rsidR="00A82661" w:rsidRPr="00236E83" w:rsidRDefault="00A82661" w:rsidP="00E23F66">
            <w:pPr>
              <w:rPr>
                <w:rFonts w:ascii="Arial" w:hAnsi="Arial" w:cs="Arial"/>
                <w:b/>
                <w:bCs/>
              </w:rPr>
            </w:pPr>
            <w:r w:rsidRPr="00236E83">
              <w:rPr>
                <w:rFonts w:ascii="Arial" w:hAnsi="Arial" w:cs="Arial"/>
                <w:b/>
              </w:rPr>
              <w:t>PC_007</w:t>
            </w:r>
          </w:p>
        </w:tc>
        <w:tc>
          <w:tcPr>
            <w:tcW w:w="4349" w:type="pct"/>
            <w:gridSpan w:val="5"/>
            <w:shd w:val="clear" w:color="auto" w:fill="auto"/>
            <w:vAlign w:val="center"/>
          </w:tcPr>
          <w:p w14:paraId="3C94F26D" w14:textId="77777777" w:rsidR="00A82661" w:rsidRPr="00236E83" w:rsidRDefault="00A82661" w:rsidP="00E23F66">
            <w:pPr>
              <w:rPr>
                <w:rFonts w:ascii="Arial" w:hAnsi="Arial" w:cs="Arial"/>
                <w:bCs/>
              </w:rPr>
            </w:pPr>
            <w:r w:rsidRPr="00236E83">
              <w:rPr>
                <w:rFonts w:ascii="Arial" w:hAnsi="Arial" w:cs="Arial"/>
              </w:rPr>
              <w:t>Deliver gynaecology ambulatory care facility at Singleton to increase capacity for hysteroscopies and additional theatre sessions.</w:t>
            </w:r>
          </w:p>
        </w:tc>
      </w:tr>
      <w:tr w:rsidR="00A82661" w:rsidRPr="00236E83" w14:paraId="61A86DDD" w14:textId="77777777" w:rsidTr="00E23F66">
        <w:tc>
          <w:tcPr>
            <w:tcW w:w="651" w:type="pct"/>
            <w:shd w:val="clear" w:color="auto" w:fill="B8CCE4" w:themeFill="accent1" w:themeFillTint="66"/>
            <w:vAlign w:val="center"/>
          </w:tcPr>
          <w:p w14:paraId="613EF8FC" w14:textId="77777777" w:rsidR="00A82661" w:rsidRPr="00236E83" w:rsidRDefault="00A82661" w:rsidP="00E23F66">
            <w:pPr>
              <w:rPr>
                <w:rFonts w:ascii="Arial" w:hAnsi="Arial" w:cs="Arial"/>
                <w:b/>
                <w:bCs/>
              </w:rPr>
            </w:pPr>
            <w:r w:rsidRPr="00236E83">
              <w:rPr>
                <w:rFonts w:ascii="Arial" w:hAnsi="Arial" w:cs="Arial"/>
                <w:b/>
              </w:rPr>
              <w:t>PC_008</w:t>
            </w:r>
          </w:p>
        </w:tc>
        <w:tc>
          <w:tcPr>
            <w:tcW w:w="4349" w:type="pct"/>
            <w:gridSpan w:val="5"/>
            <w:shd w:val="clear" w:color="auto" w:fill="auto"/>
            <w:vAlign w:val="center"/>
          </w:tcPr>
          <w:p w14:paraId="47E2C4E5" w14:textId="77777777" w:rsidR="00A82661" w:rsidRPr="00236E83" w:rsidRDefault="00A82661" w:rsidP="00E23F66">
            <w:pPr>
              <w:rPr>
                <w:rFonts w:ascii="Arial" w:hAnsi="Arial" w:cs="Arial"/>
                <w:bCs/>
              </w:rPr>
            </w:pPr>
            <w:r w:rsidRPr="00236E83">
              <w:rPr>
                <w:rFonts w:ascii="Arial" w:hAnsi="Arial" w:cs="Arial"/>
              </w:rPr>
              <w:t>Create 5 ENT sessions at Singleton</w:t>
            </w:r>
          </w:p>
        </w:tc>
      </w:tr>
      <w:tr w:rsidR="00A82661" w:rsidRPr="00236E83" w14:paraId="09535EE8" w14:textId="77777777" w:rsidTr="00E23F66">
        <w:tc>
          <w:tcPr>
            <w:tcW w:w="651" w:type="pct"/>
            <w:shd w:val="clear" w:color="auto" w:fill="B8CCE4" w:themeFill="accent1" w:themeFillTint="66"/>
            <w:vAlign w:val="center"/>
          </w:tcPr>
          <w:p w14:paraId="158BADF9" w14:textId="77777777" w:rsidR="00A82661" w:rsidRPr="00236E83" w:rsidRDefault="00A82661" w:rsidP="00E23F66">
            <w:pPr>
              <w:rPr>
                <w:rFonts w:ascii="Arial" w:hAnsi="Arial" w:cs="Arial"/>
                <w:b/>
              </w:rPr>
            </w:pPr>
            <w:r w:rsidRPr="00236E83">
              <w:rPr>
                <w:rFonts w:ascii="Arial" w:hAnsi="Arial" w:cs="Arial"/>
                <w:b/>
              </w:rPr>
              <w:t>PC_001</w:t>
            </w:r>
          </w:p>
        </w:tc>
        <w:tc>
          <w:tcPr>
            <w:tcW w:w="4349" w:type="pct"/>
            <w:gridSpan w:val="5"/>
            <w:shd w:val="clear" w:color="auto" w:fill="auto"/>
          </w:tcPr>
          <w:p w14:paraId="2A9DF882" w14:textId="77777777" w:rsidR="00A82661" w:rsidRPr="00236E83" w:rsidRDefault="00A82661" w:rsidP="00E23F66">
            <w:pPr>
              <w:rPr>
                <w:rFonts w:ascii="Arial" w:hAnsi="Arial" w:cs="Arial"/>
              </w:rPr>
            </w:pPr>
            <w:r w:rsidRPr="00236E83">
              <w:rPr>
                <w:rFonts w:ascii="Arial" w:hAnsi="Arial" w:cs="Arial"/>
              </w:rPr>
              <w:t>Provide protected elective capacity on Clydach Ward in Morriston for those patients with the highest acuity.</w:t>
            </w:r>
          </w:p>
        </w:tc>
      </w:tr>
      <w:tr w:rsidR="00A82661" w:rsidRPr="00236E83" w14:paraId="73AF6E9B" w14:textId="77777777" w:rsidTr="00E23F66">
        <w:tc>
          <w:tcPr>
            <w:tcW w:w="651" w:type="pct"/>
            <w:shd w:val="clear" w:color="auto" w:fill="B8CCE4" w:themeFill="accent1" w:themeFillTint="66"/>
            <w:vAlign w:val="center"/>
          </w:tcPr>
          <w:p w14:paraId="5E6CAF4A" w14:textId="77777777" w:rsidR="00A82661" w:rsidRPr="00236E83" w:rsidRDefault="00A82661" w:rsidP="00E23F66">
            <w:pPr>
              <w:rPr>
                <w:rFonts w:ascii="Arial" w:hAnsi="Arial" w:cs="Arial"/>
                <w:b/>
              </w:rPr>
            </w:pPr>
            <w:r w:rsidRPr="00236E83">
              <w:rPr>
                <w:rFonts w:ascii="Arial" w:hAnsi="Arial" w:cs="Arial"/>
                <w:b/>
              </w:rPr>
              <w:t>PC_002</w:t>
            </w:r>
          </w:p>
        </w:tc>
        <w:tc>
          <w:tcPr>
            <w:tcW w:w="4349" w:type="pct"/>
            <w:gridSpan w:val="5"/>
            <w:shd w:val="clear" w:color="auto" w:fill="auto"/>
            <w:vAlign w:val="center"/>
          </w:tcPr>
          <w:p w14:paraId="0A8D8EE4" w14:textId="77777777" w:rsidR="00A82661" w:rsidRPr="00236E83" w:rsidRDefault="00A82661" w:rsidP="00E23F66">
            <w:pPr>
              <w:rPr>
                <w:rFonts w:ascii="Arial" w:hAnsi="Arial" w:cs="Arial"/>
              </w:rPr>
            </w:pPr>
            <w:r w:rsidRPr="00236E83">
              <w:rPr>
                <w:rFonts w:ascii="Arial" w:hAnsi="Arial" w:cs="Arial"/>
              </w:rPr>
              <w:t>Work with colleagues in Hywel Dda to explore the possibility of utilising orthopaedic capacity in Prince Phillip Hospital to accommodate high acuity patient as part of a regional approach.</w:t>
            </w:r>
          </w:p>
        </w:tc>
      </w:tr>
      <w:tr w:rsidR="00A82661" w:rsidRPr="00236E83" w14:paraId="351F6175" w14:textId="77777777" w:rsidTr="00E23F66">
        <w:tc>
          <w:tcPr>
            <w:tcW w:w="651" w:type="pct"/>
            <w:shd w:val="clear" w:color="auto" w:fill="B8CCE4" w:themeFill="accent1" w:themeFillTint="66"/>
            <w:vAlign w:val="center"/>
          </w:tcPr>
          <w:p w14:paraId="2C332FD7" w14:textId="77777777" w:rsidR="00A82661" w:rsidRPr="00236E83" w:rsidRDefault="00A82661" w:rsidP="00E23F66">
            <w:pPr>
              <w:rPr>
                <w:rFonts w:ascii="Arial" w:hAnsi="Arial" w:cs="Arial"/>
                <w:b/>
              </w:rPr>
            </w:pPr>
            <w:r w:rsidRPr="00236E83">
              <w:rPr>
                <w:rFonts w:ascii="Arial" w:hAnsi="Arial" w:cs="Arial"/>
                <w:b/>
              </w:rPr>
              <w:t>PC_003</w:t>
            </w:r>
          </w:p>
        </w:tc>
        <w:tc>
          <w:tcPr>
            <w:tcW w:w="4349" w:type="pct"/>
            <w:gridSpan w:val="5"/>
            <w:shd w:val="clear" w:color="auto" w:fill="auto"/>
            <w:vAlign w:val="center"/>
          </w:tcPr>
          <w:p w14:paraId="42BF0493" w14:textId="77777777" w:rsidR="00A82661" w:rsidRPr="00236E83" w:rsidRDefault="00A82661" w:rsidP="00E23F66">
            <w:pPr>
              <w:rPr>
                <w:rFonts w:ascii="Arial" w:hAnsi="Arial" w:cs="Arial"/>
              </w:rPr>
            </w:pPr>
            <w:r w:rsidRPr="00236E83">
              <w:rPr>
                <w:rFonts w:ascii="Arial" w:hAnsi="Arial" w:cs="Arial"/>
              </w:rPr>
              <w:t>Utilise the high care facility in Neath Port Talbot Hospital to accommodate suitable LVHC patients with suitable transfer arrangement to mitigate any risks.</w:t>
            </w:r>
          </w:p>
        </w:tc>
      </w:tr>
      <w:tr w:rsidR="00A82661" w:rsidRPr="00236E83" w14:paraId="1E1366DD" w14:textId="77777777" w:rsidTr="00E23F66">
        <w:tc>
          <w:tcPr>
            <w:tcW w:w="651" w:type="pct"/>
            <w:shd w:val="clear" w:color="auto" w:fill="B8CCE4" w:themeFill="accent1" w:themeFillTint="66"/>
            <w:vAlign w:val="center"/>
          </w:tcPr>
          <w:p w14:paraId="0FEA881E" w14:textId="77777777" w:rsidR="00A82661" w:rsidRPr="00236E83" w:rsidRDefault="00A82661" w:rsidP="00E23F66">
            <w:pPr>
              <w:rPr>
                <w:rFonts w:ascii="Arial" w:hAnsi="Arial" w:cs="Arial"/>
                <w:b/>
              </w:rPr>
            </w:pPr>
            <w:r w:rsidRPr="00236E83">
              <w:rPr>
                <w:rFonts w:ascii="Arial" w:hAnsi="Arial" w:cs="Arial"/>
                <w:b/>
              </w:rPr>
              <w:t>PC_004</w:t>
            </w:r>
          </w:p>
        </w:tc>
        <w:tc>
          <w:tcPr>
            <w:tcW w:w="4349" w:type="pct"/>
            <w:gridSpan w:val="5"/>
            <w:shd w:val="clear" w:color="auto" w:fill="auto"/>
            <w:vAlign w:val="center"/>
          </w:tcPr>
          <w:p w14:paraId="3374ACBC" w14:textId="77777777" w:rsidR="00A82661" w:rsidRPr="00236E83" w:rsidRDefault="00A82661" w:rsidP="00E23F66">
            <w:pPr>
              <w:rPr>
                <w:rFonts w:ascii="Arial" w:hAnsi="Arial" w:cs="Arial"/>
              </w:rPr>
            </w:pPr>
            <w:r w:rsidRPr="00236E83">
              <w:rPr>
                <w:rFonts w:ascii="Arial" w:hAnsi="Arial" w:cs="Arial"/>
              </w:rPr>
              <w:t>Utilise the new orthopaedic theatres in NPTH for HVLC patients.</w:t>
            </w:r>
          </w:p>
        </w:tc>
      </w:tr>
      <w:tr w:rsidR="00A82661" w:rsidRPr="00B1166E" w14:paraId="38CB67F5" w14:textId="77777777" w:rsidTr="00E23F66">
        <w:tc>
          <w:tcPr>
            <w:tcW w:w="651" w:type="pct"/>
            <w:vMerge w:val="restart"/>
            <w:shd w:val="clear" w:color="auto" w:fill="B8CCE4" w:themeFill="accent1" w:themeFillTint="66"/>
          </w:tcPr>
          <w:p w14:paraId="695DF976" w14:textId="77777777" w:rsidR="00A82661" w:rsidRPr="00B1166E" w:rsidRDefault="00A82661" w:rsidP="00E23F66">
            <w:pPr>
              <w:jc w:val="center"/>
              <w:rPr>
                <w:rFonts w:ascii="Arial" w:hAnsi="Arial" w:cs="Arial"/>
                <w:b/>
                <w:bCs/>
                <w:color w:val="FF0000"/>
              </w:rPr>
            </w:pPr>
            <w:r w:rsidRPr="00AE0209">
              <w:rPr>
                <w:rFonts w:ascii="Arial" w:hAnsi="Arial" w:cs="Arial"/>
                <w:b/>
                <w:bCs/>
              </w:rPr>
              <w:t>GMO ref:</w:t>
            </w:r>
          </w:p>
        </w:tc>
        <w:tc>
          <w:tcPr>
            <w:tcW w:w="4349" w:type="pct"/>
            <w:gridSpan w:val="5"/>
            <w:shd w:val="clear" w:color="auto" w:fill="DBE5F1" w:themeFill="accent1" w:themeFillTint="33"/>
          </w:tcPr>
          <w:p w14:paraId="55380127" w14:textId="77777777" w:rsidR="00A82661" w:rsidRPr="00236E83" w:rsidRDefault="00A82661" w:rsidP="00E23F66">
            <w:pPr>
              <w:jc w:val="center"/>
              <w:rPr>
                <w:rFonts w:ascii="Arial" w:hAnsi="Arial" w:cs="Arial"/>
                <w:b/>
                <w:bCs/>
              </w:rPr>
            </w:pPr>
            <w:r w:rsidRPr="00236E83">
              <w:rPr>
                <w:rFonts w:ascii="Arial" w:hAnsi="Arial" w:cs="Arial"/>
                <w:b/>
                <w:bCs/>
              </w:rPr>
              <w:t xml:space="preserve">Milestones 23/24: </w:t>
            </w:r>
          </w:p>
          <w:p w14:paraId="6091147A" w14:textId="77777777" w:rsidR="00A82661" w:rsidRPr="00236E83" w:rsidRDefault="00A82661" w:rsidP="00E23F66">
            <w:pPr>
              <w:jc w:val="center"/>
              <w:rPr>
                <w:rFonts w:ascii="Arial" w:hAnsi="Arial" w:cs="Arial"/>
                <w:b/>
                <w:bCs/>
              </w:rPr>
            </w:pPr>
          </w:p>
        </w:tc>
      </w:tr>
      <w:tr w:rsidR="00A82661" w:rsidRPr="00B1166E" w14:paraId="3583100D" w14:textId="77777777" w:rsidTr="00E23F66">
        <w:tc>
          <w:tcPr>
            <w:tcW w:w="651" w:type="pct"/>
            <w:vMerge/>
            <w:shd w:val="clear" w:color="auto" w:fill="B8CCE4" w:themeFill="accent1" w:themeFillTint="66"/>
          </w:tcPr>
          <w:p w14:paraId="6E600176" w14:textId="77777777" w:rsidR="00A82661" w:rsidRPr="003C664F" w:rsidRDefault="00A82661" w:rsidP="00E23F66">
            <w:pPr>
              <w:jc w:val="center"/>
              <w:rPr>
                <w:rFonts w:ascii="Arial" w:hAnsi="Arial" w:cs="Arial"/>
                <w:bCs/>
              </w:rPr>
            </w:pPr>
          </w:p>
        </w:tc>
        <w:tc>
          <w:tcPr>
            <w:tcW w:w="1062" w:type="pct"/>
            <w:shd w:val="clear" w:color="auto" w:fill="DBE5F1" w:themeFill="accent1" w:themeFillTint="33"/>
          </w:tcPr>
          <w:p w14:paraId="7424F570" w14:textId="77777777" w:rsidR="00A82661" w:rsidRPr="003C664F" w:rsidRDefault="00A82661" w:rsidP="00E23F66">
            <w:pPr>
              <w:jc w:val="center"/>
              <w:rPr>
                <w:rFonts w:ascii="Arial" w:hAnsi="Arial" w:cs="Arial"/>
                <w:b/>
                <w:bCs/>
              </w:rPr>
            </w:pPr>
            <w:r w:rsidRPr="003C664F">
              <w:rPr>
                <w:rFonts w:ascii="Arial" w:hAnsi="Arial" w:cs="Arial"/>
                <w:b/>
                <w:bCs/>
              </w:rPr>
              <w:t>Quarter 1</w:t>
            </w:r>
          </w:p>
        </w:tc>
        <w:tc>
          <w:tcPr>
            <w:tcW w:w="956" w:type="pct"/>
            <w:shd w:val="clear" w:color="auto" w:fill="DBE5F1" w:themeFill="accent1" w:themeFillTint="33"/>
          </w:tcPr>
          <w:p w14:paraId="48E8C758" w14:textId="77777777" w:rsidR="00A82661" w:rsidRPr="00236E83" w:rsidRDefault="00A82661" w:rsidP="00E23F66">
            <w:pPr>
              <w:jc w:val="center"/>
              <w:rPr>
                <w:rFonts w:ascii="Arial" w:hAnsi="Arial" w:cs="Arial"/>
              </w:rPr>
            </w:pPr>
            <w:r w:rsidRPr="00236E83">
              <w:rPr>
                <w:rFonts w:ascii="Arial" w:hAnsi="Arial" w:cs="Arial"/>
                <w:b/>
                <w:bCs/>
              </w:rPr>
              <w:t>Quarter 2</w:t>
            </w:r>
          </w:p>
        </w:tc>
        <w:tc>
          <w:tcPr>
            <w:tcW w:w="1083" w:type="pct"/>
            <w:gridSpan w:val="2"/>
            <w:shd w:val="clear" w:color="auto" w:fill="DBE5F1" w:themeFill="accent1" w:themeFillTint="33"/>
          </w:tcPr>
          <w:p w14:paraId="253445F9" w14:textId="77777777" w:rsidR="00A82661" w:rsidRPr="00236E83" w:rsidRDefault="00A82661" w:rsidP="00E23F66">
            <w:pPr>
              <w:jc w:val="center"/>
              <w:rPr>
                <w:rFonts w:ascii="Arial" w:hAnsi="Arial" w:cs="Arial"/>
              </w:rPr>
            </w:pPr>
            <w:r w:rsidRPr="00236E83">
              <w:rPr>
                <w:rFonts w:ascii="Arial" w:hAnsi="Arial" w:cs="Arial"/>
                <w:b/>
                <w:bCs/>
              </w:rPr>
              <w:t>Quarter 3</w:t>
            </w:r>
          </w:p>
        </w:tc>
        <w:tc>
          <w:tcPr>
            <w:tcW w:w="1248" w:type="pct"/>
            <w:shd w:val="clear" w:color="auto" w:fill="DBE5F1" w:themeFill="accent1" w:themeFillTint="33"/>
          </w:tcPr>
          <w:p w14:paraId="616D347A" w14:textId="77777777" w:rsidR="00A82661" w:rsidRPr="00236E83" w:rsidRDefault="00A82661" w:rsidP="00E23F66">
            <w:pPr>
              <w:jc w:val="center"/>
              <w:rPr>
                <w:rFonts w:ascii="Arial" w:hAnsi="Arial" w:cs="Arial"/>
              </w:rPr>
            </w:pPr>
            <w:r w:rsidRPr="00236E83">
              <w:rPr>
                <w:rFonts w:ascii="Arial" w:hAnsi="Arial" w:cs="Arial"/>
                <w:b/>
                <w:bCs/>
              </w:rPr>
              <w:t>Quarter 4</w:t>
            </w:r>
          </w:p>
        </w:tc>
      </w:tr>
      <w:tr w:rsidR="00A82661" w:rsidRPr="00B1166E" w14:paraId="6E80F0B6" w14:textId="77777777" w:rsidTr="00E23F66">
        <w:tc>
          <w:tcPr>
            <w:tcW w:w="651" w:type="pct"/>
            <w:vMerge w:val="restart"/>
            <w:shd w:val="clear" w:color="auto" w:fill="B8CCE4" w:themeFill="accent1" w:themeFillTint="66"/>
          </w:tcPr>
          <w:p w14:paraId="000B9380" w14:textId="77777777" w:rsidR="00A82661" w:rsidRPr="003C664F" w:rsidRDefault="00A82661" w:rsidP="00E23F66">
            <w:pPr>
              <w:rPr>
                <w:rFonts w:ascii="Arial" w:hAnsi="Arial" w:cs="Arial"/>
                <w:b/>
                <w:bCs/>
              </w:rPr>
            </w:pPr>
            <w:r w:rsidRPr="003C664F">
              <w:rPr>
                <w:rFonts w:ascii="Arial" w:hAnsi="Arial" w:cs="Arial"/>
                <w:b/>
                <w:bCs/>
              </w:rPr>
              <w:t>PC_009</w:t>
            </w:r>
          </w:p>
        </w:tc>
        <w:tc>
          <w:tcPr>
            <w:tcW w:w="1062" w:type="pct"/>
            <w:shd w:val="clear" w:color="auto" w:fill="FFC000"/>
          </w:tcPr>
          <w:p w14:paraId="572641A2" w14:textId="77777777" w:rsidR="00A82661" w:rsidRPr="003C664F" w:rsidRDefault="00A82661" w:rsidP="00E23F66">
            <w:pPr>
              <w:spacing w:after="0" w:line="240" w:lineRule="auto"/>
              <w:rPr>
                <w:rFonts w:ascii="Arial" w:hAnsi="Arial" w:cs="Arial"/>
              </w:rPr>
            </w:pPr>
          </w:p>
        </w:tc>
        <w:tc>
          <w:tcPr>
            <w:tcW w:w="956" w:type="pct"/>
            <w:shd w:val="clear" w:color="auto" w:fill="00B050"/>
          </w:tcPr>
          <w:p w14:paraId="71B0BD2A" w14:textId="77777777" w:rsidR="00A82661" w:rsidRPr="00236E83" w:rsidRDefault="00A82661" w:rsidP="00E23F66">
            <w:pPr>
              <w:spacing w:after="0" w:line="240" w:lineRule="auto"/>
              <w:rPr>
                <w:rFonts w:ascii="Arial" w:hAnsi="Arial" w:cs="Arial"/>
                <w:bCs/>
              </w:rPr>
            </w:pPr>
            <w:r w:rsidRPr="00236E83">
              <w:rPr>
                <w:rFonts w:ascii="Arial" w:hAnsi="Arial" w:cs="Arial"/>
                <w:b/>
                <w:bCs/>
              </w:rPr>
              <w:t>Deliver 52-week outpatient targets for orthodontics (July) and orthopaedics (September) and maintain target in all other specialties</w:t>
            </w:r>
            <w:r w:rsidRPr="00236E83">
              <w:rPr>
                <w:rFonts w:ascii="Arial" w:hAnsi="Arial" w:cs="Arial"/>
                <w:bCs/>
              </w:rPr>
              <w:t>.</w:t>
            </w:r>
          </w:p>
        </w:tc>
        <w:tc>
          <w:tcPr>
            <w:tcW w:w="1083" w:type="pct"/>
            <w:gridSpan w:val="2"/>
            <w:shd w:val="clear" w:color="auto" w:fill="00B050"/>
          </w:tcPr>
          <w:p w14:paraId="2455EF84" w14:textId="77777777" w:rsidR="00A82661" w:rsidRPr="00236E83" w:rsidRDefault="00A82661" w:rsidP="00E23F66">
            <w:pPr>
              <w:rPr>
                <w:rFonts w:ascii="Arial" w:hAnsi="Arial" w:cs="Arial"/>
              </w:rPr>
            </w:pPr>
          </w:p>
        </w:tc>
        <w:tc>
          <w:tcPr>
            <w:tcW w:w="1248" w:type="pct"/>
            <w:vMerge w:val="restart"/>
            <w:shd w:val="clear" w:color="auto" w:fill="auto"/>
          </w:tcPr>
          <w:p w14:paraId="0FD26D27" w14:textId="77777777" w:rsidR="00A82661" w:rsidRDefault="00A82661" w:rsidP="00E23F66">
            <w:pPr>
              <w:rPr>
                <w:rFonts w:ascii="Arial" w:hAnsi="Arial" w:cs="Arial"/>
              </w:rPr>
            </w:pPr>
            <w:r>
              <w:rPr>
                <w:rFonts w:ascii="Arial" w:hAnsi="Arial" w:cs="Arial"/>
              </w:rPr>
              <w:t>Q4 Priorities:</w:t>
            </w:r>
          </w:p>
          <w:p w14:paraId="16B22E9D" w14:textId="77777777" w:rsidR="00A82661" w:rsidRPr="00322DBC" w:rsidRDefault="00A82661" w:rsidP="00E23F66">
            <w:pPr>
              <w:rPr>
                <w:rFonts w:ascii="Arial" w:hAnsi="Arial" w:cs="Arial"/>
              </w:rPr>
            </w:pPr>
            <w:r w:rsidRPr="00322DBC">
              <w:rPr>
                <w:rFonts w:ascii="Arial" w:hAnsi="Arial" w:cs="Arial"/>
              </w:rPr>
              <w:t>Transformation, HCSE and Digital to hold individual feedback sessions with each stakeholder group.</w:t>
            </w:r>
          </w:p>
          <w:p w14:paraId="4CB2EE6A" w14:textId="77777777" w:rsidR="00A82661" w:rsidRPr="00322DBC" w:rsidRDefault="00A82661" w:rsidP="00E23F66">
            <w:pPr>
              <w:rPr>
                <w:rFonts w:ascii="Arial" w:hAnsi="Arial" w:cs="Arial"/>
              </w:rPr>
            </w:pPr>
            <w:r w:rsidRPr="00322DBC">
              <w:rPr>
                <w:rFonts w:ascii="Arial" w:hAnsi="Arial" w:cs="Arial"/>
              </w:rPr>
              <w:t>The outcomes of these discussions will form the basis of Sprint 2 and feed in to:</w:t>
            </w:r>
          </w:p>
          <w:p w14:paraId="077126E3" w14:textId="77777777" w:rsidR="00A82661" w:rsidRPr="00322DBC" w:rsidRDefault="00A82661" w:rsidP="00E23F66">
            <w:pPr>
              <w:rPr>
                <w:rFonts w:ascii="Arial" w:hAnsi="Arial" w:cs="Arial"/>
              </w:rPr>
            </w:pPr>
            <w:r w:rsidRPr="00322DBC">
              <w:rPr>
                <w:rFonts w:ascii="Arial" w:hAnsi="Arial" w:cs="Arial"/>
              </w:rPr>
              <w:t>- Digital Outpatient Transformation</w:t>
            </w:r>
          </w:p>
          <w:p w14:paraId="1AED85CB" w14:textId="77777777" w:rsidR="00A82661" w:rsidRPr="00322DBC" w:rsidRDefault="00A82661" w:rsidP="00E23F66">
            <w:pPr>
              <w:rPr>
                <w:rFonts w:ascii="Arial" w:hAnsi="Arial" w:cs="Arial"/>
              </w:rPr>
            </w:pPr>
            <w:r w:rsidRPr="00322DBC">
              <w:rPr>
                <w:rFonts w:ascii="Arial" w:hAnsi="Arial" w:cs="Arial"/>
              </w:rPr>
              <w:t xml:space="preserve">- </w:t>
            </w:r>
            <w:proofErr w:type="spellStart"/>
            <w:r w:rsidRPr="00322DBC">
              <w:rPr>
                <w:rFonts w:ascii="Arial" w:hAnsi="Arial" w:cs="Arial"/>
              </w:rPr>
              <w:t>HealthPathways</w:t>
            </w:r>
            <w:proofErr w:type="spellEnd"/>
          </w:p>
          <w:p w14:paraId="2532807C" w14:textId="77777777" w:rsidR="00A82661" w:rsidRDefault="00A82661" w:rsidP="00E23F66">
            <w:pPr>
              <w:rPr>
                <w:rFonts w:ascii="Arial" w:hAnsi="Arial" w:cs="Arial"/>
              </w:rPr>
            </w:pPr>
            <w:r w:rsidRPr="00322DBC">
              <w:rPr>
                <w:rFonts w:ascii="Arial" w:hAnsi="Arial" w:cs="Arial"/>
              </w:rPr>
              <w:t>- Consultant Connect</w:t>
            </w:r>
          </w:p>
          <w:p w14:paraId="1D77D051" w14:textId="77777777" w:rsidR="00A82661" w:rsidRPr="002E03FA" w:rsidRDefault="00A82661" w:rsidP="00A82661">
            <w:pPr>
              <w:pStyle w:val="ListParagraph"/>
              <w:numPr>
                <w:ilvl w:val="0"/>
                <w:numId w:val="18"/>
              </w:numPr>
              <w:rPr>
                <w:rFonts w:ascii="Arial" w:hAnsi="Arial" w:cs="Arial"/>
              </w:rPr>
            </w:pPr>
            <w:r>
              <w:rPr>
                <w:rFonts w:ascii="Arial" w:hAnsi="Arial" w:cs="Arial"/>
              </w:rPr>
              <w:t xml:space="preserve">Maintain zero breach at  52 weeks position for Outpatient waits </w:t>
            </w:r>
          </w:p>
          <w:p w14:paraId="187F80E8" w14:textId="77777777" w:rsidR="00A82661" w:rsidRPr="00236E83" w:rsidRDefault="00A82661" w:rsidP="00E23F66">
            <w:pPr>
              <w:rPr>
                <w:rFonts w:ascii="Arial" w:hAnsi="Arial" w:cs="Arial"/>
              </w:rPr>
            </w:pPr>
          </w:p>
        </w:tc>
      </w:tr>
      <w:tr w:rsidR="00A82661" w:rsidRPr="00B1166E" w14:paraId="0236F0DE" w14:textId="77777777" w:rsidTr="00E23F66">
        <w:tc>
          <w:tcPr>
            <w:tcW w:w="651" w:type="pct"/>
            <w:vMerge/>
            <w:shd w:val="clear" w:color="auto" w:fill="B8CCE4" w:themeFill="accent1" w:themeFillTint="66"/>
          </w:tcPr>
          <w:p w14:paraId="639F6B4E" w14:textId="77777777" w:rsidR="00A82661" w:rsidRPr="00B1166E" w:rsidRDefault="00A82661" w:rsidP="00E23F66">
            <w:pPr>
              <w:rPr>
                <w:rFonts w:ascii="Arial" w:hAnsi="Arial" w:cs="Arial"/>
                <w:b/>
                <w:bCs/>
                <w:color w:val="FF0000"/>
              </w:rPr>
            </w:pPr>
          </w:p>
        </w:tc>
        <w:tc>
          <w:tcPr>
            <w:tcW w:w="1062" w:type="pct"/>
            <w:shd w:val="clear" w:color="auto" w:fill="FFFFFF" w:themeFill="background1"/>
          </w:tcPr>
          <w:p w14:paraId="75E46C78" w14:textId="77777777" w:rsidR="00A82661" w:rsidRPr="00236E83" w:rsidRDefault="00A82661" w:rsidP="00E23F66">
            <w:pPr>
              <w:rPr>
                <w:rFonts w:ascii="Arial" w:hAnsi="Arial" w:cs="Arial"/>
                <w:b/>
              </w:rPr>
            </w:pPr>
            <w:r w:rsidRPr="00236E83">
              <w:rPr>
                <w:rFonts w:ascii="Arial" w:hAnsi="Arial" w:cs="Arial"/>
                <w:b/>
              </w:rPr>
              <w:t>Q1 Update Outpatients:</w:t>
            </w:r>
          </w:p>
          <w:p w14:paraId="57222F54" w14:textId="77777777" w:rsidR="00A82661" w:rsidRPr="00236E83" w:rsidRDefault="00A82661" w:rsidP="00A82661">
            <w:pPr>
              <w:numPr>
                <w:ilvl w:val="0"/>
                <w:numId w:val="30"/>
              </w:numPr>
              <w:spacing w:line="259" w:lineRule="auto"/>
              <w:contextualSpacing/>
              <w:rPr>
                <w:rFonts w:ascii="Arial" w:hAnsi="Arial" w:cs="Arial"/>
                <w:bdr w:val="none" w:sz="0" w:space="0" w:color="auto" w:frame="1"/>
              </w:rPr>
            </w:pPr>
            <w:r w:rsidRPr="00236E83">
              <w:rPr>
                <w:rFonts w:ascii="Arial" w:hAnsi="Arial" w:cs="Arial"/>
                <w:bdr w:val="none" w:sz="0" w:space="0" w:color="auto" w:frame="1"/>
              </w:rPr>
              <w:t>Health Board’s position improved with good steady progress against the 52-week and 104-week targets. The 52-week outpatient target set for the end of June achieved in all specialties with the exception of orthopaedics and orthodontics; a target of September has been set for orthopaedics and July for orthodontics.</w:t>
            </w:r>
          </w:p>
          <w:p w14:paraId="557E8D8B" w14:textId="77777777" w:rsidR="00A82661" w:rsidRPr="00236E83" w:rsidRDefault="00A82661" w:rsidP="00A82661">
            <w:pPr>
              <w:numPr>
                <w:ilvl w:val="0"/>
                <w:numId w:val="30"/>
              </w:numPr>
              <w:spacing w:line="259" w:lineRule="auto"/>
              <w:contextualSpacing/>
              <w:rPr>
                <w:rFonts w:ascii="Arial" w:hAnsi="Arial" w:cs="Arial"/>
                <w:bdr w:val="none" w:sz="0" w:space="0" w:color="auto" w:frame="1"/>
              </w:rPr>
            </w:pPr>
            <w:r w:rsidRPr="00236E83">
              <w:rPr>
                <w:rFonts w:ascii="Arial" w:hAnsi="Arial" w:cs="Arial"/>
                <w:bdr w:val="none" w:sz="0" w:space="0" w:color="auto" w:frame="1"/>
              </w:rPr>
              <w:t>Revised trajectories for clearing 99% of 104 weeks (all stages) by the end of March 2024 are currently under developed but are still dependent on securing the necessary funding from WG.</w:t>
            </w:r>
          </w:p>
          <w:p w14:paraId="7308FA24" w14:textId="77777777" w:rsidR="00A82661" w:rsidRPr="00AE0209" w:rsidRDefault="00A82661" w:rsidP="00A82661">
            <w:pPr>
              <w:numPr>
                <w:ilvl w:val="0"/>
                <w:numId w:val="30"/>
              </w:numPr>
              <w:spacing w:line="259" w:lineRule="auto"/>
              <w:contextualSpacing/>
              <w:rPr>
                <w:rFonts w:ascii="Arial" w:hAnsi="Arial" w:cs="Arial"/>
                <w:bdr w:val="none" w:sz="0" w:space="0" w:color="auto" w:frame="1"/>
              </w:rPr>
            </w:pPr>
            <w:r w:rsidRPr="00236E83">
              <w:rPr>
                <w:rFonts w:ascii="Arial" w:hAnsi="Arial" w:cs="Arial"/>
                <w:bCs/>
                <w:bdr w:val="none" w:sz="0" w:space="0" w:color="auto" w:frame="1"/>
              </w:rPr>
              <w:t xml:space="preserve">Executive Board approved the </w:t>
            </w:r>
            <w:r w:rsidRPr="00236E83">
              <w:rPr>
                <w:rFonts w:ascii="Arial" w:hAnsi="Arial" w:cs="Arial"/>
                <w:bCs/>
                <w:bdr w:val="none" w:sz="0" w:space="0" w:color="auto" w:frame="1"/>
              </w:rPr>
              <w:lastRenderedPageBreak/>
              <w:t xml:space="preserve">centralisation of the Outpatients Service to be managed within the Singleton/Neath Port Talbot Service Group. </w:t>
            </w:r>
          </w:p>
        </w:tc>
        <w:tc>
          <w:tcPr>
            <w:tcW w:w="956" w:type="pct"/>
            <w:shd w:val="clear" w:color="auto" w:fill="auto"/>
          </w:tcPr>
          <w:p w14:paraId="3A711F74" w14:textId="77777777" w:rsidR="00A82661" w:rsidRPr="00236E83" w:rsidRDefault="00A82661" w:rsidP="00E23F66">
            <w:pPr>
              <w:rPr>
                <w:rFonts w:ascii="Arial" w:hAnsi="Arial" w:cs="Arial"/>
                <w:b/>
              </w:rPr>
            </w:pPr>
            <w:r w:rsidRPr="00236E83">
              <w:rPr>
                <w:rFonts w:ascii="Arial" w:hAnsi="Arial" w:cs="Arial"/>
                <w:b/>
              </w:rPr>
              <w:lastRenderedPageBreak/>
              <w:t xml:space="preserve">Q2 </w:t>
            </w:r>
            <w:r>
              <w:rPr>
                <w:rFonts w:ascii="Arial" w:hAnsi="Arial" w:cs="Arial"/>
                <w:b/>
              </w:rPr>
              <w:t>Update O</w:t>
            </w:r>
            <w:r w:rsidRPr="00236E83">
              <w:rPr>
                <w:rFonts w:ascii="Arial" w:hAnsi="Arial" w:cs="Arial"/>
                <w:b/>
              </w:rPr>
              <w:t>utpatients:</w:t>
            </w:r>
          </w:p>
          <w:p w14:paraId="20D08008" w14:textId="77777777" w:rsidR="00A82661" w:rsidRPr="00AE0209" w:rsidRDefault="00A82661" w:rsidP="00A82661">
            <w:pPr>
              <w:numPr>
                <w:ilvl w:val="0"/>
                <w:numId w:val="31"/>
              </w:numPr>
              <w:spacing w:before="100" w:beforeAutospacing="1" w:after="100" w:afterAutospacing="1" w:line="240" w:lineRule="auto"/>
              <w:rPr>
                <w:rFonts w:ascii="Arial" w:eastAsia="Times New Roman" w:hAnsi="Arial" w:cs="Arial"/>
              </w:rPr>
            </w:pPr>
            <w:r w:rsidRPr="00AE0209">
              <w:rPr>
                <w:rFonts w:ascii="Arial" w:eastAsia="Times New Roman" w:hAnsi="Arial" w:cs="Arial"/>
              </w:rPr>
              <w:t>The Health Board’s position has improved with good steady progress against the 52-week and 104-week targets. The 52-week outpatient target set for the end of October is on track to be achieved. </w:t>
            </w:r>
          </w:p>
          <w:p w14:paraId="79CC730B" w14:textId="77777777" w:rsidR="00A82661" w:rsidRPr="00236E83" w:rsidRDefault="00A82661" w:rsidP="00E23F66">
            <w:pPr>
              <w:pStyle w:val="ListParagraph"/>
              <w:spacing w:after="0" w:line="240" w:lineRule="auto"/>
              <w:rPr>
                <w:rFonts w:ascii="Arial" w:hAnsi="Arial" w:cs="Arial"/>
                <w:b/>
              </w:rPr>
            </w:pPr>
          </w:p>
        </w:tc>
        <w:tc>
          <w:tcPr>
            <w:tcW w:w="1083" w:type="pct"/>
            <w:gridSpan w:val="2"/>
            <w:shd w:val="clear" w:color="auto" w:fill="auto"/>
          </w:tcPr>
          <w:p w14:paraId="3366596B" w14:textId="77777777" w:rsidR="00A82661" w:rsidRPr="004D067B" w:rsidRDefault="00A82661" w:rsidP="00E23F66">
            <w:pPr>
              <w:rPr>
                <w:rFonts w:ascii="Arial" w:hAnsi="Arial" w:cs="Arial"/>
              </w:rPr>
            </w:pPr>
            <w:r w:rsidRPr="004D067B">
              <w:rPr>
                <w:rFonts w:ascii="Arial" w:hAnsi="Arial" w:cs="Arial"/>
              </w:rPr>
              <w:t>HB have achieved 52 weeks for first Outpatient wait since October 2023 and no risks identified to continue achieving this target at Month End. Demand and Capacity work ongoing with Service Managers to achieve the 36 week target.</w:t>
            </w:r>
          </w:p>
          <w:p w14:paraId="7881316A" w14:textId="77777777" w:rsidR="00A82661" w:rsidRPr="004D067B" w:rsidRDefault="00A82661" w:rsidP="00E23F66">
            <w:pPr>
              <w:rPr>
                <w:rFonts w:ascii="Arial" w:hAnsi="Arial" w:cs="Arial"/>
              </w:rPr>
            </w:pPr>
          </w:p>
          <w:p w14:paraId="0F519DA8" w14:textId="77777777" w:rsidR="00A82661" w:rsidRPr="00236E83" w:rsidRDefault="00A82661" w:rsidP="00E23F66">
            <w:pPr>
              <w:rPr>
                <w:rFonts w:ascii="Arial" w:hAnsi="Arial" w:cs="Arial"/>
              </w:rPr>
            </w:pPr>
            <w:proofErr w:type="spellStart"/>
            <w:r w:rsidRPr="004D067B">
              <w:rPr>
                <w:rFonts w:ascii="Arial" w:hAnsi="Arial" w:cs="Arial"/>
              </w:rPr>
              <w:t>HealthPathways</w:t>
            </w:r>
            <w:proofErr w:type="spellEnd"/>
            <w:r w:rsidRPr="004D067B">
              <w:rPr>
                <w:rFonts w:ascii="Arial" w:hAnsi="Arial" w:cs="Arial"/>
              </w:rPr>
              <w:t xml:space="preserve"> on track to go live on 28th February</w:t>
            </w:r>
          </w:p>
        </w:tc>
        <w:tc>
          <w:tcPr>
            <w:tcW w:w="1248" w:type="pct"/>
            <w:vMerge/>
            <w:shd w:val="clear" w:color="auto" w:fill="auto"/>
          </w:tcPr>
          <w:p w14:paraId="4919EA1B" w14:textId="77777777" w:rsidR="00A82661" w:rsidRPr="00236E83" w:rsidRDefault="00A82661" w:rsidP="00E23F66">
            <w:pPr>
              <w:rPr>
                <w:rFonts w:ascii="Arial" w:hAnsi="Arial" w:cs="Arial"/>
              </w:rPr>
            </w:pPr>
          </w:p>
        </w:tc>
      </w:tr>
      <w:tr w:rsidR="00A82661" w:rsidRPr="00B1166E" w14:paraId="0169A64E" w14:textId="77777777" w:rsidTr="00E23F66">
        <w:tc>
          <w:tcPr>
            <w:tcW w:w="651" w:type="pct"/>
            <w:vMerge w:val="restart"/>
            <w:shd w:val="clear" w:color="auto" w:fill="B8CCE4" w:themeFill="accent1" w:themeFillTint="66"/>
            <w:vAlign w:val="center"/>
          </w:tcPr>
          <w:p w14:paraId="10C32D13" w14:textId="77777777" w:rsidR="00A82661" w:rsidRPr="00AE0209" w:rsidRDefault="00A82661" w:rsidP="00E23F66">
            <w:pPr>
              <w:rPr>
                <w:rFonts w:ascii="Arial" w:hAnsi="Arial" w:cs="Arial"/>
                <w:b/>
                <w:bCs/>
              </w:rPr>
            </w:pPr>
            <w:r w:rsidRPr="00AE0209">
              <w:rPr>
                <w:rFonts w:ascii="Arial" w:hAnsi="Arial" w:cs="Arial"/>
                <w:b/>
              </w:rPr>
              <w:t>PC_005 - 008</w:t>
            </w:r>
          </w:p>
          <w:p w14:paraId="2AA4DCC4" w14:textId="77777777" w:rsidR="00A82661" w:rsidRPr="00B1166E" w:rsidRDefault="00A82661" w:rsidP="00E23F66">
            <w:pPr>
              <w:rPr>
                <w:rFonts w:ascii="Arial" w:hAnsi="Arial" w:cs="Arial"/>
                <w:b/>
                <w:bCs/>
                <w:color w:val="FF0000"/>
              </w:rPr>
            </w:pPr>
          </w:p>
        </w:tc>
        <w:tc>
          <w:tcPr>
            <w:tcW w:w="1062" w:type="pct"/>
            <w:shd w:val="clear" w:color="auto" w:fill="FFC000"/>
          </w:tcPr>
          <w:p w14:paraId="11B611CA" w14:textId="77777777" w:rsidR="00A82661" w:rsidRPr="00AE0209" w:rsidRDefault="00A82661" w:rsidP="00E23F66">
            <w:pPr>
              <w:spacing w:after="0" w:line="240" w:lineRule="auto"/>
              <w:rPr>
                <w:rFonts w:ascii="Arial" w:hAnsi="Arial" w:cs="Arial"/>
              </w:rPr>
            </w:pPr>
          </w:p>
        </w:tc>
        <w:tc>
          <w:tcPr>
            <w:tcW w:w="956" w:type="pct"/>
            <w:shd w:val="clear" w:color="auto" w:fill="FFC000"/>
          </w:tcPr>
          <w:p w14:paraId="10D529E8" w14:textId="77777777" w:rsidR="00A82661" w:rsidRPr="00AE0209" w:rsidRDefault="00A82661" w:rsidP="00E23F66">
            <w:pPr>
              <w:spacing w:after="160" w:line="259" w:lineRule="auto"/>
              <w:contextualSpacing/>
              <w:rPr>
                <w:rFonts w:ascii="Arial" w:hAnsi="Arial" w:cs="Arial"/>
                <w:b/>
                <w:bCs/>
                <w:szCs w:val="24"/>
              </w:rPr>
            </w:pPr>
            <w:r w:rsidRPr="00AE0209">
              <w:rPr>
                <w:rFonts w:ascii="Arial" w:hAnsi="Arial" w:cs="Arial"/>
                <w:b/>
                <w:bCs/>
                <w:szCs w:val="24"/>
              </w:rPr>
              <w:t>Submit business case for Singleton theatre development to WG.</w:t>
            </w:r>
          </w:p>
          <w:p w14:paraId="5CB5739C" w14:textId="77777777" w:rsidR="00A82661" w:rsidRPr="00AE0209" w:rsidRDefault="00A82661" w:rsidP="00E23F66">
            <w:pPr>
              <w:rPr>
                <w:rFonts w:ascii="Arial" w:hAnsi="Arial" w:cs="Arial"/>
                <w:b/>
              </w:rPr>
            </w:pPr>
          </w:p>
        </w:tc>
        <w:tc>
          <w:tcPr>
            <w:tcW w:w="1083" w:type="pct"/>
            <w:gridSpan w:val="2"/>
            <w:shd w:val="clear" w:color="auto" w:fill="FFC000"/>
          </w:tcPr>
          <w:p w14:paraId="382108B4" w14:textId="77777777" w:rsidR="00A82661" w:rsidRPr="00AE0209" w:rsidRDefault="00A82661" w:rsidP="00E23F66">
            <w:pPr>
              <w:spacing w:after="160" w:line="259" w:lineRule="auto"/>
              <w:contextualSpacing/>
              <w:rPr>
                <w:rFonts w:ascii="Arial" w:hAnsi="Arial" w:cs="Arial"/>
                <w:bCs/>
                <w:szCs w:val="24"/>
              </w:rPr>
            </w:pPr>
            <w:r w:rsidRPr="00AE0209">
              <w:rPr>
                <w:rFonts w:ascii="Arial" w:hAnsi="Arial" w:cs="Arial"/>
                <w:bCs/>
                <w:szCs w:val="24"/>
              </w:rPr>
              <w:t>Submit business case for Singleton theatre development to WG.</w:t>
            </w:r>
          </w:p>
          <w:p w14:paraId="6657C3D8" w14:textId="77777777" w:rsidR="00A82661" w:rsidRPr="00AE0209" w:rsidRDefault="00A82661" w:rsidP="00E23F66">
            <w:pPr>
              <w:rPr>
                <w:rFonts w:ascii="Arial" w:hAnsi="Arial" w:cs="Arial"/>
              </w:rPr>
            </w:pPr>
          </w:p>
        </w:tc>
        <w:tc>
          <w:tcPr>
            <w:tcW w:w="1248" w:type="pct"/>
            <w:vMerge w:val="restart"/>
            <w:shd w:val="clear" w:color="auto" w:fill="auto"/>
          </w:tcPr>
          <w:p w14:paraId="5001293B" w14:textId="77777777" w:rsidR="00A82661" w:rsidRDefault="00A82661" w:rsidP="00E23F66">
            <w:pPr>
              <w:rPr>
                <w:rFonts w:ascii="Arial" w:hAnsi="Arial" w:cs="Arial"/>
              </w:rPr>
            </w:pPr>
            <w:r>
              <w:rPr>
                <w:rFonts w:ascii="Arial" w:hAnsi="Arial" w:cs="Arial"/>
              </w:rPr>
              <w:t>Q4 Priorities:</w:t>
            </w:r>
          </w:p>
          <w:p w14:paraId="5797AEA0" w14:textId="77777777" w:rsidR="00A82661" w:rsidRDefault="00A82661" w:rsidP="00A82661">
            <w:pPr>
              <w:pStyle w:val="ListParagraph"/>
              <w:numPr>
                <w:ilvl w:val="0"/>
                <w:numId w:val="52"/>
              </w:numPr>
              <w:rPr>
                <w:rFonts w:ascii="Arial" w:hAnsi="Arial" w:cs="Arial"/>
              </w:rPr>
            </w:pPr>
            <w:r>
              <w:rPr>
                <w:rFonts w:ascii="Arial" w:hAnsi="Arial" w:cs="Arial"/>
              </w:rPr>
              <w:t xml:space="preserve">Awaiting feedback from WG </w:t>
            </w:r>
          </w:p>
          <w:p w14:paraId="71130311" w14:textId="77777777" w:rsidR="00A82661" w:rsidRPr="003B249B" w:rsidRDefault="00A82661" w:rsidP="00A82661">
            <w:pPr>
              <w:pStyle w:val="ListParagraph"/>
              <w:numPr>
                <w:ilvl w:val="0"/>
                <w:numId w:val="52"/>
              </w:numPr>
              <w:rPr>
                <w:rFonts w:ascii="Arial" w:hAnsi="Arial" w:cs="Arial"/>
              </w:rPr>
            </w:pPr>
            <w:r>
              <w:rPr>
                <w:rFonts w:ascii="Arial" w:hAnsi="Arial" w:cs="Arial"/>
              </w:rPr>
              <w:t>No milestones agreed</w:t>
            </w:r>
          </w:p>
        </w:tc>
      </w:tr>
      <w:tr w:rsidR="00A82661" w:rsidRPr="00B1166E" w14:paraId="7BDD542C" w14:textId="77777777" w:rsidTr="00E23F66">
        <w:tc>
          <w:tcPr>
            <w:tcW w:w="651" w:type="pct"/>
            <w:vMerge/>
            <w:shd w:val="clear" w:color="auto" w:fill="B8CCE4" w:themeFill="accent1" w:themeFillTint="66"/>
            <w:vAlign w:val="center"/>
          </w:tcPr>
          <w:p w14:paraId="4D1DAD04" w14:textId="77777777" w:rsidR="00A82661" w:rsidRPr="00B1166E" w:rsidRDefault="00A82661" w:rsidP="00E23F66">
            <w:pPr>
              <w:rPr>
                <w:rFonts w:ascii="Arial" w:hAnsi="Arial" w:cs="Arial"/>
                <w:b/>
                <w:color w:val="FF0000"/>
              </w:rPr>
            </w:pPr>
          </w:p>
        </w:tc>
        <w:tc>
          <w:tcPr>
            <w:tcW w:w="1062" w:type="pct"/>
            <w:shd w:val="clear" w:color="auto" w:fill="FFFFFF" w:themeFill="background1"/>
          </w:tcPr>
          <w:p w14:paraId="06835284" w14:textId="77777777" w:rsidR="00A82661" w:rsidRPr="00AE0209" w:rsidRDefault="00A82661" w:rsidP="00E23F66">
            <w:pPr>
              <w:spacing w:after="0" w:line="240" w:lineRule="auto"/>
              <w:rPr>
                <w:rFonts w:ascii="Arial" w:hAnsi="Arial" w:cs="Arial"/>
              </w:rPr>
            </w:pPr>
            <w:r w:rsidRPr="00AE0209">
              <w:rPr>
                <w:rFonts w:ascii="Arial" w:hAnsi="Arial" w:cs="Arial"/>
              </w:rPr>
              <w:t>Q1 Update Singleton Theatres:</w:t>
            </w:r>
          </w:p>
          <w:p w14:paraId="77014BA5" w14:textId="77777777" w:rsidR="00A82661" w:rsidRPr="00AE0209" w:rsidRDefault="00A82661" w:rsidP="00E23F66">
            <w:pPr>
              <w:spacing w:after="0" w:line="240" w:lineRule="auto"/>
              <w:rPr>
                <w:rFonts w:ascii="Arial" w:hAnsi="Arial" w:cs="Arial"/>
              </w:rPr>
            </w:pPr>
            <w:r w:rsidRPr="00AE0209">
              <w:rPr>
                <w:rFonts w:ascii="Arial" w:hAnsi="Arial" w:cs="Arial"/>
              </w:rPr>
              <w:t xml:space="preserve">Draft business case developed, CEO has reviewed and finance detail requires amending. </w:t>
            </w:r>
          </w:p>
          <w:p w14:paraId="07BFF3E7" w14:textId="77777777" w:rsidR="00A82661" w:rsidRPr="00AE0209" w:rsidRDefault="00A82661" w:rsidP="00E23F66">
            <w:pPr>
              <w:spacing w:after="0" w:line="240" w:lineRule="auto"/>
              <w:rPr>
                <w:rFonts w:ascii="Arial" w:hAnsi="Arial" w:cs="Arial"/>
              </w:rPr>
            </w:pPr>
          </w:p>
        </w:tc>
        <w:tc>
          <w:tcPr>
            <w:tcW w:w="956" w:type="pct"/>
            <w:shd w:val="clear" w:color="auto" w:fill="auto"/>
          </w:tcPr>
          <w:p w14:paraId="69FC9B3D" w14:textId="77777777" w:rsidR="00A82661" w:rsidRDefault="00A82661" w:rsidP="00E23F66">
            <w:pPr>
              <w:rPr>
                <w:rFonts w:ascii="Arial" w:hAnsi="Arial" w:cs="Arial"/>
                <w:b/>
              </w:rPr>
            </w:pPr>
            <w:r w:rsidRPr="00AE0209">
              <w:rPr>
                <w:rFonts w:ascii="Arial" w:hAnsi="Arial" w:cs="Arial"/>
                <w:b/>
              </w:rPr>
              <w:t>Q2 Update Singleton Theatres:</w:t>
            </w:r>
          </w:p>
          <w:p w14:paraId="1ADC6774" w14:textId="77777777" w:rsidR="00A82661" w:rsidRPr="00AE0209" w:rsidRDefault="00A82661" w:rsidP="00E23F66">
            <w:pPr>
              <w:rPr>
                <w:rFonts w:ascii="Arial" w:hAnsi="Arial" w:cs="Arial"/>
                <w:b/>
              </w:rPr>
            </w:pPr>
            <w:r w:rsidRPr="00AE0209">
              <w:rPr>
                <w:rFonts w:ascii="Arial" w:hAnsi="Arial" w:cs="Arial"/>
                <w:b/>
              </w:rPr>
              <w:t>Business case submitted and agreed by BCAG to progress to HB/ WG by end Nov</w:t>
            </w:r>
          </w:p>
        </w:tc>
        <w:tc>
          <w:tcPr>
            <w:tcW w:w="1083" w:type="pct"/>
            <w:gridSpan w:val="2"/>
            <w:shd w:val="clear" w:color="auto" w:fill="00B050"/>
          </w:tcPr>
          <w:p w14:paraId="14797D06" w14:textId="77777777" w:rsidR="00A82661" w:rsidRPr="00AE0209" w:rsidRDefault="00A82661" w:rsidP="00E23F66">
            <w:pPr>
              <w:rPr>
                <w:rFonts w:ascii="Arial" w:hAnsi="Arial" w:cs="Arial"/>
              </w:rPr>
            </w:pPr>
          </w:p>
        </w:tc>
        <w:tc>
          <w:tcPr>
            <w:tcW w:w="1248" w:type="pct"/>
            <w:vMerge/>
            <w:shd w:val="clear" w:color="auto" w:fill="auto"/>
          </w:tcPr>
          <w:p w14:paraId="13BE0548" w14:textId="77777777" w:rsidR="00A82661" w:rsidRPr="00AE0209" w:rsidRDefault="00A82661" w:rsidP="00E23F66">
            <w:pPr>
              <w:rPr>
                <w:rFonts w:ascii="Arial" w:hAnsi="Arial" w:cs="Arial"/>
              </w:rPr>
            </w:pPr>
          </w:p>
        </w:tc>
      </w:tr>
      <w:tr w:rsidR="00A82661" w:rsidRPr="00B1166E" w14:paraId="1DC948B2" w14:textId="77777777" w:rsidTr="00E23F66">
        <w:tc>
          <w:tcPr>
            <w:tcW w:w="651" w:type="pct"/>
            <w:vMerge w:val="restart"/>
            <w:shd w:val="clear" w:color="auto" w:fill="B8CCE4" w:themeFill="accent1" w:themeFillTint="66"/>
            <w:vAlign w:val="center"/>
          </w:tcPr>
          <w:p w14:paraId="74F324F3" w14:textId="77777777" w:rsidR="00A82661" w:rsidRPr="00AE0209" w:rsidRDefault="00A82661" w:rsidP="00E23F66">
            <w:pPr>
              <w:rPr>
                <w:rFonts w:ascii="Arial" w:hAnsi="Arial" w:cs="Arial"/>
                <w:b/>
              </w:rPr>
            </w:pPr>
            <w:r w:rsidRPr="00AE0209">
              <w:rPr>
                <w:rFonts w:ascii="Arial" w:hAnsi="Arial" w:cs="Arial"/>
                <w:b/>
              </w:rPr>
              <w:t>PC_001</w:t>
            </w:r>
          </w:p>
        </w:tc>
        <w:tc>
          <w:tcPr>
            <w:tcW w:w="1062" w:type="pct"/>
            <w:shd w:val="clear" w:color="auto" w:fill="00B050"/>
          </w:tcPr>
          <w:p w14:paraId="2EDD7FFB" w14:textId="77777777" w:rsidR="00A82661" w:rsidRPr="00AE0209" w:rsidRDefault="00A82661" w:rsidP="00E23F66">
            <w:pPr>
              <w:spacing w:after="0" w:line="240" w:lineRule="auto"/>
              <w:rPr>
                <w:rFonts w:ascii="Arial" w:hAnsi="Arial" w:cs="Arial"/>
                <w:color w:val="FF0000"/>
              </w:rPr>
            </w:pPr>
          </w:p>
        </w:tc>
        <w:tc>
          <w:tcPr>
            <w:tcW w:w="956" w:type="pct"/>
            <w:shd w:val="clear" w:color="auto" w:fill="00B050"/>
          </w:tcPr>
          <w:p w14:paraId="028383D9" w14:textId="77777777" w:rsidR="00A82661" w:rsidRPr="00B1166E" w:rsidRDefault="00A82661" w:rsidP="00E23F66">
            <w:pPr>
              <w:rPr>
                <w:rFonts w:ascii="Arial" w:hAnsi="Arial" w:cs="Arial"/>
                <w:b/>
                <w:color w:val="FF0000"/>
              </w:rPr>
            </w:pPr>
          </w:p>
        </w:tc>
        <w:tc>
          <w:tcPr>
            <w:tcW w:w="1083" w:type="pct"/>
            <w:gridSpan w:val="2"/>
            <w:shd w:val="clear" w:color="auto" w:fill="00B050"/>
          </w:tcPr>
          <w:p w14:paraId="0A65D023" w14:textId="77777777" w:rsidR="00A82661" w:rsidRPr="00B1166E" w:rsidRDefault="00A82661" w:rsidP="00E23F66">
            <w:pPr>
              <w:rPr>
                <w:rFonts w:ascii="Arial" w:hAnsi="Arial" w:cs="Arial"/>
                <w:color w:val="FF0000"/>
              </w:rPr>
            </w:pPr>
          </w:p>
        </w:tc>
        <w:tc>
          <w:tcPr>
            <w:tcW w:w="1248" w:type="pct"/>
            <w:shd w:val="clear" w:color="auto" w:fill="auto"/>
          </w:tcPr>
          <w:p w14:paraId="7EEE79F3" w14:textId="77777777" w:rsidR="00A82661" w:rsidRPr="003B249B" w:rsidRDefault="00A82661" w:rsidP="00E23F66">
            <w:pPr>
              <w:rPr>
                <w:rFonts w:ascii="Arial" w:hAnsi="Arial" w:cs="Arial"/>
              </w:rPr>
            </w:pPr>
          </w:p>
        </w:tc>
      </w:tr>
      <w:tr w:rsidR="00A82661" w:rsidRPr="00B1166E" w14:paraId="64D64F7B" w14:textId="77777777" w:rsidTr="00E23F66">
        <w:tc>
          <w:tcPr>
            <w:tcW w:w="651" w:type="pct"/>
            <w:vMerge/>
            <w:shd w:val="clear" w:color="auto" w:fill="B8CCE4" w:themeFill="accent1" w:themeFillTint="66"/>
            <w:vAlign w:val="center"/>
          </w:tcPr>
          <w:p w14:paraId="4DF68EBC" w14:textId="77777777" w:rsidR="00A82661" w:rsidRPr="00AE0209" w:rsidRDefault="00A82661" w:rsidP="00E23F66">
            <w:pPr>
              <w:rPr>
                <w:rFonts w:ascii="Arial" w:hAnsi="Arial" w:cs="Arial"/>
                <w:b/>
              </w:rPr>
            </w:pPr>
          </w:p>
        </w:tc>
        <w:tc>
          <w:tcPr>
            <w:tcW w:w="1062" w:type="pct"/>
            <w:shd w:val="clear" w:color="auto" w:fill="FFFFFF" w:themeFill="background1"/>
          </w:tcPr>
          <w:p w14:paraId="06CE9360" w14:textId="77777777" w:rsidR="00A82661" w:rsidRPr="00AE0209" w:rsidRDefault="00A82661" w:rsidP="00E23F66">
            <w:pPr>
              <w:spacing w:after="0" w:line="240" w:lineRule="auto"/>
              <w:rPr>
                <w:rFonts w:ascii="Arial" w:hAnsi="Arial" w:cs="Arial"/>
              </w:rPr>
            </w:pPr>
            <w:r w:rsidRPr="00AE0209">
              <w:rPr>
                <w:rFonts w:ascii="Arial" w:hAnsi="Arial" w:cs="Arial"/>
              </w:rPr>
              <w:t xml:space="preserve">Q1 Update: </w:t>
            </w:r>
          </w:p>
          <w:p w14:paraId="3DF86B85" w14:textId="77777777" w:rsidR="00A82661" w:rsidRPr="00AE0209" w:rsidRDefault="00A82661" w:rsidP="00E23F66">
            <w:pPr>
              <w:spacing w:after="0" w:line="240" w:lineRule="auto"/>
              <w:rPr>
                <w:rFonts w:ascii="Arial" w:hAnsi="Arial" w:cs="Arial"/>
              </w:rPr>
            </w:pPr>
            <w:r w:rsidRPr="00AE0209">
              <w:rPr>
                <w:rFonts w:ascii="Arial" w:hAnsi="Arial" w:cs="Arial"/>
              </w:rPr>
              <w:t>Protected elective ortho capacity for higher acuity patients in place in Clydach ward, Morriston</w:t>
            </w:r>
          </w:p>
        </w:tc>
        <w:tc>
          <w:tcPr>
            <w:tcW w:w="956" w:type="pct"/>
            <w:shd w:val="clear" w:color="auto" w:fill="auto"/>
          </w:tcPr>
          <w:p w14:paraId="7E419625" w14:textId="77777777" w:rsidR="00A82661" w:rsidRPr="00AE0209" w:rsidRDefault="00A82661" w:rsidP="00E23F66">
            <w:pPr>
              <w:rPr>
                <w:rFonts w:ascii="Arial" w:hAnsi="Arial" w:cs="Arial"/>
                <w:b/>
              </w:rPr>
            </w:pPr>
            <w:r w:rsidRPr="00AE0209">
              <w:rPr>
                <w:rFonts w:ascii="Arial" w:hAnsi="Arial" w:cs="Arial"/>
                <w:b/>
              </w:rPr>
              <w:t>Q2 Update: COMPLETED</w:t>
            </w:r>
          </w:p>
        </w:tc>
        <w:tc>
          <w:tcPr>
            <w:tcW w:w="1083" w:type="pct"/>
            <w:gridSpan w:val="2"/>
            <w:shd w:val="clear" w:color="auto" w:fill="auto"/>
          </w:tcPr>
          <w:p w14:paraId="3529F890" w14:textId="77777777" w:rsidR="00A82661" w:rsidRPr="00B1166E" w:rsidRDefault="00A82661" w:rsidP="00E23F66">
            <w:pPr>
              <w:rPr>
                <w:rFonts w:ascii="Arial" w:hAnsi="Arial" w:cs="Arial"/>
                <w:color w:val="FF0000"/>
              </w:rPr>
            </w:pPr>
            <w:r w:rsidRPr="004D067B">
              <w:rPr>
                <w:rFonts w:ascii="Arial" w:hAnsi="Arial" w:cs="Arial"/>
              </w:rPr>
              <w:t>Clydach Ward maintained ringfencing over Christmas and New Year period</w:t>
            </w:r>
          </w:p>
        </w:tc>
        <w:tc>
          <w:tcPr>
            <w:tcW w:w="1248" w:type="pct"/>
            <w:shd w:val="clear" w:color="auto" w:fill="auto"/>
          </w:tcPr>
          <w:p w14:paraId="26316E2D" w14:textId="77777777" w:rsidR="00A82661" w:rsidRPr="003B249B" w:rsidRDefault="00A82661" w:rsidP="00E23F66">
            <w:pPr>
              <w:rPr>
                <w:rFonts w:ascii="Arial" w:hAnsi="Arial" w:cs="Arial"/>
              </w:rPr>
            </w:pPr>
            <w:r w:rsidRPr="003B249B">
              <w:rPr>
                <w:rFonts w:ascii="Arial" w:hAnsi="Arial" w:cs="Arial"/>
              </w:rPr>
              <w:t>Q4 Priorities:</w:t>
            </w:r>
          </w:p>
          <w:p w14:paraId="515C8139" w14:textId="77777777" w:rsidR="00A82661" w:rsidRPr="003B249B" w:rsidRDefault="00A82661" w:rsidP="00A82661">
            <w:pPr>
              <w:pStyle w:val="ListParagraph"/>
              <w:numPr>
                <w:ilvl w:val="0"/>
                <w:numId w:val="31"/>
              </w:numPr>
              <w:rPr>
                <w:rFonts w:ascii="Arial" w:hAnsi="Arial" w:cs="Arial"/>
              </w:rPr>
            </w:pPr>
            <w:r w:rsidRPr="003B249B">
              <w:rPr>
                <w:rFonts w:ascii="Arial" w:hAnsi="Arial" w:cs="Arial"/>
              </w:rPr>
              <w:t xml:space="preserve">Capacity in place – maintain for remainder of 23/24 </w:t>
            </w:r>
          </w:p>
        </w:tc>
      </w:tr>
      <w:tr w:rsidR="00A82661" w:rsidRPr="00B1166E" w14:paraId="015D9F6F" w14:textId="77777777" w:rsidTr="00E23F66">
        <w:tc>
          <w:tcPr>
            <w:tcW w:w="651" w:type="pct"/>
            <w:vMerge w:val="restart"/>
            <w:shd w:val="clear" w:color="auto" w:fill="B8CCE4" w:themeFill="accent1" w:themeFillTint="66"/>
            <w:vAlign w:val="center"/>
          </w:tcPr>
          <w:p w14:paraId="0CB4117B" w14:textId="77777777" w:rsidR="00A82661" w:rsidRPr="00AE0209" w:rsidRDefault="00A82661" w:rsidP="00E23F66">
            <w:pPr>
              <w:rPr>
                <w:rFonts w:ascii="Arial" w:hAnsi="Arial" w:cs="Arial"/>
                <w:b/>
              </w:rPr>
            </w:pPr>
            <w:r w:rsidRPr="00AE0209">
              <w:rPr>
                <w:rFonts w:ascii="Arial" w:hAnsi="Arial" w:cs="Arial"/>
                <w:b/>
              </w:rPr>
              <w:t>PC_002</w:t>
            </w:r>
          </w:p>
        </w:tc>
        <w:tc>
          <w:tcPr>
            <w:tcW w:w="1062" w:type="pct"/>
            <w:shd w:val="clear" w:color="auto" w:fill="FFC000"/>
          </w:tcPr>
          <w:p w14:paraId="730F4F75" w14:textId="77777777" w:rsidR="00A82661" w:rsidRPr="00AE0209" w:rsidRDefault="00A82661" w:rsidP="00E23F66">
            <w:pPr>
              <w:spacing w:after="0" w:line="240" w:lineRule="auto"/>
              <w:rPr>
                <w:rFonts w:ascii="Arial" w:hAnsi="Arial" w:cs="Arial"/>
              </w:rPr>
            </w:pPr>
          </w:p>
        </w:tc>
        <w:tc>
          <w:tcPr>
            <w:tcW w:w="956" w:type="pct"/>
            <w:shd w:val="clear" w:color="auto" w:fill="FFC000"/>
          </w:tcPr>
          <w:p w14:paraId="2D68290D" w14:textId="77777777" w:rsidR="00A82661" w:rsidRPr="00AE0209" w:rsidRDefault="00A82661" w:rsidP="00E23F66">
            <w:pPr>
              <w:rPr>
                <w:rFonts w:ascii="Arial" w:hAnsi="Arial" w:cs="Arial"/>
                <w:b/>
              </w:rPr>
            </w:pPr>
          </w:p>
        </w:tc>
        <w:tc>
          <w:tcPr>
            <w:tcW w:w="1083" w:type="pct"/>
            <w:gridSpan w:val="2"/>
            <w:shd w:val="clear" w:color="auto" w:fill="00B050"/>
          </w:tcPr>
          <w:p w14:paraId="0FFBA0C8" w14:textId="77777777" w:rsidR="00A82661" w:rsidRPr="00B1166E" w:rsidRDefault="00A82661" w:rsidP="00E23F66">
            <w:pPr>
              <w:rPr>
                <w:rFonts w:ascii="Arial" w:hAnsi="Arial" w:cs="Arial"/>
                <w:color w:val="FF0000"/>
              </w:rPr>
            </w:pPr>
          </w:p>
        </w:tc>
        <w:tc>
          <w:tcPr>
            <w:tcW w:w="1248" w:type="pct"/>
            <w:shd w:val="clear" w:color="auto" w:fill="auto"/>
          </w:tcPr>
          <w:p w14:paraId="4353CFF4" w14:textId="77777777" w:rsidR="00A82661" w:rsidRPr="00B1166E" w:rsidRDefault="00A82661" w:rsidP="00E23F66">
            <w:pPr>
              <w:rPr>
                <w:rFonts w:ascii="Arial" w:hAnsi="Arial" w:cs="Arial"/>
                <w:color w:val="FF0000"/>
              </w:rPr>
            </w:pPr>
          </w:p>
        </w:tc>
      </w:tr>
      <w:tr w:rsidR="00A82661" w:rsidRPr="00B1166E" w14:paraId="390C2309" w14:textId="77777777" w:rsidTr="00E23F66">
        <w:tc>
          <w:tcPr>
            <w:tcW w:w="651" w:type="pct"/>
            <w:vMerge/>
            <w:shd w:val="clear" w:color="auto" w:fill="B8CCE4" w:themeFill="accent1" w:themeFillTint="66"/>
            <w:vAlign w:val="center"/>
          </w:tcPr>
          <w:p w14:paraId="7FBA05FD" w14:textId="77777777" w:rsidR="00A82661" w:rsidRPr="00AE0209" w:rsidRDefault="00A82661" w:rsidP="00E23F66">
            <w:pPr>
              <w:rPr>
                <w:rFonts w:ascii="Arial" w:hAnsi="Arial" w:cs="Arial"/>
                <w:b/>
              </w:rPr>
            </w:pPr>
          </w:p>
        </w:tc>
        <w:tc>
          <w:tcPr>
            <w:tcW w:w="1062" w:type="pct"/>
            <w:shd w:val="clear" w:color="auto" w:fill="auto"/>
          </w:tcPr>
          <w:p w14:paraId="1E84C29C" w14:textId="77777777" w:rsidR="00A82661" w:rsidRPr="00AE0209" w:rsidRDefault="00A82661" w:rsidP="00E23F66">
            <w:pPr>
              <w:spacing w:after="0" w:line="240" w:lineRule="auto"/>
              <w:rPr>
                <w:rFonts w:ascii="Arial" w:hAnsi="Arial" w:cs="Arial"/>
              </w:rPr>
            </w:pPr>
            <w:r w:rsidRPr="00AE0209">
              <w:rPr>
                <w:rFonts w:ascii="Arial" w:hAnsi="Arial" w:cs="Arial"/>
              </w:rPr>
              <w:t>Q1 Update Regional Orthopaedics:</w:t>
            </w:r>
          </w:p>
          <w:p w14:paraId="662A97E3" w14:textId="77777777" w:rsidR="00A82661" w:rsidRPr="00AE0209" w:rsidRDefault="00A82661" w:rsidP="00E23F66">
            <w:pPr>
              <w:spacing w:after="0" w:line="240" w:lineRule="auto"/>
              <w:rPr>
                <w:rFonts w:ascii="Arial" w:hAnsi="Arial" w:cs="Arial"/>
              </w:rPr>
            </w:pPr>
            <w:r w:rsidRPr="00AE0209">
              <w:rPr>
                <w:rFonts w:ascii="Arial" w:hAnsi="Arial" w:cs="Arial"/>
              </w:rPr>
              <w:t>Awaiting the outcome of proposal submitted to WG for additional funding to commission activity at PPH.</w:t>
            </w:r>
          </w:p>
        </w:tc>
        <w:tc>
          <w:tcPr>
            <w:tcW w:w="956" w:type="pct"/>
            <w:shd w:val="clear" w:color="auto" w:fill="auto"/>
          </w:tcPr>
          <w:p w14:paraId="0B11C8AB" w14:textId="77777777" w:rsidR="00A82661" w:rsidRPr="00AE0209" w:rsidRDefault="00A82661" w:rsidP="00E23F66">
            <w:pPr>
              <w:rPr>
                <w:rFonts w:ascii="Arial" w:hAnsi="Arial" w:cs="Arial"/>
                <w:b/>
              </w:rPr>
            </w:pPr>
            <w:r w:rsidRPr="00AE0209">
              <w:rPr>
                <w:rFonts w:ascii="Arial" w:hAnsi="Arial" w:cs="Arial"/>
                <w:b/>
              </w:rPr>
              <w:t>Q2 Update Regional Orthopaedics:</w:t>
            </w:r>
          </w:p>
          <w:p w14:paraId="444BFC7F" w14:textId="77777777" w:rsidR="00A82661" w:rsidRPr="00AE0209" w:rsidRDefault="00A82661" w:rsidP="00E23F66">
            <w:pPr>
              <w:rPr>
                <w:rFonts w:ascii="Arial" w:hAnsi="Arial" w:cs="Arial"/>
                <w:b/>
              </w:rPr>
            </w:pPr>
            <w:r w:rsidRPr="00AE0209">
              <w:rPr>
                <w:rFonts w:ascii="Arial" w:hAnsi="Arial" w:cs="Arial"/>
                <w:b/>
              </w:rPr>
              <w:t xml:space="preserve">Ongoing conversations with </w:t>
            </w:r>
            <w:proofErr w:type="spellStart"/>
            <w:r w:rsidRPr="00AE0209">
              <w:rPr>
                <w:rFonts w:ascii="Arial" w:hAnsi="Arial" w:cs="Arial"/>
                <w:b/>
              </w:rPr>
              <w:t>HDd</w:t>
            </w:r>
            <w:proofErr w:type="spellEnd"/>
            <w:r w:rsidRPr="00AE0209">
              <w:rPr>
                <w:rFonts w:ascii="Arial" w:hAnsi="Arial" w:cs="Arial"/>
                <w:b/>
              </w:rPr>
              <w:t xml:space="preserve">, programme in development via </w:t>
            </w:r>
            <w:proofErr w:type="spellStart"/>
            <w:r w:rsidRPr="00AE0209">
              <w:rPr>
                <w:rFonts w:ascii="Arial" w:hAnsi="Arial" w:cs="Arial"/>
                <w:b/>
              </w:rPr>
              <w:t>A</w:t>
            </w:r>
            <w:r>
              <w:rPr>
                <w:rFonts w:ascii="Arial" w:hAnsi="Arial" w:cs="Arial"/>
                <w:b/>
              </w:rPr>
              <w:t>RCh</w:t>
            </w:r>
            <w:proofErr w:type="spellEnd"/>
          </w:p>
        </w:tc>
        <w:tc>
          <w:tcPr>
            <w:tcW w:w="1083" w:type="pct"/>
            <w:gridSpan w:val="2"/>
            <w:shd w:val="clear" w:color="auto" w:fill="auto"/>
          </w:tcPr>
          <w:p w14:paraId="32226CB4" w14:textId="77777777" w:rsidR="00A82661" w:rsidRPr="00F72010" w:rsidRDefault="00A82661" w:rsidP="00E23F66">
            <w:pPr>
              <w:rPr>
                <w:rFonts w:ascii="Arial" w:hAnsi="Arial" w:cs="Arial"/>
              </w:rPr>
            </w:pPr>
            <w:r w:rsidRPr="00F72010">
              <w:rPr>
                <w:rFonts w:ascii="Arial" w:hAnsi="Arial" w:cs="Arial"/>
              </w:rPr>
              <w:t xml:space="preserve">Ongoing conversations with </w:t>
            </w:r>
            <w:proofErr w:type="spellStart"/>
            <w:r w:rsidRPr="00F72010">
              <w:rPr>
                <w:rFonts w:ascii="Arial" w:hAnsi="Arial" w:cs="Arial"/>
              </w:rPr>
              <w:t>H.Dda</w:t>
            </w:r>
            <w:proofErr w:type="spellEnd"/>
          </w:p>
          <w:p w14:paraId="6DB103B0" w14:textId="77777777" w:rsidR="00A82661" w:rsidRPr="00B1166E" w:rsidRDefault="00A82661" w:rsidP="00E23F66">
            <w:pPr>
              <w:rPr>
                <w:rFonts w:ascii="Arial" w:hAnsi="Arial" w:cs="Arial"/>
                <w:color w:val="FF0000"/>
              </w:rPr>
            </w:pPr>
            <w:r w:rsidRPr="00F72010">
              <w:rPr>
                <w:rFonts w:ascii="Arial" w:hAnsi="Arial" w:cs="Arial"/>
              </w:rPr>
              <w:t>Update for Q3 First list with PPH on 27th Nov</w:t>
            </w:r>
          </w:p>
        </w:tc>
        <w:tc>
          <w:tcPr>
            <w:tcW w:w="1248" w:type="pct"/>
            <w:shd w:val="clear" w:color="auto" w:fill="auto"/>
          </w:tcPr>
          <w:p w14:paraId="3AE77006" w14:textId="77777777" w:rsidR="00A82661" w:rsidRPr="003B249B" w:rsidRDefault="00A82661" w:rsidP="00E23F66">
            <w:pPr>
              <w:rPr>
                <w:rFonts w:ascii="Arial" w:hAnsi="Arial" w:cs="Arial"/>
              </w:rPr>
            </w:pPr>
            <w:r w:rsidRPr="003B249B">
              <w:rPr>
                <w:rFonts w:ascii="Arial" w:hAnsi="Arial" w:cs="Arial"/>
              </w:rPr>
              <w:t>Q4 Priorities:</w:t>
            </w:r>
          </w:p>
          <w:p w14:paraId="5BC15E09" w14:textId="77777777" w:rsidR="00A82661" w:rsidRPr="003B249B" w:rsidRDefault="00A82661" w:rsidP="00A82661">
            <w:pPr>
              <w:pStyle w:val="ListParagraph"/>
              <w:numPr>
                <w:ilvl w:val="0"/>
                <w:numId w:val="31"/>
              </w:numPr>
              <w:rPr>
                <w:rFonts w:ascii="Arial" w:hAnsi="Arial" w:cs="Arial"/>
              </w:rPr>
            </w:pPr>
            <w:r w:rsidRPr="003B249B">
              <w:rPr>
                <w:rFonts w:ascii="Arial" w:hAnsi="Arial" w:cs="Arial"/>
              </w:rPr>
              <w:t xml:space="preserve">Programme Manager recruitment completed </w:t>
            </w:r>
          </w:p>
          <w:p w14:paraId="24416087" w14:textId="77777777" w:rsidR="00A82661" w:rsidRPr="003B249B" w:rsidRDefault="00A82661" w:rsidP="00A82661">
            <w:pPr>
              <w:pStyle w:val="ListParagraph"/>
              <w:numPr>
                <w:ilvl w:val="0"/>
                <w:numId w:val="31"/>
              </w:numPr>
              <w:rPr>
                <w:rFonts w:ascii="Arial" w:hAnsi="Arial" w:cs="Arial"/>
              </w:rPr>
            </w:pPr>
            <w:r w:rsidRPr="003B249B">
              <w:rPr>
                <w:rFonts w:ascii="Arial" w:hAnsi="Arial" w:cs="Arial"/>
              </w:rPr>
              <w:t xml:space="preserve">Initiate development of Regional Orthopaedics Programme </w:t>
            </w:r>
          </w:p>
          <w:p w14:paraId="7B20EC0A" w14:textId="77777777" w:rsidR="00A82661" w:rsidRPr="003B249B" w:rsidRDefault="00A82661" w:rsidP="00A82661">
            <w:pPr>
              <w:pStyle w:val="ListParagraph"/>
              <w:numPr>
                <w:ilvl w:val="0"/>
                <w:numId w:val="31"/>
              </w:numPr>
              <w:rPr>
                <w:rFonts w:ascii="Arial" w:hAnsi="Arial" w:cs="Arial"/>
                <w:color w:val="FF0000"/>
              </w:rPr>
            </w:pPr>
            <w:r w:rsidRPr="003B249B">
              <w:rPr>
                <w:rFonts w:ascii="Arial" w:hAnsi="Arial" w:cs="Arial"/>
              </w:rPr>
              <w:t xml:space="preserve">Maintain PPH list </w:t>
            </w:r>
            <w:r>
              <w:rPr>
                <w:rFonts w:ascii="Arial" w:hAnsi="Arial" w:cs="Arial"/>
              </w:rPr>
              <w:t xml:space="preserve">to increase capacity </w:t>
            </w:r>
          </w:p>
        </w:tc>
      </w:tr>
      <w:tr w:rsidR="00A82661" w:rsidRPr="00B1166E" w14:paraId="7223A16A" w14:textId="77777777" w:rsidTr="00E23F66">
        <w:tc>
          <w:tcPr>
            <w:tcW w:w="651" w:type="pct"/>
            <w:vMerge w:val="restart"/>
            <w:shd w:val="clear" w:color="auto" w:fill="B8CCE4" w:themeFill="accent1" w:themeFillTint="66"/>
            <w:vAlign w:val="center"/>
          </w:tcPr>
          <w:p w14:paraId="21A8DD39" w14:textId="77777777" w:rsidR="00A82661" w:rsidRPr="00AE0209" w:rsidRDefault="00A82661" w:rsidP="00E23F66">
            <w:pPr>
              <w:rPr>
                <w:rFonts w:ascii="Arial" w:hAnsi="Arial" w:cs="Arial"/>
                <w:b/>
              </w:rPr>
            </w:pPr>
            <w:r w:rsidRPr="00AE0209">
              <w:rPr>
                <w:rFonts w:ascii="Arial" w:hAnsi="Arial" w:cs="Arial"/>
                <w:b/>
              </w:rPr>
              <w:lastRenderedPageBreak/>
              <w:t>PC_003-004</w:t>
            </w:r>
          </w:p>
        </w:tc>
        <w:tc>
          <w:tcPr>
            <w:tcW w:w="1062" w:type="pct"/>
            <w:shd w:val="clear" w:color="auto" w:fill="FFC000"/>
          </w:tcPr>
          <w:p w14:paraId="663B9C16" w14:textId="77777777" w:rsidR="00A82661" w:rsidRPr="00AE0209" w:rsidRDefault="00A82661" w:rsidP="00E23F66">
            <w:pPr>
              <w:spacing w:after="0" w:line="240" w:lineRule="auto"/>
              <w:rPr>
                <w:rFonts w:ascii="Arial" w:hAnsi="Arial" w:cs="Arial"/>
                <w:b/>
              </w:rPr>
            </w:pPr>
          </w:p>
        </w:tc>
        <w:tc>
          <w:tcPr>
            <w:tcW w:w="956" w:type="pct"/>
            <w:shd w:val="clear" w:color="auto" w:fill="FFC000"/>
          </w:tcPr>
          <w:p w14:paraId="17DFE3AB" w14:textId="77777777" w:rsidR="00A82661" w:rsidRPr="00AE0209" w:rsidRDefault="00A82661" w:rsidP="00E23F66">
            <w:pPr>
              <w:spacing w:after="160" w:line="259" w:lineRule="auto"/>
              <w:rPr>
                <w:rFonts w:ascii="Arial" w:eastAsiaTheme="minorHAnsi" w:hAnsi="Arial" w:cs="Arial"/>
                <w:b/>
                <w:bCs/>
              </w:rPr>
            </w:pPr>
            <w:r w:rsidRPr="00AE0209">
              <w:rPr>
                <w:rFonts w:ascii="Arial" w:eastAsiaTheme="minorHAnsi" w:hAnsi="Arial" w:cs="Arial"/>
                <w:b/>
                <w:bCs/>
              </w:rPr>
              <w:t>Open additional theatre capacity in NPTH in August 2023</w:t>
            </w:r>
          </w:p>
        </w:tc>
        <w:tc>
          <w:tcPr>
            <w:tcW w:w="499" w:type="pct"/>
            <w:shd w:val="clear" w:color="auto" w:fill="FFC000"/>
          </w:tcPr>
          <w:p w14:paraId="032DCB46" w14:textId="77777777" w:rsidR="00A82661" w:rsidRPr="00F72010" w:rsidRDefault="00A82661" w:rsidP="00E23F66">
            <w:pPr>
              <w:jc w:val="center"/>
              <w:rPr>
                <w:rFonts w:ascii="Arial" w:hAnsi="Arial" w:cs="Arial"/>
              </w:rPr>
            </w:pPr>
            <w:r w:rsidRPr="00F72010">
              <w:rPr>
                <w:rFonts w:ascii="Arial" w:hAnsi="Arial" w:cs="Arial"/>
              </w:rPr>
              <w:t>PC_003</w:t>
            </w:r>
          </w:p>
        </w:tc>
        <w:tc>
          <w:tcPr>
            <w:tcW w:w="584" w:type="pct"/>
            <w:shd w:val="clear" w:color="auto" w:fill="00B050"/>
          </w:tcPr>
          <w:p w14:paraId="0EDC0018" w14:textId="77777777" w:rsidR="00A82661" w:rsidRPr="00F72010" w:rsidRDefault="00A82661" w:rsidP="00E23F66">
            <w:pPr>
              <w:jc w:val="center"/>
              <w:rPr>
                <w:rFonts w:ascii="Arial" w:hAnsi="Arial" w:cs="Arial"/>
              </w:rPr>
            </w:pPr>
            <w:r w:rsidRPr="00F72010">
              <w:rPr>
                <w:rFonts w:ascii="Arial" w:hAnsi="Arial" w:cs="Arial"/>
              </w:rPr>
              <w:t>PC_004</w:t>
            </w:r>
          </w:p>
        </w:tc>
        <w:tc>
          <w:tcPr>
            <w:tcW w:w="1248" w:type="pct"/>
            <w:shd w:val="clear" w:color="auto" w:fill="auto"/>
          </w:tcPr>
          <w:p w14:paraId="28FC4D06" w14:textId="77777777" w:rsidR="00A82661" w:rsidRPr="00B1166E" w:rsidRDefault="00A82661" w:rsidP="00E23F66">
            <w:pPr>
              <w:rPr>
                <w:rFonts w:ascii="Arial" w:hAnsi="Arial" w:cs="Arial"/>
                <w:color w:val="FF0000"/>
              </w:rPr>
            </w:pPr>
          </w:p>
        </w:tc>
      </w:tr>
      <w:tr w:rsidR="00A82661" w:rsidRPr="00B1166E" w14:paraId="138E9211" w14:textId="77777777" w:rsidTr="00E23F66">
        <w:tc>
          <w:tcPr>
            <w:tcW w:w="651" w:type="pct"/>
            <w:vMerge/>
            <w:shd w:val="clear" w:color="auto" w:fill="B8CCE4" w:themeFill="accent1" w:themeFillTint="66"/>
            <w:vAlign w:val="center"/>
          </w:tcPr>
          <w:p w14:paraId="5BF44F39" w14:textId="77777777" w:rsidR="00A82661" w:rsidRPr="00B1166E" w:rsidRDefault="00A82661" w:rsidP="00E23F66">
            <w:pPr>
              <w:rPr>
                <w:rFonts w:ascii="Arial" w:hAnsi="Arial" w:cs="Arial"/>
                <w:b/>
                <w:color w:val="FF0000"/>
              </w:rPr>
            </w:pPr>
          </w:p>
        </w:tc>
        <w:tc>
          <w:tcPr>
            <w:tcW w:w="1062" w:type="pct"/>
            <w:shd w:val="clear" w:color="auto" w:fill="auto"/>
          </w:tcPr>
          <w:p w14:paraId="46903751" w14:textId="77777777" w:rsidR="00A82661" w:rsidRPr="00AE0209" w:rsidRDefault="00A82661" w:rsidP="00E23F66">
            <w:pPr>
              <w:spacing w:after="0" w:line="240" w:lineRule="auto"/>
              <w:rPr>
                <w:rFonts w:ascii="Arial" w:hAnsi="Arial" w:cs="Arial"/>
              </w:rPr>
            </w:pPr>
            <w:r w:rsidRPr="00AE0209">
              <w:rPr>
                <w:rFonts w:ascii="Arial" w:hAnsi="Arial" w:cs="Arial"/>
              </w:rPr>
              <w:t>Q1 Update NPT Theatres:</w:t>
            </w:r>
          </w:p>
          <w:p w14:paraId="25A6F0B3" w14:textId="77777777" w:rsidR="00A82661" w:rsidRPr="00AE0209" w:rsidRDefault="00A82661" w:rsidP="00A82661">
            <w:pPr>
              <w:pStyle w:val="ListParagraph"/>
              <w:numPr>
                <w:ilvl w:val="0"/>
                <w:numId w:val="29"/>
              </w:numPr>
              <w:suppressAutoHyphens/>
              <w:autoSpaceDN w:val="0"/>
              <w:spacing w:after="0" w:line="240" w:lineRule="auto"/>
              <w:ind w:left="618" w:hanging="307"/>
              <w:textAlignment w:val="baseline"/>
              <w:rPr>
                <w:rStyle w:val="normaltextrun"/>
                <w:rFonts w:ascii="Arial" w:hAnsi="Arial" w:cs="Arial"/>
                <w:bCs/>
                <w:bdr w:val="none" w:sz="0" w:space="0" w:color="auto" w:frame="1"/>
              </w:rPr>
            </w:pPr>
            <w:r w:rsidRPr="00AE0209">
              <w:rPr>
                <w:rStyle w:val="normaltextrun"/>
                <w:rFonts w:ascii="Arial" w:hAnsi="Arial" w:cs="Arial"/>
                <w:bCs/>
                <w:bdr w:val="none" w:sz="0" w:space="0" w:color="auto" w:frame="1"/>
              </w:rPr>
              <w:t>New surgical hub opened on the 5</w:t>
            </w:r>
            <w:r w:rsidRPr="00AE0209">
              <w:rPr>
                <w:rStyle w:val="normaltextrun"/>
                <w:rFonts w:ascii="Arial" w:hAnsi="Arial" w:cs="Arial"/>
                <w:bCs/>
                <w:bdr w:val="none" w:sz="0" w:space="0" w:color="auto" w:frame="1"/>
                <w:vertAlign w:val="superscript"/>
              </w:rPr>
              <w:t>th</w:t>
            </w:r>
            <w:r w:rsidRPr="00AE0209">
              <w:rPr>
                <w:rStyle w:val="normaltextrun"/>
                <w:rFonts w:ascii="Arial" w:hAnsi="Arial" w:cs="Arial"/>
                <w:bCs/>
                <w:bdr w:val="none" w:sz="0" w:space="0" w:color="auto" w:frame="1"/>
              </w:rPr>
              <w:t xml:space="preserve"> June with the first patients on the 12</w:t>
            </w:r>
            <w:r w:rsidRPr="00AE0209">
              <w:rPr>
                <w:rStyle w:val="normaltextrun"/>
                <w:rFonts w:ascii="Arial" w:hAnsi="Arial" w:cs="Arial"/>
                <w:bCs/>
                <w:bdr w:val="none" w:sz="0" w:space="0" w:color="auto" w:frame="1"/>
                <w:vertAlign w:val="superscript"/>
              </w:rPr>
              <w:t>th</w:t>
            </w:r>
            <w:r w:rsidRPr="00AE0209">
              <w:rPr>
                <w:rStyle w:val="normaltextrun"/>
                <w:rFonts w:ascii="Arial" w:hAnsi="Arial" w:cs="Arial"/>
                <w:bCs/>
                <w:bdr w:val="none" w:sz="0" w:space="0" w:color="auto" w:frame="1"/>
              </w:rPr>
              <w:t xml:space="preserve"> June. Due to difficulties recruiting anaesthetics staff and the training requirements of theatre staff, additional capacity is not available until 28th Aug 2023 at present but insourcing option are being explored to ensure that theatres are operational as soon as possible.</w:t>
            </w:r>
          </w:p>
          <w:p w14:paraId="106CC771" w14:textId="77777777" w:rsidR="00A82661" w:rsidRPr="00AE0209" w:rsidRDefault="00A82661" w:rsidP="00A82661">
            <w:pPr>
              <w:pStyle w:val="ListParagraph"/>
              <w:numPr>
                <w:ilvl w:val="0"/>
                <w:numId w:val="29"/>
              </w:numPr>
              <w:suppressAutoHyphens/>
              <w:autoSpaceDN w:val="0"/>
              <w:spacing w:after="0" w:line="240" w:lineRule="auto"/>
              <w:ind w:left="595" w:hanging="426"/>
              <w:textAlignment w:val="baseline"/>
              <w:rPr>
                <w:rStyle w:val="normaltextrun"/>
                <w:rFonts w:ascii="Arial" w:hAnsi="Arial" w:cs="Arial"/>
                <w:bCs/>
                <w:bdr w:val="none" w:sz="0" w:space="0" w:color="auto" w:frame="1"/>
              </w:rPr>
            </w:pPr>
            <w:r w:rsidRPr="00AE0209">
              <w:rPr>
                <w:rStyle w:val="normaltextrun"/>
                <w:rFonts w:ascii="Arial" w:hAnsi="Arial" w:cs="Arial"/>
                <w:bCs/>
                <w:bdr w:val="none" w:sz="0" w:space="0" w:color="auto" w:frame="1"/>
              </w:rPr>
              <w:t xml:space="preserve">Progress made on the increasing acuity of patients via implementation of a fully operational HLCU by the end of August, and an agreement of the criteria for patients attending and a transfer SOP. </w:t>
            </w:r>
          </w:p>
          <w:p w14:paraId="382BE74F" w14:textId="77777777" w:rsidR="00A82661" w:rsidRPr="00AE0209" w:rsidRDefault="00A82661" w:rsidP="00A82661">
            <w:pPr>
              <w:pStyle w:val="ListParagraph"/>
              <w:numPr>
                <w:ilvl w:val="0"/>
                <w:numId w:val="29"/>
              </w:numPr>
              <w:suppressAutoHyphens/>
              <w:autoSpaceDN w:val="0"/>
              <w:spacing w:after="0" w:line="240" w:lineRule="auto"/>
              <w:ind w:left="595" w:hanging="426"/>
              <w:textAlignment w:val="baseline"/>
              <w:rPr>
                <w:rFonts w:ascii="Arial" w:hAnsi="Arial" w:cs="Arial"/>
                <w:bCs/>
                <w:bdr w:val="none" w:sz="0" w:space="0" w:color="auto" w:frame="1"/>
              </w:rPr>
            </w:pPr>
            <w:r w:rsidRPr="00AE0209">
              <w:rPr>
                <w:rStyle w:val="normaltextrun"/>
                <w:rFonts w:ascii="Arial" w:hAnsi="Arial" w:cs="Arial"/>
                <w:bCs/>
                <w:bdr w:val="none" w:sz="0" w:space="0" w:color="auto" w:frame="1"/>
              </w:rPr>
              <w:t>HSDU capacity impacting on current theatre activity and is limiting factor for increasing capacity. External options and greater of single use items are being explored.</w:t>
            </w:r>
          </w:p>
        </w:tc>
        <w:tc>
          <w:tcPr>
            <w:tcW w:w="956" w:type="pct"/>
            <w:shd w:val="clear" w:color="auto" w:fill="auto"/>
          </w:tcPr>
          <w:p w14:paraId="07559074" w14:textId="77777777" w:rsidR="00A82661" w:rsidRPr="00AE0209" w:rsidRDefault="00A82661" w:rsidP="00E23F66">
            <w:pPr>
              <w:spacing w:after="160" w:line="259" w:lineRule="auto"/>
              <w:contextualSpacing/>
              <w:rPr>
                <w:rFonts w:ascii="Arial" w:hAnsi="Arial" w:cs="Arial"/>
                <w:b/>
                <w:bCs/>
              </w:rPr>
            </w:pPr>
            <w:r w:rsidRPr="00AE0209">
              <w:rPr>
                <w:rFonts w:ascii="Arial" w:hAnsi="Arial" w:cs="Arial"/>
                <w:b/>
                <w:bCs/>
              </w:rPr>
              <w:t>Q2 Update NPT Theatres</w:t>
            </w:r>
          </w:p>
          <w:p w14:paraId="789361F1" w14:textId="77777777" w:rsidR="00A82661" w:rsidRPr="00AE0209" w:rsidRDefault="00A82661" w:rsidP="00A82661">
            <w:pPr>
              <w:pStyle w:val="ListParagraph"/>
              <w:numPr>
                <w:ilvl w:val="0"/>
                <w:numId w:val="32"/>
              </w:numPr>
              <w:spacing w:after="160" w:line="259" w:lineRule="auto"/>
              <w:rPr>
                <w:rFonts w:ascii="Arial" w:hAnsi="Arial" w:cs="Arial"/>
                <w:b/>
              </w:rPr>
            </w:pPr>
            <w:r w:rsidRPr="00AE0209">
              <w:rPr>
                <w:rFonts w:ascii="Arial" w:eastAsiaTheme="minorHAnsi" w:hAnsi="Arial" w:cs="Arial"/>
                <w:bCs/>
              </w:rPr>
              <w:t>Some delays due to staffing arrangements and limited by HSDU capacity however all theatres to be fully operational by Feb 24.</w:t>
            </w:r>
          </w:p>
        </w:tc>
        <w:tc>
          <w:tcPr>
            <w:tcW w:w="499" w:type="pct"/>
            <w:shd w:val="clear" w:color="auto" w:fill="auto"/>
          </w:tcPr>
          <w:p w14:paraId="49215668" w14:textId="77777777" w:rsidR="00A82661" w:rsidRPr="00B1166E" w:rsidRDefault="00A82661" w:rsidP="00E23F66">
            <w:pPr>
              <w:rPr>
                <w:rFonts w:ascii="Arial" w:hAnsi="Arial" w:cs="Arial"/>
                <w:color w:val="FF0000"/>
              </w:rPr>
            </w:pPr>
            <w:r w:rsidRPr="00F72010">
              <w:rPr>
                <w:rFonts w:ascii="Arial" w:hAnsi="Arial" w:cs="Arial"/>
              </w:rPr>
              <w:t>Clinical oversight group established for NPTH Surgical Hub in order to bottom out the clinical model - linked to ongoing development of the HLCU</w:t>
            </w:r>
          </w:p>
        </w:tc>
        <w:tc>
          <w:tcPr>
            <w:tcW w:w="584" w:type="pct"/>
            <w:shd w:val="clear" w:color="auto" w:fill="auto"/>
          </w:tcPr>
          <w:p w14:paraId="1EFCB75D" w14:textId="77777777" w:rsidR="00A82661" w:rsidRPr="00B1166E" w:rsidRDefault="00A82661" w:rsidP="00E23F66">
            <w:pPr>
              <w:rPr>
                <w:rFonts w:ascii="Arial" w:hAnsi="Arial" w:cs="Arial"/>
                <w:color w:val="FF0000"/>
              </w:rPr>
            </w:pPr>
            <w:r w:rsidRPr="00F72010">
              <w:rPr>
                <w:rFonts w:ascii="Arial" w:hAnsi="Arial" w:cs="Arial"/>
              </w:rPr>
              <w:t xml:space="preserve">Insourcing conversations underway but  ongoing issues with one theatre and interdependency with HSDU. Staffing issues not </w:t>
            </w:r>
            <w:r>
              <w:rPr>
                <w:rFonts w:ascii="Arial" w:hAnsi="Arial" w:cs="Arial"/>
              </w:rPr>
              <w:t xml:space="preserve">fully </w:t>
            </w:r>
            <w:r w:rsidRPr="00F72010">
              <w:rPr>
                <w:rFonts w:ascii="Arial" w:hAnsi="Arial" w:cs="Arial"/>
              </w:rPr>
              <w:t>resolved</w:t>
            </w:r>
          </w:p>
        </w:tc>
        <w:tc>
          <w:tcPr>
            <w:tcW w:w="1248" w:type="pct"/>
            <w:shd w:val="clear" w:color="auto" w:fill="auto"/>
          </w:tcPr>
          <w:p w14:paraId="60132D9F" w14:textId="77777777" w:rsidR="00A82661" w:rsidRPr="003B249B" w:rsidRDefault="00A82661" w:rsidP="00E23F66">
            <w:pPr>
              <w:rPr>
                <w:rFonts w:ascii="Arial" w:hAnsi="Arial" w:cs="Arial"/>
              </w:rPr>
            </w:pPr>
            <w:r w:rsidRPr="003B249B">
              <w:rPr>
                <w:rFonts w:ascii="Arial" w:hAnsi="Arial" w:cs="Arial"/>
              </w:rPr>
              <w:t>Q4 Priorities:</w:t>
            </w:r>
          </w:p>
          <w:p w14:paraId="5ACA0780" w14:textId="77777777" w:rsidR="00A82661" w:rsidRPr="003B249B" w:rsidRDefault="00A82661" w:rsidP="00A82661">
            <w:pPr>
              <w:pStyle w:val="ListParagraph"/>
              <w:numPr>
                <w:ilvl w:val="0"/>
                <w:numId w:val="32"/>
              </w:numPr>
              <w:rPr>
                <w:rFonts w:ascii="Arial" w:hAnsi="Arial" w:cs="Arial"/>
                <w:color w:val="FF0000"/>
              </w:rPr>
            </w:pPr>
            <w:r w:rsidRPr="003B249B">
              <w:rPr>
                <w:rFonts w:ascii="Arial" w:hAnsi="Arial" w:cs="Arial"/>
              </w:rPr>
              <w:t xml:space="preserve">COO to COO discussions have taken place on strengthening ACCTS transfer arrangements - to begin in Quarter 4.  </w:t>
            </w:r>
          </w:p>
        </w:tc>
      </w:tr>
      <w:tr w:rsidR="00A82661" w:rsidRPr="00B1166E" w14:paraId="2048591E" w14:textId="77777777" w:rsidTr="00E23F66">
        <w:trPr>
          <w:trHeight w:val="557"/>
        </w:trPr>
        <w:tc>
          <w:tcPr>
            <w:tcW w:w="651" w:type="pct"/>
            <w:shd w:val="clear" w:color="auto" w:fill="B8CCE4" w:themeFill="accent1" w:themeFillTint="66"/>
          </w:tcPr>
          <w:p w14:paraId="5F866479" w14:textId="77777777" w:rsidR="00A82661" w:rsidRPr="00AE0209" w:rsidRDefault="00A82661" w:rsidP="00E23F66">
            <w:pPr>
              <w:jc w:val="center"/>
              <w:rPr>
                <w:rFonts w:ascii="Arial" w:hAnsi="Arial" w:cs="Arial"/>
                <w:b/>
                <w:bCs/>
              </w:rPr>
            </w:pPr>
            <w:r w:rsidRPr="00AE0209">
              <w:rPr>
                <w:rFonts w:ascii="Arial" w:hAnsi="Arial" w:cs="Arial"/>
                <w:b/>
                <w:bCs/>
              </w:rPr>
              <w:t>Current Governance arrangements</w:t>
            </w:r>
          </w:p>
        </w:tc>
        <w:tc>
          <w:tcPr>
            <w:tcW w:w="4349" w:type="pct"/>
            <w:gridSpan w:val="5"/>
            <w:shd w:val="clear" w:color="auto" w:fill="auto"/>
          </w:tcPr>
          <w:p w14:paraId="41C96F0B" w14:textId="77777777" w:rsidR="00A82661" w:rsidRPr="00AE0209" w:rsidRDefault="00A82661" w:rsidP="00E23F66">
            <w:pPr>
              <w:rPr>
                <w:rFonts w:ascii="Arial" w:hAnsi="Arial" w:cs="Arial"/>
                <w:iCs/>
              </w:rPr>
            </w:pPr>
            <w:r w:rsidRPr="00AE0209">
              <w:rPr>
                <w:rFonts w:ascii="Arial" w:hAnsi="Arial" w:cs="Arial"/>
                <w:iCs/>
              </w:rPr>
              <w:t xml:space="preserve">Overall reporting to </w:t>
            </w:r>
            <w:r w:rsidRPr="00AE0209">
              <w:rPr>
                <w:rFonts w:ascii="Arial" w:hAnsi="Arial" w:cs="Arial"/>
                <w:b/>
                <w:iCs/>
              </w:rPr>
              <w:t>Planned Care Board</w:t>
            </w:r>
            <w:r w:rsidRPr="00AE0209">
              <w:rPr>
                <w:rFonts w:ascii="Arial" w:hAnsi="Arial" w:cs="Arial"/>
                <w:iCs/>
              </w:rPr>
              <w:t xml:space="preserve"> </w:t>
            </w:r>
          </w:p>
          <w:p w14:paraId="67B5C0DA" w14:textId="77777777" w:rsidR="00A82661" w:rsidRPr="00AE0209" w:rsidRDefault="00A82661" w:rsidP="00E23F66">
            <w:pPr>
              <w:rPr>
                <w:rFonts w:ascii="Arial" w:hAnsi="Arial" w:cs="Arial"/>
                <w:iCs/>
              </w:rPr>
            </w:pPr>
            <w:r w:rsidRPr="00AE0209">
              <w:rPr>
                <w:rFonts w:ascii="Arial" w:hAnsi="Arial" w:cs="Arial"/>
                <w:b/>
                <w:iCs/>
              </w:rPr>
              <w:t>SRO:</w:t>
            </w:r>
            <w:r w:rsidRPr="00AE0209">
              <w:rPr>
                <w:rFonts w:ascii="Arial" w:hAnsi="Arial" w:cs="Arial"/>
                <w:iCs/>
              </w:rPr>
              <w:t xml:space="preserve"> Deb Lewis</w:t>
            </w:r>
          </w:p>
          <w:p w14:paraId="42B44C74" w14:textId="77777777" w:rsidR="00A82661" w:rsidRPr="00AE0209" w:rsidRDefault="00A82661" w:rsidP="00A82661">
            <w:pPr>
              <w:pStyle w:val="ListParagraph"/>
              <w:numPr>
                <w:ilvl w:val="0"/>
                <w:numId w:val="19"/>
              </w:numPr>
              <w:spacing w:after="0" w:line="240" w:lineRule="auto"/>
              <w:rPr>
                <w:rFonts w:ascii="Arial" w:eastAsiaTheme="minorHAnsi" w:hAnsi="Arial" w:cs="Arial"/>
                <w:sz w:val="22"/>
                <w:szCs w:val="22"/>
              </w:rPr>
            </w:pPr>
            <w:r w:rsidRPr="00AE0209">
              <w:rPr>
                <w:rFonts w:ascii="Arial" w:eastAsiaTheme="minorHAnsi" w:hAnsi="Arial" w:cs="Arial"/>
                <w:iCs/>
                <w:sz w:val="22"/>
                <w:szCs w:val="22"/>
              </w:rPr>
              <w:lastRenderedPageBreak/>
              <w:t>Outpatients Transformation Group – SRO, C</w:t>
            </w:r>
            <w:r>
              <w:rPr>
                <w:rFonts w:ascii="Arial" w:eastAsiaTheme="minorHAnsi" w:hAnsi="Arial" w:cs="Arial"/>
                <w:iCs/>
                <w:sz w:val="22"/>
                <w:szCs w:val="22"/>
              </w:rPr>
              <w:t>eri Gimblett</w:t>
            </w:r>
          </w:p>
          <w:p w14:paraId="19E5CF24" w14:textId="77777777" w:rsidR="00A82661" w:rsidRPr="00AE0209" w:rsidRDefault="00A82661" w:rsidP="00A82661">
            <w:pPr>
              <w:pStyle w:val="ListParagraph"/>
              <w:numPr>
                <w:ilvl w:val="0"/>
                <w:numId w:val="19"/>
              </w:numPr>
              <w:spacing w:after="0" w:line="240" w:lineRule="auto"/>
              <w:rPr>
                <w:rFonts w:ascii="Arial" w:eastAsiaTheme="minorHAnsi" w:hAnsi="Arial" w:cs="Arial"/>
              </w:rPr>
            </w:pPr>
            <w:r w:rsidRPr="00AE0209">
              <w:rPr>
                <w:rFonts w:ascii="Arial" w:eastAsiaTheme="minorHAnsi" w:hAnsi="Arial" w:cs="Arial"/>
                <w:iCs/>
                <w:sz w:val="22"/>
                <w:szCs w:val="22"/>
              </w:rPr>
              <w:t>Surgery and Theatres Group – SRO, C</w:t>
            </w:r>
            <w:r>
              <w:rPr>
                <w:rFonts w:ascii="Arial" w:eastAsiaTheme="minorHAnsi" w:hAnsi="Arial" w:cs="Arial"/>
                <w:iCs/>
                <w:sz w:val="22"/>
                <w:szCs w:val="22"/>
              </w:rPr>
              <w:t>eri Gimblett</w:t>
            </w:r>
          </w:p>
        </w:tc>
      </w:tr>
    </w:tbl>
    <w:p w14:paraId="128FA0DA" w14:textId="77777777" w:rsidR="00A82661" w:rsidRPr="00B1166E" w:rsidRDefault="00A82661" w:rsidP="00A82661">
      <w:pPr>
        <w:rPr>
          <w:rFonts w:ascii="Arial" w:hAnsi="Arial" w:cs="Arial"/>
          <w:color w:val="FF0000"/>
        </w:rPr>
      </w:pPr>
    </w:p>
    <w:p w14:paraId="2B1A9394" w14:textId="77777777" w:rsidR="00A82661" w:rsidRDefault="00A82661" w:rsidP="00A82661">
      <w:pPr>
        <w:rPr>
          <w:rFonts w:ascii="Arial" w:hAnsi="Arial" w:cs="Arial"/>
          <w:b/>
          <w:color w:val="FF0000"/>
        </w:rPr>
      </w:pPr>
    </w:p>
    <w:p w14:paraId="359C5A13" w14:textId="4BFA8C5B" w:rsidR="00A82661" w:rsidRDefault="00A82661">
      <w:pPr>
        <w:spacing w:after="160" w:line="259" w:lineRule="auto"/>
        <w:rPr>
          <w:rFonts w:ascii="Arial" w:hAnsi="Arial" w:cs="Arial"/>
          <w:b/>
          <w:color w:val="FF0000"/>
        </w:rPr>
      </w:pPr>
      <w:r>
        <w:rPr>
          <w:rFonts w:ascii="Arial" w:hAnsi="Arial" w:cs="Arial"/>
          <w:b/>
          <w:color w:val="FF0000"/>
        </w:rPr>
        <w:br w:type="page"/>
      </w:r>
    </w:p>
    <w:p w14:paraId="65E76F39" w14:textId="77777777" w:rsidR="00A82661" w:rsidRDefault="00A82661" w:rsidP="00A82661">
      <w:pPr>
        <w:rPr>
          <w:rFonts w:ascii="Arial" w:hAnsi="Arial" w:cs="Arial"/>
          <w:b/>
          <w:color w:val="FF0000"/>
        </w:rPr>
      </w:pPr>
    </w:p>
    <w:p w14:paraId="4A38656A" w14:textId="77777777" w:rsidR="00A82661" w:rsidRPr="00AE0209" w:rsidRDefault="00A82661" w:rsidP="00A82661">
      <w:pPr>
        <w:rPr>
          <w:rFonts w:ascii="Arial" w:hAnsi="Arial" w:cs="Arial"/>
          <w:b/>
          <w:sz w:val="20"/>
          <w:szCs w:val="20"/>
        </w:rPr>
      </w:pPr>
      <w:r w:rsidRPr="00AE0209">
        <w:rPr>
          <w:rFonts w:ascii="Arial" w:hAnsi="Arial" w:cs="Arial"/>
          <w:b/>
          <w:sz w:val="20"/>
          <w:szCs w:val="20"/>
        </w:rPr>
        <w:t>PRIORITY 3: CANCER RECOVERY</w:t>
      </w:r>
    </w:p>
    <w:tbl>
      <w:tblPr>
        <w:tblStyle w:val="TableGrid1"/>
        <w:tblW w:w="5029" w:type="pct"/>
        <w:tblLook w:val="04A0" w:firstRow="1" w:lastRow="0" w:firstColumn="1" w:lastColumn="0" w:noHBand="0" w:noVBand="1"/>
      </w:tblPr>
      <w:tblGrid>
        <w:gridCol w:w="1856"/>
        <w:gridCol w:w="3220"/>
        <w:gridCol w:w="2913"/>
        <w:gridCol w:w="2615"/>
        <w:gridCol w:w="3733"/>
      </w:tblGrid>
      <w:tr w:rsidR="00A82661" w:rsidRPr="00AE0209" w14:paraId="66447549" w14:textId="77777777" w:rsidTr="00E23F66">
        <w:tc>
          <w:tcPr>
            <w:tcW w:w="647" w:type="pct"/>
            <w:shd w:val="clear" w:color="auto" w:fill="B8CCE4" w:themeFill="accent1" w:themeFillTint="66"/>
          </w:tcPr>
          <w:p w14:paraId="70977D87" w14:textId="77777777" w:rsidR="00A82661" w:rsidRPr="00AE0209" w:rsidRDefault="00A82661" w:rsidP="00E23F66">
            <w:pPr>
              <w:jc w:val="center"/>
              <w:rPr>
                <w:rFonts w:ascii="Arial" w:hAnsi="Arial" w:cs="Arial"/>
                <w:b/>
              </w:rPr>
            </w:pPr>
            <w:r w:rsidRPr="00AE0209">
              <w:rPr>
                <w:rFonts w:ascii="Arial" w:hAnsi="Arial" w:cs="Arial"/>
                <w:b/>
              </w:rPr>
              <w:t>Ministerial Priorities:</w:t>
            </w:r>
          </w:p>
        </w:tc>
        <w:tc>
          <w:tcPr>
            <w:tcW w:w="4342" w:type="pct"/>
            <w:gridSpan w:val="4"/>
            <w:shd w:val="clear" w:color="auto" w:fill="DBE5F1" w:themeFill="accent1" w:themeFillTint="33"/>
          </w:tcPr>
          <w:p w14:paraId="7EB7A511" w14:textId="77777777" w:rsidR="00A82661" w:rsidRPr="00AE0209" w:rsidRDefault="00A82661" w:rsidP="00E23F66">
            <w:pPr>
              <w:rPr>
                <w:rFonts w:ascii="Arial" w:hAnsi="Arial" w:cs="Arial"/>
                <w:b/>
                <w:i/>
                <w:iCs/>
              </w:rPr>
            </w:pPr>
            <w:r w:rsidRPr="00AE0209">
              <w:rPr>
                <w:rFonts w:ascii="Arial" w:hAnsi="Arial" w:cs="Arial"/>
                <w:b/>
              </w:rPr>
              <w:t>Reduction in backlog of patients waiting over 62 days to enable delivery of 75% of patients starting their first definitive cancer treatment 62 days from point of suspicion</w:t>
            </w:r>
          </w:p>
        </w:tc>
      </w:tr>
      <w:tr w:rsidR="00A82661" w:rsidRPr="00AE0209" w14:paraId="58C7E5FB" w14:textId="77777777" w:rsidTr="00E23F66">
        <w:tc>
          <w:tcPr>
            <w:tcW w:w="647" w:type="pct"/>
            <w:shd w:val="clear" w:color="auto" w:fill="B8CCE4" w:themeFill="accent1" w:themeFillTint="66"/>
          </w:tcPr>
          <w:p w14:paraId="6B5451F3" w14:textId="77777777" w:rsidR="00A82661" w:rsidRPr="00AE0209" w:rsidRDefault="00A82661" w:rsidP="00E23F66">
            <w:pPr>
              <w:jc w:val="center"/>
              <w:rPr>
                <w:rFonts w:ascii="Arial" w:hAnsi="Arial" w:cs="Arial"/>
                <w:b/>
                <w:bCs/>
              </w:rPr>
            </w:pPr>
            <w:r w:rsidRPr="00AE0209">
              <w:rPr>
                <w:rFonts w:ascii="Arial" w:hAnsi="Arial" w:cs="Arial"/>
                <w:b/>
                <w:bCs/>
              </w:rPr>
              <w:t>Vision/ Goals</w:t>
            </w:r>
          </w:p>
        </w:tc>
        <w:tc>
          <w:tcPr>
            <w:tcW w:w="4342" w:type="pct"/>
            <w:gridSpan w:val="4"/>
            <w:shd w:val="clear" w:color="auto" w:fill="auto"/>
          </w:tcPr>
          <w:p w14:paraId="1CD8CEB7" w14:textId="77777777" w:rsidR="00A82661" w:rsidRPr="00AE0209" w:rsidRDefault="00A82661" w:rsidP="00E23F66">
            <w:pPr>
              <w:rPr>
                <w:rFonts w:ascii="Arial" w:hAnsi="Arial" w:cs="Arial"/>
                <w:b/>
              </w:rPr>
            </w:pPr>
            <w:r w:rsidRPr="00AE0209">
              <w:rPr>
                <w:rFonts w:ascii="Arial" w:hAnsi="Arial" w:cs="Arial"/>
                <w:b/>
                <w:bCs/>
              </w:rPr>
              <w:t xml:space="preserve">Reduce cancer backlog (patients waiting &gt;62 days for first definitive cancer </w:t>
            </w:r>
            <w:proofErr w:type="spellStart"/>
            <w:r w:rsidRPr="00AE0209">
              <w:rPr>
                <w:rFonts w:ascii="Arial" w:hAnsi="Arial" w:cs="Arial"/>
                <w:b/>
                <w:bCs/>
              </w:rPr>
              <w:t>tx</w:t>
            </w:r>
            <w:proofErr w:type="spellEnd"/>
            <w:r w:rsidRPr="00AE0209">
              <w:rPr>
                <w:rFonts w:ascii="Arial" w:hAnsi="Arial" w:cs="Arial"/>
                <w:b/>
                <w:bCs/>
              </w:rPr>
              <w:t xml:space="preserve"> from point of suspicion) and improve performance against Single Cancer Pathway (%patients starting </w:t>
            </w:r>
            <w:r w:rsidRPr="00AE0209">
              <w:rPr>
                <w:rFonts w:ascii="Arial" w:hAnsi="Arial" w:cs="Arial"/>
                <w:b/>
              </w:rPr>
              <w:t xml:space="preserve">first definitive cancer treatment 62 days from point of suspicion). </w:t>
            </w:r>
          </w:p>
          <w:p w14:paraId="447F0AA3" w14:textId="77777777" w:rsidR="00A82661" w:rsidRPr="00AE0209" w:rsidRDefault="00A82661" w:rsidP="00E23F66">
            <w:pPr>
              <w:rPr>
                <w:rFonts w:ascii="Arial" w:hAnsi="Arial" w:cs="Arial"/>
                <w:b/>
              </w:rPr>
            </w:pPr>
            <w:r w:rsidRPr="00AE0209">
              <w:rPr>
                <w:rFonts w:ascii="Arial" w:hAnsi="Arial" w:cs="Arial"/>
                <w:b/>
              </w:rPr>
              <w:t>The impact of specific actions as set out in Cancer Recovery Plans for tumour sites are focused on addressing demand and capacity issues in pathways.</w:t>
            </w:r>
          </w:p>
        </w:tc>
      </w:tr>
      <w:tr w:rsidR="00A82661" w:rsidRPr="00AE0209" w14:paraId="7778E08F" w14:textId="77777777" w:rsidTr="00E23F66">
        <w:tc>
          <w:tcPr>
            <w:tcW w:w="647" w:type="pct"/>
            <w:shd w:val="clear" w:color="auto" w:fill="B8CCE4" w:themeFill="accent1" w:themeFillTint="66"/>
          </w:tcPr>
          <w:p w14:paraId="07CEB510" w14:textId="77777777" w:rsidR="00A82661" w:rsidRPr="00AE0209" w:rsidRDefault="00A82661" w:rsidP="00E23F66">
            <w:pPr>
              <w:jc w:val="center"/>
              <w:rPr>
                <w:rFonts w:ascii="Arial" w:hAnsi="Arial" w:cs="Arial"/>
                <w:b/>
                <w:bCs/>
              </w:rPr>
            </w:pPr>
            <w:r w:rsidRPr="00AE0209">
              <w:rPr>
                <w:rFonts w:ascii="Arial" w:hAnsi="Arial" w:cs="Arial"/>
                <w:b/>
                <w:bCs/>
              </w:rPr>
              <w:t>GMO ref:</w:t>
            </w:r>
          </w:p>
        </w:tc>
        <w:tc>
          <w:tcPr>
            <w:tcW w:w="4342" w:type="pct"/>
            <w:gridSpan w:val="4"/>
            <w:shd w:val="clear" w:color="auto" w:fill="DBE5F1" w:themeFill="accent1" w:themeFillTint="33"/>
          </w:tcPr>
          <w:p w14:paraId="2004E95A" w14:textId="77777777" w:rsidR="00A82661" w:rsidRPr="00AE0209" w:rsidRDefault="00A82661" w:rsidP="00E23F66">
            <w:pPr>
              <w:jc w:val="center"/>
              <w:rPr>
                <w:rFonts w:ascii="Arial" w:hAnsi="Arial" w:cs="Arial"/>
                <w:b/>
                <w:iCs/>
              </w:rPr>
            </w:pPr>
            <w:r w:rsidRPr="00AE0209">
              <w:rPr>
                <w:rFonts w:ascii="Arial" w:hAnsi="Arial" w:cs="Arial"/>
                <w:b/>
                <w:iCs/>
              </w:rPr>
              <w:t>Methods/ Actions to deliver Ministerial Priorities</w:t>
            </w:r>
          </w:p>
        </w:tc>
      </w:tr>
      <w:tr w:rsidR="00A82661" w:rsidRPr="00AE0209" w14:paraId="77965D9F" w14:textId="77777777" w:rsidTr="00E23F66">
        <w:tc>
          <w:tcPr>
            <w:tcW w:w="647" w:type="pct"/>
            <w:shd w:val="clear" w:color="auto" w:fill="B8CCE4" w:themeFill="accent1" w:themeFillTint="66"/>
          </w:tcPr>
          <w:p w14:paraId="734BB6FF" w14:textId="77777777" w:rsidR="00A82661" w:rsidRPr="00AE0209" w:rsidRDefault="00A82661" w:rsidP="00E23F66">
            <w:pPr>
              <w:jc w:val="center"/>
              <w:rPr>
                <w:rFonts w:ascii="Arial" w:hAnsi="Arial" w:cs="Arial"/>
                <w:b/>
                <w:bCs/>
              </w:rPr>
            </w:pPr>
            <w:r w:rsidRPr="00AE0209">
              <w:rPr>
                <w:rFonts w:ascii="Arial" w:hAnsi="Arial" w:cs="Arial"/>
                <w:b/>
                <w:bCs/>
              </w:rPr>
              <w:t>Cancer Recovery Plans 23/24</w:t>
            </w:r>
          </w:p>
        </w:tc>
        <w:tc>
          <w:tcPr>
            <w:tcW w:w="4342" w:type="pct"/>
            <w:gridSpan w:val="4"/>
            <w:shd w:val="clear" w:color="auto" w:fill="auto"/>
          </w:tcPr>
          <w:p w14:paraId="3AB847F4" w14:textId="77777777" w:rsidR="00A82661" w:rsidRPr="00AE0209" w:rsidRDefault="00A82661" w:rsidP="00E23F66">
            <w:pPr>
              <w:rPr>
                <w:rFonts w:ascii="Arial" w:hAnsi="Arial" w:cs="Arial"/>
                <w:bCs/>
              </w:rPr>
            </w:pPr>
            <w:r w:rsidRPr="00AE0209">
              <w:rPr>
                <w:rFonts w:ascii="Arial" w:hAnsi="Arial" w:cs="Arial"/>
                <w:bCs/>
              </w:rPr>
              <w:t xml:space="preserve">Deliver recovery plans that are in place for highest volume/ most problematics tumour sites and areas where pathways are under review, namely: </w:t>
            </w:r>
          </w:p>
          <w:p w14:paraId="4AAD2419" w14:textId="77777777" w:rsidR="00A82661" w:rsidRPr="00AE0209" w:rsidRDefault="00A82661" w:rsidP="00A82661">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Lower GI</w:t>
            </w:r>
          </w:p>
          <w:p w14:paraId="6F4E9F5B" w14:textId="77777777" w:rsidR="00A82661" w:rsidRPr="00AE0209" w:rsidRDefault="00A82661" w:rsidP="00A82661">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Breast</w:t>
            </w:r>
          </w:p>
          <w:p w14:paraId="364462D1" w14:textId="77777777" w:rsidR="00A82661" w:rsidRPr="00AE0209" w:rsidRDefault="00A82661" w:rsidP="00A82661">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Gynae</w:t>
            </w:r>
          </w:p>
          <w:p w14:paraId="788FB008" w14:textId="77777777" w:rsidR="00A82661" w:rsidRPr="00AE0209" w:rsidRDefault="00A82661" w:rsidP="00A82661">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Urology</w:t>
            </w:r>
          </w:p>
          <w:p w14:paraId="3B612761" w14:textId="77777777" w:rsidR="00A82661" w:rsidRPr="00AE0209" w:rsidRDefault="00A82661" w:rsidP="00A82661">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Lung</w:t>
            </w:r>
          </w:p>
          <w:p w14:paraId="1930937A" w14:textId="77777777" w:rsidR="00A82661" w:rsidRPr="00AE0209" w:rsidRDefault="00A82661" w:rsidP="00A82661">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Endoscopy</w:t>
            </w:r>
          </w:p>
        </w:tc>
      </w:tr>
      <w:tr w:rsidR="00A82661" w:rsidRPr="00AE0209" w14:paraId="43E1CB77" w14:textId="77777777" w:rsidTr="00E23F66">
        <w:trPr>
          <w:trHeight w:val="193"/>
        </w:trPr>
        <w:tc>
          <w:tcPr>
            <w:tcW w:w="647" w:type="pct"/>
            <w:vMerge w:val="restart"/>
            <w:shd w:val="clear" w:color="auto" w:fill="B8CCE4" w:themeFill="accent1" w:themeFillTint="66"/>
          </w:tcPr>
          <w:p w14:paraId="5E92A6B4" w14:textId="77777777" w:rsidR="00A82661" w:rsidRPr="00AE0209" w:rsidRDefault="00A82661" w:rsidP="00E23F66">
            <w:pPr>
              <w:jc w:val="center"/>
              <w:rPr>
                <w:rFonts w:ascii="Arial" w:hAnsi="Arial" w:cs="Arial"/>
                <w:b/>
                <w:bCs/>
              </w:rPr>
            </w:pPr>
            <w:r w:rsidRPr="00AE0209">
              <w:rPr>
                <w:rFonts w:ascii="Arial" w:hAnsi="Arial" w:cs="Arial"/>
                <w:b/>
                <w:bCs/>
              </w:rPr>
              <w:t>GMO ref:</w:t>
            </w:r>
          </w:p>
        </w:tc>
        <w:tc>
          <w:tcPr>
            <w:tcW w:w="4342" w:type="pct"/>
            <w:gridSpan w:val="4"/>
            <w:shd w:val="clear" w:color="auto" w:fill="DBE5F1" w:themeFill="accent1" w:themeFillTint="33"/>
          </w:tcPr>
          <w:p w14:paraId="3B1230AA" w14:textId="77777777" w:rsidR="00A82661" w:rsidRPr="00AE0209" w:rsidRDefault="00A82661" w:rsidP="00E23F66">
            <w:pPr>
              <w:jc w:val="center"/>
              <w:rPr>
                <w:rFonts w:ascii="Arial" w:hAnsi="Arial" w:cs="Arial"/>
                <w:b/>
                <w:bCs/>
              </w:rPr>
            </w:pPr>
            <w:r w:rsidRPr="00AE0209">
              <w:rPr>
                <w:rFonts w:ascii="Arial" w:hAnsi="Arial" w:cs="Arial"/>
                <w:b/>
                <w:bCs/>
              </w:rPr>
              <w:t xml:space="preserve">Milestones 23/24: </w:t>
            </w:r>
          </w:p>
        </w:tc>
      </w:tr>
      <w:tr w:rsidR="00A82661" w:rsidRPr="00AE0209" w14:paraId="3011AC4C" w14:textId="77777777" w:rsidTr="00E23F66">
        <w:tc>
          <w:tcPr>
            <w:tcW w:w="647" w:type="pct"/>
            <w:vMerge/>
            <w:shd w:val="clear" w:color="auto" w:fill="B8CCE4" w:themeFill="accent1" w:themeFillTint="66"/>
          </w:tcPr>
          <w:p w14:paraId="484768AD" w14:textId="77777777" w:rsidR="00A82661" w:rsidRPr="00AE0209" w:rsidRDefault="00A82661" w:rsidP="00E23F66">
            <w:pPr>
              <w:jc w:val="center"/>
              <w:rPr>
                <w:rFonts w:ascii="Arial" w:hAnsi="Arial" w:cs="Arial"/>
                <w:bCs/>
              </w:rPr>
            </w:pPr>
          </w:p>
        </w:tc>
        <w:tc>
          <w:tcPr>
            <w:tcW w:w="1119" w:type="pct"/>
            <w:shd w:val="clear" w:color="auto" w:fill="DBE5F1" w:themeFill="accent1" w:themeFillTint="33"/>
          </w:tcPr>
          <w:p w14:paraId="76878385" w14:textId="77777777" w:rsidR="00A82661" w:rsidRPr="00AE0209" w:rsidRDefault="00A82661" w:rsidP="00E23F66">
            <w:pPr>
              <w:jc w:val="center"/>
              <w:rPr>
                <w:rFonts w:ascii="Arial" w:hAnsi="Arial" w:cs="Arial"/>
                <w:b/>
                <w:bCs/>
              </w:rPr>
            </w:pPr>
            <w:r w:rsidRPr="00AE0209">
              <w:rPr>
                <w:rFonts w:ascii="Arial" w:hAnsi="Arial" w:cs="Arial"/>
                <w:b/>
                <w:bCs/>
              </w:rPr>
              <w:t>Quarter 1</w:t>
            </w:r>
          </w:p>
        </w:tc>
        <w:tc>
          <w:tcPr>
            <w:tcW w:w="1016" w:type="pct"/>
            <w:shd w:val="clear" w:color="auto" w:fill="DBE5F1" w:themeFill="accent1" w:themeFillTint="33"/>
          </w:tcPr>
          <w:p w14:paraId="47CD7AE1" w14:textId="77777777" w:rsidR="00A82661" w:rsidRPr="00AE0209" w:rsidRDefault="00A82661" w:rsidP="00E23F66">
            <w:pPr>
              <w:jc w:val="center"/>
              <w:rPr>
                <w:rFonts w:ascii="Arial" w:hAnsi="Arial" w:cs="Arial"/>
              </w:rPr>
            </w:pPr>
            <w:r w:rsidRPr="00AE0209">
              <w:rPr>
                <w:rFonts w:ascii="Arial" w:hAnsi="Arial" w:cs="Arial"/>
                <w:b/>
                <w:bCs/>
              </w:rPr>
              <w:t>Quarter 2</w:t>
            </w:r>
          </w:p>
        </w:tc>
        <w:tc>
          <w:tcPr>
            <w:tcW w:w="912" w:type="pct"/>
            <w:shd w:val="clear" w:color="auto" w:fill="DBE5F1" w:themeFill="accent1" w:themeFillTint="33"/>
          </w:tcPr>
          <w:p w14:paraId="30EFE36E" w14:textId="77777777" w:rsidR="00A82661" w:rsidRPr="00AE0209" w:rsidRDefault="00A82661" w:rsidP="00E23F66">
            <w:pPr>
              <w:jc w:val="center"/>
              <w:rPr>
                <w:rFonts w:ascii="Arial" w:hAnsi="Arial" w:cs="Arial"/>
              </w:rPr>
            </w:pPr>
            <w:r w:rsidRPr="00AE0209">
              <w:rPr>
                <w:rFonts w:ascii="Arial" w:hAnsi="Arial" w:cs="Arial"/>
                <w:b/>
                <w:bCs/>
              </w:rPr>
              <w:t>Quarter 3</w:t>
            </w:r>
          </w:p>
        </w:tc>
        <w:tc>
          <w:tcPr>
            <w:tcW w:w="1295" w:type="pct"/>
            <w:shd w:val="clear" w:color="auto" w:fill="DBE5F1" w:themeFill="accent1" w:themeFillTint="33"/>
          </w:tcPr>
          <w:p w14:paraId="7DF4B6B1" w14:textId="77777777" w:rsidR="00A82661" w:rsidRPr="00AE0209" w:rsidRDefault="00A82661" w:rsidP="00E23F66">
            <w:pPr>
              <w:jc w:val="center"/>
              <w:rPr>
                <w:rFonts w:ascii="Arial" w:hAnsi="Arial" w:cs="Arial"/>
              </w:rPr>
            </w:pPr>
            <w:r w:rsidRPr="00AE0209">
              <w:rPr>
                <w:rFonts w:ascii="Arial" w:hAnsi="Arial" w:cs="Arial"/>
                <w:b/>
                <w:bCs/>
              </w:rPr>
              <w:t>Quarter 4</w:t>
            </w:r>
          </w:p>
        </w:tc>
      </w:tr>
      <w:tr w:rsidR="00A82661" w:rsidRPr="00AE0209" w14:paraId="47562BDC" w14:textId="77777777" w:rsidTr="00E23F66">
        <w:tc>
          <w:tcPr>
            <w:tcW w:w="647" w:type="pct"/>
            <w:vMerge w:val="restart"/>
            <w:shd w:val="clear" w:color="auto" w:fill="B8CCE4" w:themeFill="accent1" w:themeFillTint="66"/>
          </w:tcPr>
          <w:p w14:paraId="310BAD29" w14:textId="77777777" w:rsidR="00A82661" w:rsidRPr="00AE0209" w:rsidRDefault="00A82661" w:rsidP="00E23F66">
            <w:pPr>
              <w:rPr>
                <w:rFonts w:ascii="Arial" w:hAnsi="Arial" w:cs="Arial"/>
                <w:b/>
              </w:rPr>
            </w:pPr>
            <w:r w:rsidRPr="00AE0209">
              <w:rPr>
                <w:rFonts w:ascii="Arial" w:hAnsi="Arial" w:cs="Arial"/>
                <w:b/>
              </w:rPr>
              <w:t>Cancer Recovery Plans 23/24:</w:t>
            </w:r>
          </w:p>
          <w:p w14:paraId="27FED7A9" w14:textId="77777777" w:rsidR="00A82661" w:rsidRPr="00AE0209" w:rsidRDefault="00A82661" w:rsidP="00E23F66">
            <w:pPr>
              <w:spacing w:after="0" w:line="240" w:lineRule="auto"/>
              <w:rPr>
                <w:rFonts w:ascii="Arial" w:hAnsi="Arial" w:cs="Arial"/>
                <w:b/>
              </w:rPr>
            </w:pPr>
            <w:r w:rsidRPr="00AE0209">
              <w:rPr>
                <w:rFonts w:ascii="Arial" w:hAnsi="Arial" w:cs="Arial"/>
                <w:b/>
              </w:rPr>
              <w:t>Lower GI</w:t>
            </w:r>
          </w:p>
        </w:tc>
        <w:tc>
          <w:tcPr>
            <w:tcW w:w="1119" w:type="pct"/>
            <w:shd w:val="clear" w:color="auto" w:fill="00B050"/>
          </w:tcPr>
          <w:p w14:paraId="76A43918" w14:textId="77777777" w:rsidR="00A82661" w:rsidRPr="00AE0209" w:rsidRDefault="00A82661" w:rsidP="00E23F66">
            <w:pPr>
              <w:pStyle w:val="Default"/>
              <w:rPr>
                <w:color w:val="auto"/>
                <w:sz w:val="20"/>
                <w:szCs w:val="20"/>
              </w:rPr>
            </w:pPr>
            <w:r w:rsidRPr="00AE0209">
              <w:rPr>
                <w:color w:val="auto"/>
                <w:sz w:val="20"/>
                <w:szCs w:val="20"/>
              </w:rPr>
              <w:t xml:space="preserve">Expand Rapid Diagnostic Clinic (RDC) to include patients referred as SCP. </w:t>
            </w:r>
          </w:p>
        </w:tc>
        <w:tc>
          <w:tcPr>
            <w:tcW w:w="1016" w:type="pct"/>
            <w:shd w:val="clear" w:color="auto" w:fill="00B050"/>
          </w:tcPr>
          <w:p w14:paraId="152F5198" w14:textId="77777777" w:rsidR="00A82661" w:rsidRPr="00AE0209" w:rsidRDefault="00A82661" w:rsidP="00E23F66">
            <w:pPr>
              <w:rPr>
                <w:rFonts w:ascii="Arial" w:hAnsi="Arial" w:cs="Arial"/>
              </w:rPr>
            </w:pPr>
            <w:r w:rsidRPr="00AE0209">
              <w:rPr>
                <w:rFonts w:ascii="Arial" w:hAnsi="Arial" w:cs="Arial"/>
                <w:b/>
              </w:rPr>
              <w:t>Working with University colleagues to capture the data from the ongoing 2 year Moondance project to support the expansion of the RDC ethos and capacity across the Health Board</w:t>
            </w:r>
            <w:r w:rsidRPr="00AE0209">
              <w:rPr>
                <w:rFonts w:ascii="Arial" w:hAnsi="Arial" w:cs="Arial"/>
              </w:rPr>
              <w:t>.</w:t>
            </w:r>
          </w:p>
        </w:tc>
        <w:tc>
          <w:tcPr>
            <w:tcW w:w="912" w:type="pct"/>
            <w:shd w:val="clear" w:color="auto" w:fill="00B050"/>
          </w:tcPr>
          <w:p w14:paraId="535A0212" w14:textId="77777777" w:rsidR="00A82661" w:rsidRDefault="00A82661" w:rsidP="00E23F66">
            <w:pPr>
              <w:rPr>
                <w:rFonts w:ascii="Arial" w:hAnsi="Arial" w:cs="Arial"/>
              </w:rPr>
            </w:pPr>
            <w:r>
              <w:rPr>
                <w:rFonts w:ascii="Arial" w:hAnsi="Arial" w:cs="Arial"/>
              </w:rPr>
              <w:t>Submit business case to HB for agreement on sustainable funding for expanded RDC (from 24/25)</w:t>
            </w:r>
          </w:p>
          <w:p w14:paraId="3F0E3BD0" w14:textId="77777777" w:rsidR="00A82661" w:rsidRDefault="00A82661" w:rsidP="00E23F66">
            <w:pPr>
              <w:rPr>
                <w:rFonts w:ascii="Arial" w:hAnsi="Arial" w:cs="Arial"/>
              </w:rPr>
            </w:pPr>
          </w:p>
          <w:p w14:paraId="20197B26" w14:textId="77777777" w:rsidR="00A82661" w:rsidRPr="005A1EED" w:rsidRDefault="00A82661" w:rsidP="00E23F66">
            <w:pPr>
              <w:rPr>
                <w:rFonts w:ascii="Arial" w:hAnsi="Arial" w:cs="Arial"/>
                <w:b/>
                <w:bCs/>
              </w:rPr>
            </w:pPr>
            <w:r w:rsidRPr="005A1EED">
              <w:rPr>
                <w:rFonts w:ascii="Arial" w:hAnsi="Arial" w:cs="Arial"/>
                <w:b/>
                <w:bCs/>
              </w:rPr>
              <w:lastRenderedPageBreak/>
              <w:t>BC for BCAG approval 30th Jan (delayed from Dec due to quoracy)</w:t>
            </w:r>
          </w:p>
        </w:tc>
        <w:tc>
          <w:tcPr>
            <w:tcW w:w="1295" w:type="pct"/>
            <w:shd w:val="clear" w:color="auto" w:fill="auto"/>
          </w:tcPr>
          <w:p w14:paraId="0C961974" w14:textId="77777777" w:rsidR="00A82661" w:rsidRDefault="00A82661" w:rsidP="00E23F66">
            <w:pPr>
              <w:rPr>
                <w:rFonts w:ascii="Arial" w:hAnsi="Arial" w:cs="Arial"/>
              </w:rPr>
            </w:pPr>
            <w:r>
              <w:rPr>
                <w:rFonts w:ascii="Arial" w:hAnsi="Arial" w:cs="Arial"/>
              </w:rPr>
              <w:lastRenderedPageBreak/>
              <w:t>Q4 Priorities:</w:t>
            </w:r>
          </w:p>
          <w:p w14:paraId="755B36E7" w14:textId="77777777" w:rsidR="00A82661" w:rsidRPr="00DF20DB" w:rsidRDefault="00A82661" w:rsidP="00A82661">
            <w:pPr>
              <w:pStyle w:val="ListParagraph"/>
              <w:numPr>
                <w:ilvl w:val="0"/>
                <w:numId w:val="17"/>
              </w:numPr>
              <w:rPr>
                <w:rFonts w:ascii="Arial" w:hAnsi="Arial" w:cs="Arial"/>
              </w:rPr>
            </w:pPr>
            <w:r>
              <w:rPr>
                <w:rFonts w:ascii="Arial" w:hAnsi="Arial" w:cs="Arial"/>
              </w:rPr>
              <w:t>Secure funding for sustainable services in line with Annual Plan 24/25 process</w:t>
            </w:r>
          </w:p>
        </w:tc>
      </w:tr>
      <w:tr w:rsidR="00A82661" w:rsidRPr="00AE0209" w14:paraId="69CF25EF" w14:textId="77777777" w:rsidTr="00E23F66">
        <w:tc>
          <w:tcPr>
            <w:tcW w:w="647" w:type="pct"/>
            <w:vMerge/>
            <w:shd w:val="clear" w:color="auto" w:fill="B8CCE4" w:themeFill="accent1" w:themeFillTint="66"/>
          </w:tcPr>
          <w:p w14:paraId="4FDD7F26" w14:textId="77777777" w:rsidR="00A82661" w:rsidRPr="00AE0209" w:rsidRDefault="00A82661" w:rsidP="00E23F66">
            <w:pPr>
              <w:spacing w:after="0" w:line="240" w:lineRule="auto"/>
              <w:jc w:val="center"/>
              <w:rPr>
                <w:rFonts w:ascii="Arial" w:hAnsi="Arial" w:cs="Arial"/>
                <w:b/>
              </w:rPr>
            </w:pPr>
          </w:p>
        </w:tc>
        <w:tc>
          <w:tcPr>
            <w:tcW w:w="1123" w:type="pct"/>
            <w:shd w:val="clear" w:color="auto" w:fill="00B050"/>
          </w:tcPr>
          <w:p w14:paraId="7F63A1AD" w14:textId="77777777" w:rsidR="00A82661" w:rsidRPr="003C664F" w:rsidRDefault="00A82661" w:rsidP="00E23F66">
            <w:pPr>
              <w:spacing w:after="0" w:line="240" w:lineRule="auto"/>
              <w:rPr>
                <w:rFonts w:ascii="Arial" w:hAnsi="Arial" w:cs="Arial"/>
                <w:b/>
              </w:rPr>
            </w:pPr>
            <w:r w:rsidRPr="003C664F">
              <w:rPr>
                <w:rFonts w:ascii="Arial" w:hAnsi="Arial" w:cs="Arial"/>
                <w:b/>
              </w:rPr>
              <w:t>Increased operating capacity at both Morriston and Singleton</w:t>
            </w:r>
          </w:p>
        </w:tc>
        <w:tc>
          <w:tcPr>
            <w:tcW w:w="1012" w:type="pct"/>
            <w:shd w:val="clear" w:color="auto" w:fill="00B050"/>
          </w:tcPr>
          <w:p w14:paraId="2C3E77FD" w14:textId="77777777" w:rsidR="00A82661" w:rsidRPr="003C664F" w:rsidRDefault="00A82661" w:rsidP="00E23F66">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Established task and finish group to advance progress with the</w:t>
            </w:r>
          </w:p>
          <w:p w14:paraId="738DEE69" w14:textId="77777777" w:rsidR="00A82661" w:rsidRPr="003C664F" w:rsidRDefault="00A82661" w:rsidP="00E23F66">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accelerated diagnostics project/pilot - includes pathology</w:t>
            </w:r>
          </w:p>
          <w:p w14:paraId="2700399E" w14:textId="77777777" w:rsidR="00A82661" w:rsidRPr="003C664F" w:rsidRDefault="00A82661" w:rsidP="00E23F66">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services in scope, in order to align both imaging and biopsy results, ensuring</w:t>
            </w:r>
          </w:p>
          <w:p w14:paraId="4EAF2575" w14:textId="77777777" w:rsidR="00A82661" w:rsidRPr="003C664F" w:rsidRDefault="00A82661" w:rsidP="00E23F66">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prompt discussion at MDT, streamlining the diagnostic phase.</w:t>
            </w:r>
          </w:p>
          <w:p w14:paraId="303CE926" w14:textId="77777777" w:rsidR="00A82661" w:rsidRPr="003C664F" w:rsidRDefault="00A82661" w:rsidP="00E23F66">
            <w:pPr>
              <w:rPr>
                <w:rFonts w:ascii="Arial" w:hAnsi="Arial" w:cs="Arial"/>
                <w:b/>
              </w:rPr>
            </w:pPr>
          </w:p>
        </w:tc>
        <w:tc>
          <w:tcPr>
            <w:tcW w:w="912" w:type="pct"/>
            <w:vMerge w:val="restart"/>
            <w:shd w:val="clear" w:color="auto" w:fill="00B050"/>
          </w:tcPr>
          <w:p w14:paraId="2BC92302" w14:textId="77777777" w:rsidR="00A82661" w:rsidRPr="003C664F" w:rsidRDefault="00A82661" w:rsidP="00E23F66">
            <w:pPr>
              <w:autoSpaceDE w:val="0"/>
              <w:autoSpaceDN w:val="0"/>
              <w:adjustRightInd w:val="0"/>
              <w:spacing w:after="0" w:line="240" w:lineRule="auto"/>
              <w:rPr>
                <w:rFonts w:ascii="Arial" w:eastAsiaTheme="minorHAnsi" w:hAnsi="Arial" w:cs="Arial"/>
              </w:rPr>
            </w:pPr>
            <w:r w:rsidRPr="003C664F">
              <w:rPr>
                <w:rFonts w:ascii="Arial" w:eastAsiaTheme="minorHAnsi" w:hAnsi="Arial" w:cs="Arial"/>
              </w:rPr>
              <w:t>Conclude initial work on LGI Pathway mapping exercise by Amgen at end of Oct. Arrange workshop to discuss findings; consider and</w:t>
            </w:r>
          </w:p>
          <w:p w14:paraId="5E50D326" w14:textId="77777777" w:rsidR="00A82661" w:rsidRDefault="00A82661" w:rsidP="00E23F66">
            <w:pPr>
              <w:rPr>
                <w:rFonts w:ascii="Arial" w:eastAsiaTheme="minorHAnsi" w:hAnsi="Arial" w:cs="Arial"/>
              </w:rPr>
            </w:pPr>
            <w:r w:rsidRPr="003C664F">
              <w:rPr>
                <w:rFonts w:ascii="Arial" w:eastAsiaTheme="minorHAnsi" w:hAnsi="Arial" w:cs="Arial"/>
              </w:rPr>
              <w:t>prioritise actions for improvement.</w:t>
            </w:r>
          </w:p>
          <w:p w14:paraId="5DC14753" w14:textId="77777777" w:rsidR="00A82661" w:rsidRPr="00F600EB" w:rsidRDefault="00A82661" w:rsidP="00A82661">
            <w:pPr>
              <w:pStyle w:val="ListParagraph"/>
              <w:numPr>
                <w:ilvl w:val="0"/>
                <w:numId w:val="17"/>
              </w:numPr>
              <w:rPr>
                <w:rFonts w:ascii="Arial" w:hAnsi="Arial" w:cs="Arial"/>
                <w:sz w:val="22"/>
                <w:szCs w:val="22"/>
              </w:rPr>
            </w:pPr>
            <w:r w:rsidRPr="00F600EB">
              <w:rPr>
                <w:rStyle w:val="ui-provider"/>
                <w:rFonts w:ascii="Arial" w:hAnsi="Arial" w:cs="Arial"/>
                <w:sz w:val="22"/>
                <w:szCs w:val="22"/>
              </w:rPr>
              <w:t>Commence accelerated diagnostic pathway – initial success has been shown</w:t>
            </w:r>
          </w:p>
        </w:tc>
        <w:tc>
          <w:tcPr>
            <w:tcW w:w="1306" w:type="pct"/>
            <w:vMerge w:val="restart"/>
            <w:shd w:val="clear" w:color="auto" w:fill="auto"/>
          </w:tcPr>
          <w:p w14:paraId="5ADA11EB" w14:textId="77777777" w:rsidR="00A82661" w:rsidRDefault="00A82661" w:rsidP="00E23F66">
            <w:pPr>
              <w:rPr>
                <w:rFonts w:ascii="Arial" w:hAnsi="Arial" w:cs="Arial"/>
              </w:rPr>
            </w:pPr>
            <w:r>
              <w:rPr>
                <w:rFonts w:ascii="Arial" w:hAnsi="Arial" w:cs="Arial"/>
              </w:rPr>
              <w:t>Q4 Priorities:</w:t>
            </w:r>
          </w:p>
          <w:p w14:paraId="7AEE4B3F" w14:textId="77777777" w:rsidR="00A82661" w:rsidRDefault="00A82661" w:rsidP="00A82661">
            <w:pPr>
              <w:pStyle w:val="ListParagraph"/>
              <w:numPr>
                <w:ilvl w:val="0"/>
                <w:numId w:val="17"/>
              </w:numPr>
              <w:rPr>
                <w:rFonts w:ascii="Arial" w:hAnsi="Arial" w:cs="Arial"/>
              </w:rPr>
            </w:pPr>
            <w:r>
              <w:rPr>
                <w:rFonts w:ascii="Arial" w:hAnsi="Arial" w:cs="Arial"/>
              </w:rPr>
              <w:t>Finalise action plan for improvement.</w:t>
            </w:r>
          </w:p>
          <w:p w14:paraId="22C998CA" w14:textId="77777777" w:rsidR="00A82661" w:rsidRPr="00F600EB" w:rsidRDefault="00A82661" w:rsidP="00A82661">
            <w:pPr>
              <w:pStyle w:val="ListParagraph"/>
              <w:numPr>
                <w:ilvl w:val="0"/>
                <w:numId w:val="17"/>
              </w:numPr>
              <w:rPr>
                <w:rFonts w:ascii="Arial" w:hAnsi="Arial" w:cs="Arial"/>
                <w:sz w:val="22"/>
                <w:szCs w:val="22"/>
              </w:rPr>
            </w:pPr>
            <w:r>
              <w:rPr>
                <w:rStyle w:val="ui-provider"/>
                <w:rFonts w:ascii="Arial" w:hAnsi="Arial" w:cs="Arial"/>
                <w:sz w:val="22"/>
                <w:szCs w:val="22"/>
              </w:rPr>
              <w:t xml:space="preserve">Accelerated Diagnostic Pathway </w:t>
            </w:r>
            <w:r w:rsidRPr="00F600EB">
              <w:rPr>
                <w:rStyle w:val="ui-provider"/>
                <w:rFonts w:ascii="Arial" w:hAnsi="Arial" w:cs="Arial"/>
                <w:sz w:val="22"/>
                <w:szCs w:val="22"/>
              </w:rPr>
              <w:t xml:space="preserve">Audit </w:t>
            </w:r>
            <w:r>
              <w:rPr>
                <w:rStyle w:val="ui-provider"/>
                <w:rFonts w:ascii="Arial" w:hAnsi="Arial" w:cs="Arial"/>
                <w:sz w:val="22"/>
                <w:szCs w:val="22"/>
              </w:rPr>
              <w:t>to be completed</w:t>
            </w:r>
          </w:p>
          <w:p w14:paraId="2AF73C40" w14:textId="77777777" w:rsidR="00A82661" w:rsidRPr="00AE0209" w:rsidRDefault="00A82661" w:rsidP="00E23F66">
            <w:pPr>
              <w:rPr>
                <w:rFonts w:ascii="Arial" w:hAnsi="Arial" w:cs="Arial"/>
              </w:rPr>
            </w:pPr>
          </w:p>
        </w:tc>
      </w:tr>
      <w:tr w:rsidR="00A82661" w:rsidRPr="00AE0209" w14:paraId="1C5E900E" w14:textId="77777777" w:rsidTr="00E23F66">
        <w:trPr>
          <w:trHeight w:val="564"/>
        </w:trPr>
        <w:tc>
          <w:tcPr>
            <w:tcW w:w="647" w:type="pct"/>
            <w:vMerge/>
            <w:shd w:val="clear" w:color="auto" w:fill="B8CCE4" w:themeFill="accent1" w:themeFillTint="66"/>
          </w:tcPr>
          <w:p w14:paraId="4AEF34FD" w14:textId="77777777" w:rsidR="00A82661" w:rsidRPr="00AE0209" w:rsidRDefault="00A82661" w:rsidP="00E23F66">
            <w:pPr>
              <w:spacing w:after="0" w:line="240" w:lineRule="auto"/>
              <w:jc w:val="center"/>
              <w:rPr>
                <w:rFonts w:ascii="Arial" w:hAnsi="Arial" w:cs="Arial"/>
                <w:b/>
              </w:rPr>
            </w:pPr>
          </w:p>
        </w:tc>
        <w:tc>
          <w:tcPr>
            <w:tcW w:w="1123" w:type="pct"/>
            <w:shd w:val="clear" w:color="auto" w:fill="00B050"/>
          </w:tcPr>
          <w:p w14:paraId="55D0AEB7" w14:textId="77777777" w:rsidR="00A82661" w:rsidRPr="003C664F" w:rsidRDefault="00A82661" w:rsidP="00E23F66">
            <w:pPr>
              <w:spacing w:after="0" w:line="240" w:lineRule="auto"/>
              <w:rPr>
                <w:rFonts w:ascii="Arial" w:hAnsi="Arial" w:cs="Arial"/>
                <w:b/>
              </w:rPr>
            </w:pPr>
            <w:r w:rsidRPr="003C664F">
              <w:rPr>
                <w:rFonts w:ascii="Arial" w:hAnsi="Arial" w:cs="Arial"/>
                <w:b/>
              </w:rPr>
              <w:t>Increased bed capacity for surgical patients at Morriston</w:t>
            </w:r>
          </w:p>
        </w:tc>
        <w:tc>
          <w:tcPr>
            <w:tcW w:w="1012" w:type="pct"/>
            <w:shd w:val="clear" w:color="auto" w:fill="00B050"/>
          </w:tcPr>
          <w:p w14:paraId="41CB9665" w14:textId="77777777" w:rsidR="00A82661" w:rsidRPr="003C664F" w:rsidRDefault="00A82661" w:rsidP="00E23F66">
            <w:pPr>
              <w:autoSpaceDE w:val="0"/>
              <w:autoSpaceDN w:val="0"/>
              <w:adjustRightInd w:val="0"/>
              <w:spacing w:after="0" w:line="240" w:lineRule="auto"/>
              <w:rPr>
                <w:rFonts w:ascii="ArialMT" w:eastAsiaTheme="minorHAnsi" w:hAnsi="ArialMT" w:cs="ArialMT"/>
                <w:b/>
                <w:szCs w:val="24"/>
              </w:rPr>
            </w:pPr>
            <w:r w:rsidRPr="003C664F">
              <w:rPr>
                <w:rFonts w:ascii="ArialMT" w:eastAsiaTheme="minorHAnsi" w:hAnsi="ArialMT" w:cs="ArialMT"/>
                <w:b/>
                <w:szCs w:val="24"/>
              </w:rPr>
              <w:t>Appointed additional clinical nurse specialist (CNS) within General Surgery and commenced in post; to act as gate keeper for patients progressing through the MDM (multi-disciplinary</w:t>
            </w:r>
          </w:p>
          <w:p w14:paraId="3A557A75" w14:textId="77777777" w:rsidR="00A82661" w:rsidRPr="003C664F" w:rsidRDefault="00A82661" w:rsidP="00E23F66">
            <w:pPr>
              <w:rPr>
                <w:rFonts w:ascii="Arial" w:hAnsi="Arial" w:cs="Arial"/>
                <w:b/>
              </w:rPr>
            </w:pPr>
            <w:r w:rsidRPr="003C664F">
              <w:rPr>
                <w:rFonts w:ascii="ArialMT" w:eastAsiaTheme="minorHAnsi" w:hAnsi="ArialMT" w:cs="ArialMT"/>
                <w:b/>
                <w:szCs w:val="24"/>
              </w:rPr>
              <w:t>meeting) process/</w:t>
            </w:r>
          </w:p>
        </w:tc>
        <w:tc>
          <w:tcPr>
            <w:tcW w:w="912" w:type="pct"/>
            <w:vMerge/>
            <w:shd w:val="clear" w:color="auto" w:fill="auto"/>
          </w:tcPr>
          <w:p w14:paraId="7C47A534" w14:textId="77777777" w:rsidR="00A82661" w:rsidRPr="00AE0209" w:rsidRDefault="00A82661" w:rsidP="00E23F66">
            <w:pPr>
              <w:rPr>
                <w:rFonts w:ascii="Arial" w:hAnsi="Arial" w:cs="Arial"/>
              </w:rPr>
            </w:pPr>
          </w:p>
        </w:tc>
        <w:tc>
          <w:tcPr>
            <w:tcW w:w="1306" w:type="pct"/>
            <w:vMerge/>
            <w:shd w:val="clear" w:color="auto" w:fill="auto"/>
          </w:tcPr>
          <w:p w14:paraId="6399BFC3" w14:textId="77777777" w:rsidR="00A82661" w:rsidRPr="00AE0209" w:rsidRDefault="00A82661" w:rsidP="00E23F66">
            <w:pPr>
              <w:rPr>
                <w:rFonts w:ascii="Arial" w:hAnsi="Arial" w:cs="Arial"/>
              </w:rPr>
            </w:pPr>
          </w:p>
        </w:tc>
      </w:tr>
      <w:tr w:rsidR="00A82661" w:rsidRPr="00AE0209" w14:paraId="24839521" w14:textId="77777777" w:rsidTr="00E23F66">
        <w:tc>
          <w:tcPr>
            <w:tcW w:w="647" w:type="pct"/>
            <w:vMerge w:val="restart"/>
            <w:shd w:val="clear" w:color="auto" w:fill="B8CCE4" w:themeFill="accent1" w:themeFillTint="66"/>
          </w:tcPr>
          <w:p w14:paraId="72C9385B" w14:textId="77777777" w:rsidR="00A82661" w:rsidRPr="00AE0209" w:rsidRDefault="00A82661" w:rsidP="00E23F66">
            <w:pPr>
              <w:rPr>
                <w:rFonts w:ascii="Arial" w:hAnsi="Arial" w:cs="Arial"/>
                <w:b/>
              </w:rPr>
            </w:pPr>
            <w:r w:rsidRPr="00AE0209">
              <w:rPr>
                <w:rFonts w:ascii="Arial" w:hAnsi="Arial" w:cs="Arial"/>
                <w:b/>
              </w:rPr>
              <w:t>Cancer Recovery Plans 23/24:</w:t>
            </w:r>
          </w:p>
          <w:p w14:paraId="2C840202" w14:textId="77777777" w:rsidR="00A82661" w:rsidRPr="00AE0209" w:rsidRDefault="00A82661" w:rsidP="00E23F66">
            <w:pPr>
              <w:rPr>
                <w:rFonts w:ascii="Arial" w:hAnsi="Arial" w:cs="Arial"/>
                <w:b/>
              </w:rPr>
            </w:pPr>
            <w:r w:rsidRPr="00AE0209">
              <w:rPr>
                <w:rFonts w:ascii="Arial" w:hAnsi="Arial" w:cs="Arial"/>
                <w:b/>
              </w:rPr>
              <w:t>Gynae</w:t>
            </w:r>
          </w:p>
        </w:tc>
        <w:tc>
          <w:tcPr>
            <w:tcW w:w="1123" w:type="pct"/>
            <w:shd w:val="clear" w:color="auto" w:fill="00B050"/>
          </w:tcPr>
          <w:p w14:paraId="5F4DBF72" w14:textId="77777777" w:rsidR="00A82661" w:rsidRPr="003C664F" w:rsidRDefault="00A82661" w:rsidP="00E23F66">
            <w:pPr>
              <w:autoSpaceDE w:val="0"/>
              <w:autoSpaceDN w:val="0"/>
              <w:adjustRightInd w:val="0"/>
              <w:spacing w:after="0" w:line="240" w:lineRule="auto"/>
              <w:rPr>
                <w:rFonts w:ascii="Arial" w:hAnsi="Arial" w:cs="Arial"/>
              </w:rPr>
            </w:pPr>
            <w:r w:rsidRPr="003C664F">
              <w:rPr>
                <w:rFonts w:ascii="Arial" w:hAnsi="Arial" w:cs="Arial"/>
              </w:rPr>
              <w:t>Introduce outpatient assessment / contact</w:t>
            </w:r>
          </w:p>
        </w:tc>
        <w:tc>
          <w:tcPr>
            <w:tcW w:w="1012" w:type="pct"/>
            <w:shd w:val="clear" w:color="auto" w:fill="00B050"/>
          </w:tcPr>
          <w:p w14:paraId="44B66582" w14:textId="77777777" w:rsidR="00A82661" w:rsidRPr="003C664F" w:rsidRDefault="00A82661" w:rsidP="00E23F66">
            <w:pPr>
              <w:rPr>
                <w:rFonts w:ascii="Arial" w:hAnsi="Arial" w:cs="Arial"/>
                <w:b/>
              </w:rPr>
            </w:pPr>
            <w:r w:rsidRPr="003C664F">
              <w:rPr>
                <w:rFonts w:ascii="Arial" w:eastAsiaTheme="minorHAnsi" w:hAnsi="Arial" w:cs="Arial"/>
                <w:b/>
              </w:rPr>
              <w:t>Continued additional sessions for the post-menopausal bleeding service</w:t>
            </w:r>
          </w:p>
        </w:tc>
        <w:tc>
          <w:tcPr>
            <w:tcW w:w="912" w:type="pct"/>
            <w:shd w:val="clear" w:color="auto" w:fill="C00000"/>
          </w:tcPr>
          <w:p w14:paraId="2461180D" w14:textId="77777777" w:rsidR="00A82661" w:rsidRPr="003C664F" w:rsidRDefault="00A82661" w:rsidP="00E23F66">
            <w:pPr>
              <w:autoSpaceDE w:val="0"/>
              <w:autoSpaceDN w:val="0"/>
              <w:adjustRightInd w:val="0"/>
              <w:spacing w:after="0" w:line="240" w:lineRule="auto"/>
              <w:rPr>
                <w:rFonts w:ascii="Arial" w:eastAsiaTheme="minorHAnsi" w:hAnsi="Arial" w:cs="Arial"/>
              </w:rPr>
            </w:pPr>
            <w:r w:rsidRPr="003C664F">
              <w:rPr>
                <w:rFonts w:ascii="Arial" w:eastAsiaTheme="minorHAnsi" w:hAnsi="Arial" w:cs="Arial"/>
              </w:rPr>
              <w:t xml:space="preserve">Reinstate PMB service meetings from October 2023, membership </w:t>
            </w:r>
          </w:p>
          <w:p w14:paraId="3BE46CCF" w14:textId="77777777" w:rsidR="00A82661" w:rsidRPr="003C664F" w:rsidRDefault="00A82661" w:rsidP="00E23F66">
            <w:pPr>
              <w:rPr>
                <w:rFonts w:ascii="Arial" w:hAnsi="Arial" w:cs="Arial"/>
              </w:rPr>
            </w:pPr>
            <w:r w:rsidRPr="003C664F">
              <w:rPr>
                <w:rFonts w:ascii="Arial" w:eastAsiaTheme="minorHAnsi" w:hAnsi="Arial" w:cs="Arial"/>
              </w:rPr>
              <w:t>extended to CTM.</w:t>
            </w:r>
          </w:p>
        </w:tc>
        <w:tc>
          <w:tcPr>
            <w:tcW w:w="1306" w:type="pct"/>
            <w:shd w:val="clear" w:color="auto" w:fill="auto"/>
          </w:tcPr>
          <w:p w14:paraId="452F22FB" w14:textId="77777777" w:rsidR="00A82661" w:rsidRDefault="00A82661" w:rsidP="00E23F66">
            <w:pPr>
              <w:rPr>
                <w:rFonts w:ascii="Arial" w:hAnsi="Arial" w:cs="Arial"/>
                <w:b/>
                <w:bCs/>
              </w:rPr>
            </w:pPr>
            <w:r w:rsidRPr="000758F9">
              <w:rPr>
                <w:rFonts w:ascii="Arial" w:hAnsi="Arial" w:cs="Arial"/>
                <w:b/>
                <w:bCs/>
              </w:rPr>
              <w:t>Delayed into 24/25</w:t>
            </w:r>
          </w:p>
          <w:p w14:paraId="3C5DD299" w14:textId="77777777" w:rsidR="00A82661" w:rsidRDefault="00A82661" w:rsidP="00E23F66">
            <w:pPr>
              <w:rPr>
                <w:rFonts w:ascii="Arial" w:hAnsi="Arial" w:cs="Arial"/>
              </w:rPr>
            </w:pPr>
            <w:r>
              <w:rPr>
                <w:rFonts w:ascii="Arial" w:hAnsi="Arial" w:cs="Arial"/>
              </w:rPr>
              <w:t>Q4 Priorities:</w:t>
            </w:r>
          </w:p>
          <w:p w14:paraId="76650222" w14:textId="77777777" w:rsidR="00A82661" w:rsidRPr="00091EF7" w:rsidRDefault="00A82661" w:rsidP="00A82661">
            <w:pPr>
              <w:numPr>
                <w:ilvl w:val="0"/>
                <w:numId w:val="50"/>
              </w:numPr>
              <w:spacing w:after="0" w:line="240" w:lineRule="auto"/>
              <w:ind w:left="299" w:hanging="299"/>
              <w:jc w:val="both"/>
              <w:rPr>
                <w:rFonts w:ascii="Arial" w:hAnsi="Arial" w:cs="Arial"/>
              </w:rPr>
            </w:pPr>
            <w:r w:rsidRPr="00091EF7">
              <w:rPr>
                <w:rFonts w:ascii="Arial" w:hAnsi="Arial" w:cs="Arial"/>
              </w:rPr>
              <w:t>The locum Gynae-oncologist is leaving at the end of February 2024, the team are actively seeking a replacement, however no suitable candidate has been identified to date.</w:t>
            </w:r>
          </w:p>
          <w:p w14:paraId="1C0FC84B" w14:textId="77777777" w:rsidR="00A82661" w:rsidRPr="00091EF7" w:rsidRDefault="00A82661" w:rsidP="00A82661">
            <w:pPr>
              <w:numPr>
                <w:ilvl w:val="0"/>
                <w:numId w:val="50"/>
              </w:numPr>
              <w:spacing w:after="0" w:line="240" w:lineRule="auto"/>
              <w:ind w:left="299" w:hanging="299"/>
              <w:jc w:val="both"/>
              <w:rPr>
                <w:rFonts w:ascii="Arial" w:hAnsi="Arial" w:cs="Arial"/>
              </w:rPr>
            </w:pPr>
            <w:r w:rsidRPr="00091EF7">
              <w:rPr>
                <w:rFonts w:ascii="Arial" w:hAnsi="Arial" w:cs="Arial"/>
              </w:rPr>
              <w:lastRenderedPageBreak/>
              <w:t xml:space="preserve">Appointment of a Senior Clinical Fellow; started in post at the beginning of February 2024. </w:t>
            </w:r>
          </w:p>
        </w:tc>
      </w:tr>
      <w:tr w:rsidR="00A82661" w:rsidRPr="00AE0209" w14:paraId="419580E4" w14:textId="77777777" w:rsidTr="00E23F66">
        <w:tc>
          <w:tcPr>
            <w:tcW w:w="647" w:type="pct"/>
            <w:vMerge/>
            <w:shd w:val="clear" w:color="auto" w:fill="B8CCE4" w:themeFill="accent1" w:themeFillTint="66"/>
          </w:tcPr>
          <w:p w14:paraId="66FCC916" w14:textId="77777777" w:rsidR="00A82661" w:rsidRPr="00AE0209" w:rsidRDefault="00A82661" w:rsidP="00E23F66">
            <w:pPr>
              <w:rPr>
                <w:rFonts w:ascii="Arial" w:hAnsi="Arial" w:cs="Arial"/>
                <w:b/>
              </w:rPr>
            </w:pPr>
          </w:p>
        </w:tc>
        <w:tc>
          <w:tcPr>
            <w:tcW w:w="1123" w:type="pct"/>
            <w:shd w:val="clear" w:color="auto" w:fill="00B050"/>
          </w:tcPr>
          <w:p w14:paraId="0ABB3061" w14:textId="77777777" w:rsidR="00A82661" w:rsidRPr="003C664F" w:rsidRDefault="00A82661" w:rsidP="00E23F66">
            <w:pPr>
              <w:autoSpaceDE w:val="0"/>
              <w:autoSpaceDN w:val="0"/>
              <w:adjustRightInd w:val="0"/>
              <w:spacing w:after="0" w:line="240" w:lineRule="auto"/>
              <w:rPr>
                <w:rFonts w:ascii="Arial" w:hAnsi="Arial" w:cs="Arial"/>
              </w:rPr>
            </w:pPr>
            <w:r w:rsidRPr="003C664F">
              <w:rPr>
                <w:rFonts w:ascii="Arial" w:hAnsi="Arial" w:cs="Arial"/>
              </w:rPr>
              <w:t xml:space="preserve">Increase the existing 5 hysteroscopy clinics per week with an additional patient per list </w:t>
            </w:r>
          </w:p>
        </w:tc>
        <w:tc>
          <w:tcPr>
            <w:tcW w:w="1012" w:type="pct"/>
            <w:shd w:val="clear" w:color="auto" w:fill="00B050"/>
          </w:tcPr>
          <w:p w14:paraId="4A3BB57B" w14:textId="77777777" w:rsidR="00A82661" w:rsidRPr="003C664F" w:rsidRDefault="00A82661" w:rsidP="00E23F66">
            <w:pPr>
              <w:rPr>
                <w:rFonts w:ascii="Arial" w:hAnsi="Arial" w:cs="Arial"/>
                <w:b/>
              </w:rPr>
            </w:pPr>
            <w:r w:rsidRPr="003C664F">
              <w:rPr>
                <w:rFonts w:ascii="Arial" w:eastAsiaTheme="minorHAnsi" w:hAnsi="Arial" w:cs="Arial"/>
                <w:b/>
              </w:rPr>
              <w:t xml:space="preserve">Utilise (PMB)/endometrial pathway WLI (waiting list initiatives) and insourcing </w:t>
            </w:r>
          </w:p>
        </w:tc>
        <w:tc>
          <w:tcPr>
            <w:tcW w:w="912" w:type="pct"/>
            <w:shd w:val="clear" w:color="auto" w:fill="C00000"/>
          </w:tcPr>
          <w:p w14:paraId="6FAE0B05" w14:textId="77777777" w:rsidR="00A82661" w:rsidRPr="003C664F" w:rsidRDefault="00A82661" w:rsidP="00E23F66">
            <w:pPr>
              <w:rPr>
                <w:rFonts w:ascii="Arial" w:hAnsi="Arial" w:cs="Arial"/>
              </w:rPr>
            </w:pPr>
            <w:r w:rsidRPr="003C664F">
              <w:rPr>
                <w:rFonts w:ascii="Arial" w:eastAsiaTheme="minorHAnsi" w:hAnsi="Arial" w:cs="Arial"/>
              </w:rPr>
              <w:t>Appointment of additional Senior Clinical Fellow.</w:t>
            </w:r>
          </w:p>
        </w:tc>
        <w:tc>
          <w:tcPr>
            <w:tcW w:w="1306" w:type="pct"/>
            <w:shd w:val="clear" w:color="auto" w:fill="auto"/>
          </w:tcPr>
          <w:p w14:paraId="02E9A8C5" w14:textId="77777777" w:rsidR="00A82661" w:rsidRDefault="00A82661" w:rsidP="00E23F66">
            <w:pPr>
              <w:rPr>
                <w:rFonts w:ascii="Arial" w:hAnsi="Arial" w:cs="Arial"/>
              </w:rPr>
            </w:pPr>
            <w:r>
              <w:rPr>
                <w:rFonts w:ascii="Arial" w:hAnsi="Arial" w:cs="Arial"/>
              </w:rPr>
              <w:t>Linked to PMB Transfer – delayed to 24/25</w:t>
            </w:r>
          </w:p>
          <w:p w14:paraId="58FC3B0C" w14:textId="77777777" w:rsidR="00A82661" w:rsidRDefault="00A82661" w:rsidP="00E23F66">
            <w:pPr>
              <w:rPr>
                <w:rFonts w:ascii="Arial" w:hAnsi="Arial" w:cs="Arial"/>
              </w:rPr>
            </w:pPr>
            <w:r>
              <w:rPr>
                <w:rFonts w:ascii="Arial" w:hAnsi="Arial" w:cs="Arial"/>
              </w:rPr>
              <w:t>Q4 Priorities:</w:t>
            </w:r>
          </w:p>
          <w:p w14:paraId="5F721F04" w14:textId="77777777" w:rsidR="00A82661" w:rsidRDefault="00A82661" w:rsidP="00A82661">
            <w:pPr>
              <w:pStyle w:val="ListParagraph"/>
              <w:numPr>
                <w:ilvl w:val="0"/>
                <w:numId w:val="50"/>
              </w:numPr>
              <w:rPr>
                <w:rFonts w:ascii="Arial" w:hAnsi="Arial" w:cs="Arial"/>
              </w:rPr>
            </w:pPr>
            <w:r w:rsidRPr="00091EF7">
              <w:rPr>
                <w:rFonts w:ascii="Arial" w:hAnsi="Arial" w:cs="Arial"/>
              </w:rPr>
              <w:t>Additional lists for the PMB/endometrial pathway utilising WLI and insourcing activities are planned through to the end of the financial year, although this will continue beyond March until sustainable solutions are worked through</w:t>
            </w:r>
          </w:p>
          <w:p w14:paraId="381CBD43" w14:textId="77777777" w:rsidR="00A82661" w:rsidRPr="00091EF7" w:rsidRDefault="00A82661" w:rsidP="00A82661">
            <w:pPr>
              <w:pStyle w:val="ListParagraph"/>
              <w:numPr>
                <w:ilvl w:val="0"/>
                <w:numId w:val="50"/>
              </w:numPr>
              <w:rPr>
                <w:rFonts w:ascii="Arial" w:hAnsi="Arial" w:cs="Arial"/>
              </w:rPr>
            </w:pPr>
            <w:r w:rsidRPr="00091EF7">
              <w:rPr>
                <w:rFonts w:ascii="Arial" w:hAnsi="Arial" w:cs="Arial"/>
              </w:rPr>
              <w:t>A PMB dashboard is being validated for use by the service to better monitor waiting times and analyse capacity and demand.</w:t>
            </w:r>
          </w:p>
        </w:tc>
      </w:tr>
      <w:tr w:rsidR="00A82661" w:rsidRPr="00AE0209" w14:paraId="0C5A6FC0" w14:textId="77777777" w:rsidTr="00E23F66">
        <w:trPr>
          <w:trHeight w:val="669"/>
        </w:trPr>
        <w:tc>
          <w:tcPr>
            <w:tcW w:w="647" w:type="pct"/>
            <w:vMerge/>
            <w:shd w:val="clear" w:color="auto" w:fill="B8CCE4" w:themeFill="accent1" w:themeFillTint="66"/>
          </w:tcPr>
          <w:p w14:paraId="1F7E8498" w14:textId="77777777" w:rsidR="00A82661" w:rsidRPr="00AE0209" w:rsidRDefault="00A82661" w:rsidP="00E23F66">
            <w:pPr>
              <w:rPr>
                <w:rFonts w:ascii="Arial" w:hAnsi="Arial" w:cs="Arial"/>
                <w:b/>
              </w:rPr>
            </w:pPr>
          </w:p>
        </w:tc>
        <w:tc>
          <w:tcPr>
            <w:tcW w:w="1123" w:type="pct"/>
            <w:shd w:val="clear" w:color="auto" w:fill="00B050"/>
            <w:vAlign w:val="center"/>
          </w:tcPr>
          <w:p w14:paraId="53B185EC" w14:textId="77777777" w:rsidR="00A82661" w:rsidRPr="003C664F" w:rsidRDefault="00A82661" w:rsidP="00E23F66">
            <w:pPr>
              <w:spacing w:after="0" w:line="240" w:lineRule="auto"/>
              <w:ind w:left="14" w:hangingChars="7" w:hanging="14"/>
              <w:rPr>
                <w:rFonts w:ascii="Arial" w:hAnsi="Arial" w:cs="Arial"/>
              </w:rPr>
            </w:pPr>
            <w:r w:rsidRPr="003C664F">
              <w:rPr>
                <w:rFonts w:ascii="Arial" w:hAnsi="Arial" w:cs="Arial"/>
              </w:rPr>
              <w:t>Transfer of non-USC hysteroscopy capacity</w:t>
            </w:r>
          </w:p>
        </w:tc>
        <w:tc>
          <w:tcPr>
            <w:tcW w:w="1012" w:type="pct"/>
            <w:shd w:val="clear" w:color="auto" w:fill="00B050"/>
          </w:tcPr>
          <w:p w14:paraId="5C6B8C3E" w14:textId="77777777" w:rsidR="00A82661" w:rsidRPr="003C664F" w:rsidRDefault="00A82661" w:rsidP="00E23F66">
            <w:pPr>
              <w:rPr>
                <w:rFonts w:ascii="Arial" w:hAnsi="Arial" w:cs="Arial"/>
                <w:b/>
              </w:rPr>
            </w:pPr>
            <w:r w:rsidRPr="003C664F">
              <w:rPr>
                <w:rFonts w:ascii="Arial" w:eastAsiaTheme="minorHAnsi" w:hAnsi="Arial" w:cs="Arial"/>
                <w:b/>
              </w:rPr>
              <w:t>Increase number of patients booked to scheduled PMB and hysteroscopy</w:t>
            </w:r>
          </w:p>
        </w:tc>
        <w:tc>
          <w:tcPr>
            <w:tcW w:w="912" w:type="pct"/>
            <w:vMerge w:val="restart"/>
            <w:shd w:val="clear" w:color="auto" w:fill="C00000"/>
          </w:tcPr>
          <w:p w14:paraId="24F01ABD" w14:textId="77777777" w:rsidR="00A82661" w:rsidRPr="003C664F" w:rsidRDefault="00A82661" w:rsidP="00E23F66">
            <w:pPr>
              <w:autoSpaceDE w:val="0"/>
              <w:autoSpaceDN w:val="0"/>
              <w:adjustRightInd w:val="0"/>
              <w:spacing w:after="0" w:line="240" w:lineRule="auto"/>
              <w:rPr>
                <w:rFonts w:ascii="ArialMT" w:eastAsiaTheme="minorHAnsi" w:hAnsi="ArialMT" w:cs="ArialMT"/>
              </w:rPr>
            </w:pPr>
            <w:r>
              <w:rPr>
                <w:rFonts w:ascii="ArialMT" w:eastAsiaTheme="minorHAnsi" w:hAnsi="ArialMT" w:cs="ArialMT"/>
              </w:rPr>
              <w:t>Implemented local b</w:t>
            </w:r>
            <w:r w:rsidRPr="003C664F">
              <w:rPr>
                <w:rFonts w:ascii="ArialMT" w:eastAsiaTheme="minorHAnsi" w:hAnsi="ArialMT" w:cs="ArialMT"/>
              </w:rPr>
              <w:t xml:space="preserve">ooking of PMB clinics in NPTH </w:t>
            </w:r>
            <w:r>
              <w:rPr>
                <w:rFonts w:ascii="ArialMT" w:eastAsiaTheme="minorHAnsi" w:hAnsi="ArialMT" w:cs="ArialMT"/>
              </w:rPr>
              <w:t>(moved from CTM)</w:t>
            </w:r>
          </w:p>
          <w:p w14:paraId="2A3E93F0" w14:textId="77777777" w:rsidR="00A82661" w:rsidRPr="003C664F" w:rsidRDefault="00A82661" w:rsidP="00E23F66">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t>The benefits of which</w:t>
            </w:r>
          </w:p>
          <w:p w14:paraId="3DBE1868" w14:textId="77777777" w:rsidR="00A82661" w:rsidRPr="003C664F" w:rsidRDefault="00A82661" w:rsidP="00E23F66">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t>means there will be control over the process and the ability to book and fill slots at</w:t>
            </w:r>
          </w:p>
          <w:p w14:paraId="40BB2CCA" w14:textId="77777777" w:rsidR="00A82661" w:rsidRPr="003C664F" w:rsidRDefault="00A82661" w:rsidP="00E23F66">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t xml:space="preserve">short notice. </w:t>
            </w:r>
            <w:r>
              <w:rPr>
                <w:rFonts w:ascii="ArialMT" w:eastAsiaTheme="minorHAnsi" w:hAnsi="ArialMT" w:cs="ArialMT"/>
              </w:rPr>
              <w:t>Also</w:t>
            </w:r>
            <w:r w:rsidRPr="003C664F">
              <w:rPr>
                <w:rFonts w:ascii="ArialMT" w:eastAsiaTheme="minorHAnsi" w:hAnsi="ArialMT" w:cs="ArialMT"/>
              </w:rPr>
              <w:t xml:space="preserve"> enable the service to contact patients prior to clinic to</w:t>
            </w:r>
          </w:p>
          <w:p w14:paraId="67B22782" w14:textId="77777777" w:rsidR="00A82661" w:rsidRPr="00AE0209" w:rsidRDefault="00A82661" w:rsidP="00E23F66">
            <w:pPr>
              <w:rPr>
                <w:rFonts w:ascii="Arial" w:hAnsi="Arial" w:cs="Arial"/>
              </w:rPr>
            </w:pPr>
            <w:r w:rsidRPr="003C664F">
              <w:rPr>
                <w:rFonts w:ascii="ArialMT" w:eastAsiaTheme="minorHAnsi" w:hAnsi="ArialMT" w:cs="ArialMT"/>
              </w:rPr>
              <w:t>ensure their attendance, improving DNA (did not attend) rates and slot utilisation.</w:t>
            </w:r>
          </w:p>
        </w:tc>
        <w:tc>
          <w:tcPr>
            <w:tcW w:w="1306" w:type="pct"/>
            <w:vMerge w:val="restart"/>
            <w:shd w:val="clear" w:color="auto" w:fill="auto"/>
          </w:tcPr>
          <w:p w14:paraId="38A2962C" w14:textId="77777777" w:rsidR="00A82661" w:rsidRDefault="00A82661" w:rsidP="00E23F66">
            <w:pPr>
              <w:rPr>
                <w:rFonts w:ascii="Arial" w:hAnsi="Arial" w:cs="Arial"/>
              </w:rPr>
            </w:pPr>
            <w:r>
              <w:rPr>
                <w:rFonts w:ascii="Arial" w:hAnsi="Arial" w:cs="Arial"/>
              </w:rPr>
              <w:t>Linked to PMB Transfer – delayed to 24/25.</w:t>
            </w:r>
          </w:p>
          <w:p w14:paraId="5067D7B2" w14:textId="77777777" w:rsidR="00A82661" w:rsidRDefault="00A82661" w:rsidP="00E23F66">
            <w:pPr>
              <w:rPr>
                <w:rFonts w:ascii="Arial" w:hAnsi="Arial" w:cs="Arial"/>
              </w:rPr>
            </w:pPr>
            <w:r>
              <w:rPr>
                <w:rFonts w:ascii="Arial" w:hAnsi="Arial" w:cs="Arial"/>
              </w:rPr>
              <w:t>Q4 Priorities:</w:t>
            </w:r>
          </w:p>
          <w:p w14:paraId="3ACAACF8" w14:textId="77777777" w:rsidR="00A82661" w:rsidRPr="00091EF7" w:rsidRDefault="00A82661" w:rsidP="00A82661">
            <w:pPr>
              <w:pStyle w:val="ListParagraph"/>
              <w:numPr>
                <w:ilvl w:val="0"/>
                <w:numId w:val="50"/>
              </w:numPr>
              <w:rPr>
                <w:rFonts w:ascii="Arial" w:hAnsi="Arial" w:cs="Arial"/>
              </w:rPr>
            </w:pPr>
            <w:r>
              <w:rPr>
                <w:rFonts w:ascii="Arial" w:hAnsi="Arial" w:cs="Arial"/>
              </w:rPr>
              <w:t>See above</w:t>
            </w:r>
          </w:p>
        </w:tc>
      </w:tr>
      <w:tr w:rsidR="00A82661" w:rsidRPr="00AE0209" w14:paraId="341D859F" w14:textId="77777777" w:rsidTr="00E23F66">
        <w:tc>
          <w:tcPr>
            <w:tcW w:w="647" w:type="pct"/>
            <w:vMerge/>
            <w:shd w:val="clear" w:color="auto" w:fill="B8CCE4" w:themeFill="accent1" w:themeFillTint="66"/>
          </w:tcPr>
          <w:p w14:paraId="047DE16F" w14:textId="77777777" w:rsidR="00A82661" w:rsidRPr="00AE0209" w:rsidRDefault="00A82661" w:rsidP="00E23F66">
            <w:pPr>
              <w:rPr>
                <w:rFonts w:ascii="Arial" w:hAnsi="Arial" w:cs="Arial"/>
                <w:b/>
              </w:rPr>
            </w:pPr>
          </w:p>
        </w:tc>
        <w:tc>
          <w:tcPr>
            <w:tcW w:w="1123" w:type="pct"/>
            <w:shd w:val="clear" w:color="auto" w:fill="00B050"/>
          </w:tcPr>
          <w:p w14:paraId="6C3E1A24" w14:textId="77777777" w:rsidR="00A82661" w:rsidRPr="003C664F" w:rsidRDefault="00A82661" w:rsidP="00E23F66">
            <w:pPr>
              <w:autoSpaceDE w:val="0"/>
              <w:autoSpaceDN w:val="0"/>
              <w:adjustRightInd w:val="0"/>
              <w:spacing w:after="0" w:line="240" w:lineRule="auto"/>
              <w:rPr>
                <w:rFonts w:ascii="Arial" w:hAnsi="Arial" w:cs="Arial"/>
              </w:rPr>
            </w:pPr>
            <w:r w:rsidRPr="003C664F">
              <w:rPr>
                <w:rFonts w:ascii="Arial" w:hAnsi="Arial" w:cs="Arial"/>
              </w:rPr>
              <w:t>Develop business case for a dedicated hysteroscopy suite at Singleton Hospital.</w:t>
            </w:r>
            <w:r>
              <w:rPr>
                <w:rFonts w:ascii="Arial" w:hAnsi="Arial" w:cs="Arial"/>
              </w:rPr>
              <w:t xml:space="preserve">   </w:t>
            </w:r>
            <w:r w:rsidRPr="003C664F">
              <w:rPr>
                <w:rFonts w:ascii="Arial" w:hAnsi="Arial" w:cs="Arial"/>
                <w:color w:val="FF0000"/>
              </w:rPr>
              <w:t xml:space="preserve">Included in Singleton Additional Theatres B/C </w:t>
            </w:r>
          </w:p>
        </w:tc>
        <w:tc>
          <w:tcPr>
            <w:tcW w:w="1012" w:type="pct"/>
            <w:shd w:val="clear" w:color="auto" w:fill="00B050"/>
          </w:tcPr>
          <w:p w14:paraId="257DC779" w14:textId="77777777" w:rsidR="00A82661" w:rsidRPr="003C664F" w:rsidRDefault="00A82661" w:rsidP="00E23F66">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Continued additional theatre capacity on Saturdays</w:t>
            </w:r>
          </w:p>
          <w:p w14:paraId="655A321D" w14:textId="77777777" w:rsidR="00A82661" w:rsidRPr="003C664F" w:rsidRDefault="00A82661" w:rsidP="00E23F66">
            <w:pPr>
              <w:rPr>
                <w:rFonts w:ascii="Arial" w:hAnsi="Arial" w:cs="Arial"/>
              </w:rPr>
            </w:pPr>
          </w:p>
        </w:tc>
        <w:tc>
          <w:tcPr>
            <w:tcW w:w="912" w:type="pct"/>
            <w:vMerge/>
            <w:shd w:val="clear" w:color="auto" w:fill="auto"/>
          </w:tcPr>
          <w:p w14:paraId="50417579" w14:textId="77777777" w:rsidR="00A82661" w:rsidRPr="00AE0209" w:rsidRDefault="00A82661" w:rsidP="00E23F66">
            <w:pPr>
              <w:rPr>
                <w:rFonts w:ascii="Arial" w:hAnsi="Arial" w:cs="Arial"/>
              </w:rPr>
            </w:pPr>
          </w:p>
        </w:tc>
        <w:tc>
          <w:tcPr>
            <w:tcW w:w="1306" w:type="pct"/>
            <w:vMerge/>
            <w:shd w:val="clear" w:color="auto" w:fill="auto"/>
          </w:tcPr>
          <w:p w14:paraId="7A449538" w14:textId="77777777" w:rsidR="00A82661" w:rsidRPr="00AE0209" w:rsidRDefault="00A82661" w:rsidP="00E23F66">
            <w:pPr>
              <w:rPr>
                <w:rFonts w:ascii="Arial" w:hAnsi="Arial" w:cs="Arial"/>
              </w:rPr>
            </w:pPr>
          </w:p>
        </w:tc>
      </w:tr>
      <w:tr w:rsidR="00A82661" w:rsidRPr="00AE0209" w14:paraId="3DF4F17C" w14:textId="77777777" w:rsidTr="00E23F66">
        <w:tc>
          <w:tcPr>
            <w:tcW w:w="647" w:type="pct"/>
            <w:vMerge w:val="restart"/>
            <w:shd w:val="clear" w:color="auto" w:fill="B8CCE4" w:themeFill="accent1" w:themeFillTint="66"/>
          </w:tcPr>
          <w:p w14:paraId="6B9BFD66" w14:textId="77777777" w:rsidR="00A82661" w:rsidRPr="00AE0209" w:rsidRDefault="00A82661" w:rsidP="00E23F66">
            <w:pPr>
              <w:rPr>
                <w:rFonts w:ascii="Arial" w:hAnsi="Arial" w:cs="Arial"/>
                <w:b/>
              </w:rPr>
            </w:pPr>
            <w:r w:rsidRPr="00AE0209">
              <w:rPr>
                <w:rFonts w:ascii="Arial" w:hAnsi="Arial" w:cs="Arial"/>
                <w:b/>
              </w:rPr>
              <w:lastRenderedPageBreak/>
              <w:t>Cancer Recovery Plans 23/24:</w:t>
            </w:r>
          </w:p>
          <w:p w14:paraId="5A552DAF" w14:textId="77777777" w:rsidR="00A82661" w:rsidRPr="00AE0209" w:rsidRDefault="00A82661" w:rsidP="00E23F66">
            <w:pPr>
              <w:rPr>
                <w:rFonts w:ascii="Arial" w:hAnsi="Arial" w:cs="Arial"/>
                <w:b/>
              </w:rPr>
            </w:pPr>
            <w:r w:rsidRPr="00AE0209">
              <w:rPr>
                <w:rFonts w:ascii="Arial" w:hAnsi="Arial" w:cs="Arial"/>
                <w:b/>
              </w:rPr>
              <w:t>Breast</w:t>
            </w:r>
          </w:p>
        </w:tc>
        <w:tc>
          <w:tcPr>
            <w:tcW w:w="1123" w:type="pct"/>
            <w:shd w:val="clear" w:color="auto" w:fill="00B050"/>
          </w:tcPr>
          <w:p w14:paraId="10C687B1" w14:textId="77777777" w:rsidR="00A82661" w:rsidRPr="003C664F" w:rsidRDefault="00A82661" w:rsidP="00E23F66">
            <w:pPr>
              <w:autoSpaceDE w:val="0"/>
              <w:autoSpaceDN w:val="0"/>
              <w:adjustRightInd w:val="0"/>
              <w:spacing w:after="0" w:line="240" w:lineRule="auto"/>
              <w:rPr>
                <w:rFonts w:ascii="Arial" w:hAnsi="Arial" w:cs="Arial"/>
              </w:rPr>
            </w:pPr>
            <w:r w:rsidRPr="003C664F">
              <w:rPr>
                <w:rFonts w:ascii="Arial" w:hAnsi="Arial" w:cs="Arial"/>
              </w:rPr>
              <w:t>Commission enhanced recovery unit at Singleton</w:t>
            </w:r>
          </w:p>
          <w:p w14:paraId="2B50411B" w14:textId="77777777" w:rsidR="00A82661" w:rsidRPr="003C664F" w:rsidRDefault="00A82661" w:rsidP="00E23F66">
            <w:pPr>
              <w:autoSpaceDE w:val="0"/>
              <w:autoSpaceDN w:val="0"/>
              <w:adjustRightInd w:val="0"/>
              <w:spacing w:after="0" w:line="240" w:lineRule="auto"/>
              <w:rPr>
                <w:rFonts w:ascii="Arial" w:hAnsi="Arial" w:cs="Arial"/>
              </w:rPr>
            </w:pPr>
          </w:p>
        </w:tc>
        <w:tc>
          <w:tcPr>
            <w:tcW w:w="1012" w:type="pct"/>
            <w:shd w:val="clear" w:color="auto" w:fill="00B050"/>
          </w:tcPr>
          <w:p w14:paraId="40DE7E4D" w14:textId="77777777" w:rsidR="00A82661" w:rsidRPr="003C664F" w:rsidRDefault="00A82661" w:rsidP="00E23F66">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Identified two additional theatre sessions per week</w:t>
            </w:r>
          </w:p>
          <w:p w14:paraId="32A0337B" w14:textId="77777777" w:rsidR="00A82661" w:rsidRPr="003C664F" w:rsidRDefault="00A82661" w:rsidP="00E23F66">
            <w:pPr>
              <w:rPr>
                <w:rFonts w:ascii="Arial" w:hAnsi="Arial" w:cs="Arial"/>
                <w:b/>
              </w:rPr>
            </w:pPr>
          </w:p>
        </w:tc>
        <w:tc>
          <w:tcPr>
            <w:tcW w:w="912" w:type="pct"/>
            <w:vMerge w:val="restart"/>
            <w:shd w:val="clear" w:color="auto" w:fill="FFC000"/>
          </w:tcPr>
          <w:p w14:paraId="46E3B18D" w14:textId="77777777" w:rsidR="00A82661" w:rsidRPr="003C664F" w:rsidRDefault="00A82661" w:rsidP="00E23F66">
            <w:pPr>
              <w:autoSpaceDE w:val="0"/>
              <w:autoSpaceDN w:val="0"/>
              <w:adjustRightInd w:val="0"/>
              <w:spacing w:after="0" w:line="240" w:lineRule="auto"/>
              <w:rPr>
                <w:rFonts w:ascii="Arial" w:hAnsi="Arial" w:cs="Arial"/>
              </w:rPr>
            </w:pPr>
            <w:r w:rsidRPr="003C664F">
              <w:rPr>
                <w:rFonts w:ascii="ArialMT" w:eastAsiaTheme="minorHAnsi" w:hAnsi="ArialMT" w:cs="ArialMT"/>
              </w:rPr>
              <w:t>Secure four additional theatre sessions</w:t>
            </w:r>
            <w:r>
              <w:rPr>
                <w:rFonts w:ascii="ArialMT" w:eastAsiaTheme="minorHAnsi" w:hAnsi="ArialMT" w:cs="ArialMT"/>
              </w:rPr>
              <w:t xml:space="preserve"> from</w:t>
            </w:r>
            <w:r w:rsidRPr="003C664F">
              <w:rPr>
                <w:rFonts w:ascii="ArialMT" w:eastAsiaTheme="minorHAnsi" w:hAnsi="ArialMT" w:cs="ArialMT"/>
              </w:rPr>
              <w:t xml:space="preserve"> October, with a view to operate on 5 patients</w:t>
            </w:r>
          </w:p>
        </w:tc>
        <w:tc>
          <w:tcPr>
            <w:tcW w:w="1306" w:type="pct"/>
            <w:vMerge w:val="restart"/>
            <w:shd w:val="clear" w:color="auto" w:fill="auto"/>
          </w:tcPr>
          <w:p w14:paraId="281F4D15" w14:textId="77777777" w:rsidR="00A82661" w:rsidRPr="003C664F" w:rsidRDefault="00A82661" w:rsidP="00E23F66">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t>Disaggregation of the SLA (service level agreement) with Cwm Taf Morgannwg</w:t>
            </w:r>
          </w:p>
          <w:p w14:paraId="53DCF6D2" w14:textId="77777777" w:rsidR="00A82661" w:rsidRDefault="00A82661" w:rsidP="00E23F66">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t>(CTM) from January 2024, with the caveat that they will continue to support until</w:t>
            </w:r>
            <w:r>
              <w:rPr>
                <w:rFonts w:ascii="ArialMT" w:eastAsiaTheme="minorHAnsi" w:hAnsi="ArialMT" w:cs="ArialMT"/>
              </w:rPr>
              <w:t xml:space="preserve"> </w:t>
            </w:r>
            <w:r w:rsidRPr="003C664F">
              <w:rPr>
                <w:rFonts w:ascii="ArialMT" w:eastAsiaTheme="minorHAnsi" w:hAnsi="ArialMT" w:cs="ArialMT"/>
              </w:rPr>
              <w:t>end of March 2024.</w:t>
            </w:r>
          </w:p>
          <w:p w14:paraId="5EF5A81C" w14:textId="77777777" w:rsidR="00A82661" w:rsidRDefault="00A82661" w:rsidP="00E23F66">
            <w:pPr>
              <w:rPr>
                <w:rFonts w:ascii="ArialMT" w:hAnsi="ArialMT" w:cs="ArialMT"/>
              </w:rPr>
            </w:pPr>
          </w:p>
          <w:p w14:paraId="113F2180" w14:textId="77777777" w:rsidR="00A82661" w:rsidRPr="000758F9" w:rsidRDefault="00A82661" w:rsidP="00E23F66">
            <w:pPr>
              <w:rPr>
                <w:rFonts w:ascii="Arial" w:hAnsi="Arial" w:cs="Arial"/>
                <w:b/>
                <w:bCs/>
              </w:rPr>
            </w:pPr>
            <w:r w:rsidRPr="000758F9">
              <w:rPr>
                <w:rFonts w:ascii="Arial" w:hAnsi="Arial" w:cs="Arial"/>
                <w:b/>
                <w:bCs/>
              </w:rPr>
              <w:t>Now likely to take place on 31st March 2024</w:t>
            </w:r>
          </w:p>
        </w:tc>
      </w:tr>
      <w:tr w:rsidR="00A82661" w:rsidRPr="00AE0209" w14:paraId="3C02F18D" w14:textId="77777777" w:rsidTr="00E23F66">
        <w:tc>
          <w:tcPr>
            <w:tcW w:w="647" w:type="pct"/>
            <w:vMerge/>
            <w:shd w:val="clear" w:color="auto" w:fill="B8CCE4" w:themeFill="accent1" w:themeFillTint="66"/>
          </w:tcPr>
          <w:p w14:paraId="78E0EE8C" w14:textId="77777777" w:rsidR="00A82661" w:rsidRPr="00AE0209" w:rsidRDefault="00A82661" w:rsidP="00E23F66">
            <w:pPr>
              <w:rPr>
                <w:rFonts w:ascii="Arial" w:hAnsi="Arial" w:cs="Arial"/>
                <w:b/>
              </w:rPr>
            </w:pPr>
          </w:p>
        </w:tc>
        <w:tc>
          <w:tcPr>
            <w:tcW w:w="1123" w:type="pct"/>
            <w:shd w:val="clear" w:color="auto" w:fill="FFFFFF" w:themeFill="background1"/>
          </w:tcPr>
          <w:p w14:paraId="682C5C28" w14:textId="77777777" w:rsidR="00A82661" w:rsidRPr="003C664F" w:rsidRDefault="00A82661" w:rsidP="00E23F66">
            <w:pPr>
              <w:autoSpaceDE w:val="0"/>
              <w:autoSpaceDN w:val="0"/>
              <w:adjustRightInd w:val="0"/>
              <w:spacing w:after="0" w:line="240" w:lineRule="auto"/>
              <w:rPr>
                <w:rFonts w:ascii="Arial" w:hAnsi="Arial" w:cs="Arial"/>
              </w:rPr>
            </w:pPr>
          </w:p>
        </w:tc>
        <w:tc>
          <w:tcPr>
            <w:tcW w:w="1012" w:type="pct"/>
            <w:shd w:val="clear" w:color="auto" w:fill="00B050"/>
          </w:tcPr>
          <w:p w14:paraId="08D84892" w14:textId="77777777" w:rsidR="00A82661" w:rsidRPr="003C664F" w:rsidRDefault="00A82661" w:rsidP="00E23F66">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Following the resignation and departure of the lead consultant surgeon in</w:t>
            </w:r>
          </w:p>
          <w:p w14:paraId="6C64BAF0" w14:textId="77777777" w:rsidR="00A82661" w:rsidRPr="003C664F" w:rsidRDefault="00A82661" w:rsidP="00E23F66">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September 2023, a new lead appointed and a locum breast surgeon</w:t>
            </w:r>
          </w:p>
          <w:p w14:paraId="6F648857" w14:textId="77777777" w:rsidR="00A82661" w:rsidRPr="003C664F" w:rsidRDefault="00A82661" w:rsidP="00E23F66">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began in post in September 2023</w:t>
            </w:r>
          </w:p>
        </w:tc>
        <w:tc>
          <w:tcPr>
            <w:tcW w:w="912" w:type="pct"/>
            <w:vMerge/>
            <w:shd w:val="clear" w:color="auto" w:fill="FFC000"/>
          </w:tcPr>
          <w:p w14:paraId="7ECF54E2" w14:textId="77777777" w:rsidR="00A82661" w:rsidRPr="003C664F" w:rsidRDefault="00A82661" w:rsidP="00E23F66">
            <w:pPr>
              <w:autoSpaceDE w:val="0"/>
              <w:autoSpaceDN w:val="0"/>
              <w:adjustRightInd w:val="0"/>
              <w:spacing w:after="0" w:line="240" w:lineRule="auto"/>
              <w:rPr>
                <w:rFonts w:ascii="ArialMT" w:eastAsiaTheme="minorHAnsi" w:hAnsi="ArialMT" w:cs="ArialMT"/>
              </w:rPr>
            </w:pPr>
          </w:p>
        </w:tc>
        <w:tc>
          <w:tcPr>
            <w:tcW w:w="1306" w:type="pct"/>
            <w:vMerge/>
            <w:shd w:val="clear" w:color="auto" w:fill="auto"/>
          </w:tcPr>
          <w:p w14:paraId="72F855DD" w14:textId="77777777" w:rsidR="00A82661" w:rsidRPr="003C664F" w:rsidRDefault="00A82661" w:rsidP="00E23F66">
            <w:pPr>
              <w:autoSpaceDE w:val="0"/>
              <w:autoSpaceDN w:val="0"/>
              <w:adjustRightInd w:val="0"/>
              <w:spacing w:after="0" w:line="240" w:lineRule="auto"/>
              <w:rPr>
                <w:rFonts w:ascii="ArialMT" w:eastAsiaTheme="minorHAnsi" w:hAnsi="ArialMT" w:cs="ArialMT"/>
              </w:rPr>
            </w:pPr>
          </w:p>
        </w:tc>
      </w:tr>
      <w:tr w:rsidR="00A82661" w:rsidRPr="00AE0209" w14:paraId="2BAE42C5" w14:textId="77777777" w:rsidTr="00E23F66">
        <w:tc>
          <w:tcPr>
            <w:tcW w:w="647" w:type="pct"/>
            <w:vMerge w:val="restart"/>
            <w:shd w:val="clear" w:color="auto" w:fill="B8CCE4" w:themeFill="accent1" w:themeFillTint="66"/>
          </w:tcPr>
          <w:p w14:paraId="57F98836" w14:textId="77777777" w:rsidR="00A82661" w:rsidRPr="00AE0209" w:rsidRDefault="00A82661" w:rsidP="00E23F66">
            <w:pPr>
              <w:rPr>
                <w:rFonts w:ascii="Arial" w:hAnsi="Arial" w:cs="Arial"/>
                <w:b/>
              </w:rPr>
            </w:pPr>
            <w:r w:rsidRPr="00AE0209">
              <w:rPr>
                <w:rFonts w:ascii="Arial" w:hAnsi="Arial" w:cs="Arial"/>
                <w:b/>
              </w:rPr>
              <w:t>Cancer Recovery Plans 23/24:</w:t>
            </w:r>
          </w:p>
          <w:p w14:paraId="1AEB5F3A" w14:textId="77777777" w:rsidR="00A82661" w:rsidRPr="00AE0209" w:rsidRDefault="00A82661" w:rsidP="00E23F66">
            <w:pPr>
              <w:rPr>
                <w:rFonts w:ascii="Arial" w:hAnsi="Arial" w:cs="Arial"/>
                <w:b/>
              </w:rPr>
            </w:pPr>
            <w:r w:rsidRPr="00AE0209">
              <w:rPr>
                <w:rFonts w:ascii="Arial" w:hAnsi="Arial" w:cs="Arial"/>
                <w:b/>
              </w:rPr>
              <w:t>Urology</w:t>
            </w:r>
          </w:p>
          <w:p w14:paraId="52B10538" w14:textId="77777777" w:rsidR="00A82661" w:rsidRPr="00AE0209" w:rsidRDefault="00A82661" w:rsidP="00E23F66">
            <w:pPr>
              <w:rPr>
                <w:rFonts w:ascii="Arial" w:hAnsi="Arial" w:cs="Arial"/>
                <w:b/>
              </w:rPr>
            </w:pPr>
            <w:r w:rsidRPr="00AE0209">
              <w:rPr>
                <w:rFonts w:ascii="Arial" w:hAnsi="Arial" w:cs="Arial"/>
              </w:rPr>
              <w:t>(3 pathways each with own capacity issues – Bladder, Prostate, Renal</w:t>
            </w:r>
          </w:p>
        </w:tc>
        <w:tc>
          <w:tcPr>
            <w:tcW w:w="1123" w:type="pct"/>
            <w:shd w:val="clear" w:color="auto" w:fill="00B050"/>
          </w:tcPr>
          <w:p w14:paraId="6C220451" w14:textId="77777777" w:rsidR="00A82661" w:rsidRPr="00AE0209" w:rsidRDefault="00A82661" w:rsidP="00E23F66">
            <w:pPr>
              <w:pStyle w:val="Default"/>
              <w:rPr>
                <w:color w:val="auto"/>
                <w:sz w:val="20"/>
                <w:szCs w:val="20"/>
              </w:rPr>
            </w:pPr>
            <w:r w:rsidRPr="00AE0209">
              <w:rPr>
                <w:color w:val="auto"/>
                <w:sz w:val="20"/>
                <w:szCs w:val="20"/>
              </w:rPr>
              <w:t>Prostate: Deliver additional investments into the service for that will expand reporting capacity (longer term). In the interim, outsource biopsies for non-cancer work.</w:t>
            </w:r>
          </w:p>
        </w:tc>
        <w:tc>
          <w:tcPr>
            <w:tcW w:w="1012" w:type="pct"/>
            <w:shd w:val="clear" w:color="auto" w:fill="00B050"/>
          </w:tcPr>
          <w:p w14:paraId="700C827F" w14:textId="77777777" w:rsidR="00A82661" w:rsidRPr="003C664F" w:rsidRDefault="00A82661" w:rsidP="00E23F66">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Urology MDT (multi-disciplinary team) and wider support services working</w:t>
            </w:r>
          </w:p>
          <w:p w14:paraId="2AF731B5" w14:textId="77777777" w:rsidR="00A82661" w:rsidRPr="003C664F" w:rsidRDefault="00A82661" w:rsidP="00E23F66">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with Improvement Cymru to identify constraints and pathway improvements in</w:t>
            </w:r>
          </w:p>
          <w:p w14:paraId="683AB20F" w14:textId="77777777" w:rsidR="00A82661" w:rsidRPr="003C664F" w:rsidRDefault="00A82661" w:rsidP="00E23F66">
            <w:pPr>
              <w:autoSpaceDE w:val="0"/>
              <w:autoSpaceDN w:val="0"/>
              <w:adjustRightInd w:val="0"/>
              <w:spacing w:after="0" w:line="240" w:lineRule="auto"/>
              <w:rPr>
                <w:rFonts w:ascii="Arial" w:hAnsi="Arial" w:cs="Arial"/>
                <w:b/>
              </w:rPr>
            </w:pPr>
            <w:r w:rsidRPr="003C664F">
              <w:rPr>
                <w:rFonts w:ascii="Arial" w:eastAsiaTheme="minorHAnsi" w:hAnsi="Arial" w:cs="Arial"/>
                <w:b/>
              </w:rPr>
              <w:t xml:space="preserve">relation to the diagnostic phase of pathway for Bladder and Prostate. </w:t>
            </w:r>
          </w:p>
        </w:tc>
        <w:tc>
          <w:tcPr>
            <w:tcW w:w="912" w:type="pct"/>
            <w:shd w:val="clear" w:color="auto" w:fill="00B050"/>
          </w:tcPr>
          <w:p w14:paraId="2ECDEA54" w14:textId="77777777" w:rsidR="00A82661" w:rsidRPr="003C664F" w:rsidRDefault="00A82661" w:rsidP="00E23F66">
            <w:pPr>
              <w:autoSpaceDE w:val="0"/>
              <w:autoSpaceDN w:val="0"/>
              <w:adjustRightInd w:val="0"/>
              <w:spacing w:after="0" w:line="240" w:lineRule="auto"/>
              <w:rPr>
                <w:rFonts w:ascii="Arial" w:eastAsiaTheme="minorHAnsi" w:hAnsi="Arial" w:cs="Arial"/>
              </w:rPr>
            </w:pPr>
            <w:r w:rsidRPr="003C664F">
              <w:rPr>
                <w:rFonts w:ascii="Arial" w:eastAsiaTheme="minorHAnsi" w:hAnsi="Arial" w:cs="Arial"/>
              </w:rPr>
              <w:t>Undertake Toyota Production System Training during September</w:t>
            </w:r>
          </w:p>
          <w:p w14:paraId="2CA35C2D" w14:textId="77777777" w:rsidR="00A82661" w:rsidRPr="003C664F" w:rsidRDefault="00A82661" w:rsidP="00E23F66">
            <w:pPr>
              <w:rPr>
                <w:rFonts w:ascii="Arial" w:hAnsi="Arial" w:cs="Arial"/>
                <w:b/>
              </w:rPr>
            </w:pPr>
            <w:r w:rsidRPr="003C664F">
              <w:rPr>
                <w:rFonts w:ascii="Arial" w:eastAsiaTheme="minorHAnsi" w:hAnsi="Arial" w:cs="Arial"/>
              </w:rPr>
              <w:t>and October to support identifying constraints and pathway improvements</w:t>
            </w:r>
          </w:p>
        </w:tc>
        <w:tc>
          <w:tcPr>
            <w:tcW w:w="1306" w:type="pct"/>
            <w:shd w:val="clear" w:color="auto" w:fill="auto"/>
          </w:tcPr>
          <w:p w14:paraId="12140504" w14:textId="77777777" w:rsidR="00A82661" w:rsidRDefault="00A82661" w:rsidP="00E23F66">
            <w:pPr>
              <w:rPr>
                <w:rFonts w:ascii="Arial" w:hAnsi="Arial" w:cs="Arial"/>
              </w:rPr>
            </w:pPr>
            <w:r>
              <w:rPr>
                <w:rFonts w:ascii="Arial" w:hAnsi="Arial" w:cs="Arial"/>
              </w:rPr>
              <w:t>Q4 Priorities:</w:t>
            </w:r>
          </w:p>
          <w:p w14:paraId="251115B0" w14:textId="77777777" w:rsidR="00A82661" w:rsidRPr="007D1683" w:rsidRDefault="00A82661" w:rsidP="00A82661">
            <w:pPr>
              <w:pStyle w:val="ListParagraph"/>
              <w:numPr>
                <w:ilvl w:val="0"/>
                <w:numId w:val="50"/>
              </w:numPr>
              <w:rPr>
                <w:rFonts w:ascii="Arial" w:hAnsi="Arial" w:cs="Arial"/>
              </w:rPr>
            </w:pPr>
            <w:r>
              <w:rPr>
                <w:rFonts w:ascii="Arial" w:hAnsi="Arial" w:cs="Arial"/>
              </w:rPr>
              <w:t xml:space="preserve">New MDT Lead Clinician commences Feb 2024 – review MDM and data collection </w:t>
            </w:r>
          </w:p>
          <w:p w14:paraId="1B79D35C" w14:textId="77777777" w:rsidR="00A82661" w:rsidRPr="00AE0209" w:rsidRDefault="00A82661" w:rsidP="00E23F66">
            <w:pPr>
              <w:rPr>
                <w:rFonts w:ascii="Arial" w:hAnsi="Arial" w:cs="Arial"/>
              </w:rPr>
            </w:pPr>
          </w:p>
        </w:tc>
      </w:tr>
      <w:tr w:rsidR="00A82661" w:rsidRPr="00AE0209" w14:paraId="42876598" w14:textId="77777777" w:rsidTr="00E23F66">
        <w:tc>
          <w:tcPr>
            <w:tcW w:w="647" w:type="pct"/>
            <w:vMerge/>
            <w:shd w:val="clear" w:color="auto" w:fill="B8CCE4" w:themeFill="accent1" w:themeFillTint="66"/>
          </w:tcPr>
          <w:p w14:paraId="57444AF1" w14:textId="77777777" w:rsidR="00A82661" w:rsidRPr="00AE0209" w:rsidRDefault="00A82661" w:rsidP="00E23F66">
            <w:pPr>
              <w:rPr>
                <w:rFonts w:ascii="Arial" w:hAnsi="Arial" w:cs="Arial"/>
                <w:b/>
              </w:rPr>
            </w:pPr>
          </w:p>
        </w:tc>
        <w:tc>
          <w:tcPr>
            <w:tcW w:w="1123" w:type="pct"/>
            <w:shd w:val="clear" w:color="auto" w:fill="00B050"/>
          </w:tcPr>
          <w:p w14:paraId="71FBF569" w14:textId="77777777" w:rsidR="00A82661" w:rsidRPr="00AE0209" w:rsidRDefault="00A82661" w:rsidP="00E23F66">
            <w:pPr>
              <w:pStyle w:val="Default"/>
              <w:rPr>
                <w:color w:val="auto"/>
                <w:sz w:val="20"/>
                <w:szCs w:val="20"/>
              </w:rPr>
            </w:pPr>
            <w:r w:rsidRPr="00AE0209">
              <w:rPr>
                <w:color w:val="auto"/>
                <w:sz w:val="20"/>
                <w:szCs w:val="20"/>
              </w:rPr>
              <w:t xml:space="preserve">Bladder: Commence Improvements to Ward A to deliver high care services (two beds) </w:t>
            </w:r>
          </w:p>
        </w:tc>
        <w:tc>
          <w:tcPr>
            <w:tcW w:w="1012" w:type="pct"/>
            <w:vMerge w:val="restart"/>
            <w:shd w:val="clear" w:color="auto" w:fill="00B050"/>
          </w:tcPr>
          <w:p w14:paraId="6A02B2A1" w14:textId="77777777" w:rsidR="00A82661" w:rsidRPr="00AE0209" w:rsidRDefault="00A82661" w:rsidP="00E23F66">
            <w:pPr>
              <w:rPr>
                <w:rFonts w:ascii="Arial" w:hAnsi="Arial" w:cs="Arial"/>
              </w:rPr>
            </w:pPr>
            <w:r w:rsidRPr="00AE0209">
              <w:rPr>
                <w:rFonts w:ascii="Arial" w:hAnsi="Arial" w:cs="Arial"/>
                <w:b/>
              </w:rPr>
              <w:t xml:space="preserve">Approve Robotics case at BCAG/ MB </w:t>
            </w:r>
            <w:r>
              <w:rPr>
                <w:rFonts w:ascii="Arial" w:hAnsi="Arial" w:cs="Arial"/>
                <w:b/>
              </w:rPr>
              <w:t>– implement initially in urology from Q1 24/25</w:t>
            </w:r>
          </w:p>
        </w:tc>
        <w:tc>
          <w:tcPr>
            <w:tcW w:w="912" w:type="pct"/>
            <w:vMerge w:val="restart"/>
            <w:shd w:val="clear" w:color="auto" w:fill="00B050"/>
          </w:tcPr>
          <w:p w14:paraId="048BC380" w14:textId="77777777" w:rsidR="00A82661" w:rsidRPr="00DF20DB" w:rsidRDefault="00A82661" w:rsidP="00A82661">
            <w:pPr>
              <w:pStyle w:val="ListParagraph"/>
              <w:numPr>
                <w:ilvl w:val="0"/>
                <w:numId w:val="50"/>
              </w:numPr>
              <w:rPr>
                <w:rFonts w:ascii="Arial" w:hAnsi="Arial" w:cs="Arial"/>
              </w:rPr>
            </w:pPr>
            <w:r>
              <w:rPr>
                <w:rFonts w:ascii="Arial" w:hAnsi="Arial" w:cs="Arial"/>
              </w:rPr>
              <w:t>Notice served to CAVUHB for Robot for Urology</w:t>
            </w:r>
          </w:p>
        </w:tc>
        <w:tc>
          <w:tcPr>
            <w:tcW w:w="1306" w:type="pct"/>
            <w:vMerge w:val="restart"/>
            <w:shd w:val="clear" w:color="auto" w:fill="auto"/>
          </w:tcPr>
          <w:p w14:paraId="00D7C664" w14:textId="77777777" w:rsidR="00A82661" w:rsidRPr="007D1683" w:rsidRDefault="00A82661" w:rsidP="00E23F66">
            <w:pPr>
              <w:rPr>
                <w:rFonts w:ascii="Arial" w:hAnsi="Arial" w:cs="Arial"/>
              </w:rPr>
            </w:pPr>
            <w:r w:rsidRPr="007D1683">
              <w:rPr>
                <w:rFonts w:ascii="Arial" w:hAnsi="Arial" w:cs="Arial"/>
              </w:rPr>
              <w:t>Q4 Priorities:</w:t>
            </w:r>
          </w:p>
          <w:p w14:paraId="70E2A957" w14:textId="77777777" w:rsidR="00A82661" w:rsidRPr="007D1683" w:rsidRDefault="00A82661" w:rsidP="00A82661">
            <w:pPr>
              <w:pStyle w:val="ListParagraph"/>
              <w:numPr>
                <w:ilvl w:val="0"/>
                <w:numId w:val="50"/>
              </w:numPr>
              <w:rPr>
                <w:rFonts w:ascii="Arial" w:hAnsi="Arial" w:cs="Arial"/>
              </w:rPr>
            </w:pPr>
            <w:r w:rsidRPr="007D1683">
              <w:rPr>
                <w:rFonts w:ascii="Arial" w:hAnsi="Arial" w:cs="Arial"/>
              </w:rPr>
              <w:t>The urology MDT and wider support services are working with Improvement Cymru to identify constraints and pathway improvements in relation to the diagnostic phase of pathway for Bladder and Prostate.</w:t>
            </w:r>
          </w:p>
        </w:tc>
      </w:tr>
      <w:tr w:rsidR="00A82661" w:rsidRPr="00AE0209" w14:paraId="252BF70E" w14:textId="77777777" w:rsidTr="00E23F66">
        <w:tc>
          <w:tcPr>
            <w:tcW w:w="647" w:type="pct"/>
            <w:vMerge/>
            <w:shd w:val="clear" w:color="auto" w:fill="B8CCE4" w:themeFill="accent1" w:themeFillTint="66"/>
          </w:tcPr>
          <w:p w14:paraId="5F514851" w14:textId="77777777" w:rsidR="00A82661" w:rsidRPr="00AE0209" w:rsidRDefault="00A82661" w:rsidP="00E23F66">
            <w:pPr>
              <w:rPr>
                <w:rFonts w:ascii="Arial" w:hAnsi="Arial" w:cs="Arial"/>
                <w:b/>
              </w:rPr>
            </w:pPr>
          </w:p>
        </w:tc>
        <w:tc>
          <w:tcPr>
            <w:tcW w:w="1123" w:type="pct"/>
            <w:shd w:val="clear" w:color="auto" w:fill="00B050"/>
          </w:tcPr>
          <w:p w14:paraId="4C502BEF" w14:textId="77777777" w:rsidR="00A82661" w:rsidRPr="00AE0209" w:rsidRDefault="00A82661" w:rsidP="00E23F66">
            <w:pPr>
              <w:autoSpaceDE w:val="0"/>
              <w:autoSpaceDN w:val="0"/>
              <w:adjustRightInd w:val="0"/>
              <w:spacing w:after="0" w:line="240" w:lineRule="auto"/>
              <w:rPr>
                <w:rFonts w:ascii="Arial" w:hAnsi="Arial" w:cs="Arial"/>
              </w:rPr>
            </w:pPr>
            <w:r w:rsidRPr="00AE0209">
              <w:rPr>
                <w:rFonts w:ascii="Arial" w:hAnsi="Arial" w:cs="Arial"/>
              </w:rPr>
              <w:t>Develop business case This would provide cross cover of theatre lists, release of consultant time and facilitate additional operating lists in Neath</w:t>
            </w:r>
          </w:p>
        </w:tc>
        <w:tc>
          <w:tcPr>
            <w:tcW w:w="1012" w:type="pct"/>
            <w:vMerge/>
            <w:shd w:val="clear" w:color="auto" w:fill="auto"/>
          </w:tcPr>
          <w:p w14:paraId="3AB247DE" w14:textId="77777777" w:rsidR="00A82661" w:rsidRPr="00AE0209" w:rsidRDefault="00A82661" w:rsidP="00E23F66">
            <w:pPr>
              <w:rPr>
                <w:rFonts w:ascii="Arial" w:hAnsi="Arial" w:cs="Arial"/>
                <w:b/>
              </w:rPr>
            </w:pPr>
          </w:p>
        </w:tc>
        <w:tc>
          <w:tcPr>
            <w:tcW w:w="912" w:type="pct"/>
            <w:vMerge/>
            <w:shd w:val="clear" w:color="auto" w:fill="auto"/>
          </w:tcPr>
          <w:p w14:paraId="647BD388" w14:textId="77777777" w:rsidR="00A82661" w:rsidRPr="00AE0209" w:rsidRDefault="00A82661" w:rsidP="00E23F66">
            <w:pPr>
              <w:rPr>
                <w:rFonts w:ascii="Arial" w:hAnsi="Arial" w:cs="Arial"/>
              </w:rPr>
            </w:pPr>
          </w:p>
        </w:tc>
        <w:tc>
          <w:tcPr>
            <w:tcW w:w="1306" w:type="pct"/>
            <w:vMerge/>
            <w:shd w:val="clear" w:color="auto" w:fill="auto"/>
          </w:tcPr>
          <w:p w14:paraId="7D6EF7F9" w14:textId="77777777" w:rsidR="00A82661" w:rsidRPr="007D1683" w:rsidRDefault="00A82661" w:rsidP="00E23F66">
            <w:pPr>
              <w:rPr>
                <w:rFonts w:ascii="Arial" w:hAnsi="Arial" w:cs="Arial"/>
              </w:rPr>
            </w:pPr>
          </w:p>
        </w:tc>
      </w:tr>
      <w:tr w:rsidR="00A82661" w:rsidRPr="00AE0209" w14:paraId="1A1C1147" w14:textId="77777777" w:rsidTr="00E23F66">
        <w:tc>
          <w:tcPr>
            <w:tcW w:w="647" w:type="pct"/>
            <w:vMerge/>
            <w:shd w:val="clear" w:color="auto" w:fill="B8CCE4" w:themeFill="accent1" w:themeFillTint="66"/>
          </w:tcPr>
          <w:p w14:paraId="22B1A7A2" w14:textId="77777777" w:rsidR="00A82661" w:rsidRPr="00AE0209" w:rsidRDefault="00A82661" w:rsidP="00E23F66">
            <w:pPr>
              <w:rPr>
                <w:rFonts w:ascii="Arial" w:hAnsi="Arial" w:cs="Arial"/>
                <w:b/>
              </w:rPr>
            </w:pPr>
          </w:p>
        </w:tc>
        <w:tc>
          <w:tcPr>
            <w:tcW w:w="1123" w:type="pct"/>
            <w:shd w:val="clear" w:color="auto" w:fill="00B050"/>
          </w:tcPr>
          <w:p w14:paraId="1478B9A3" w14:textId="77777777" w:rsidR="00A82661" w:rsidRPr="00AE0209" w:rsidRDefault="00A82661" w:rsidP="00E23F66">
            <w:pPr>
              <w:autoSpaceDE w:val="0"/>
              <w:autoSpaceDN w:val="0"/>
              <w:adjustRightInd w:val="0"/>
              <w:spacing w:after="0" w:line="240" w:lineRule="auto"/>
              <w:rPr>
                <w:rFonts w:ascii="Arial" w:hAnsi="Arial" w:cs="Arial"/>
              </w:rPr>
            </w:pPr>
            <w:r w:rsidRPr="00AE0209">
              <w:rPr>
                <w:rFonts w:ascii="Arial" w:hAnsi="Arial" w:cs="Arial"/>
              </w:rPr>
              <w:t>Work with Hywel Dda to review current delays in the pathway and establish solutions that would increase prompt early referral to the tertiary service in SBUHB</w:t>
            </w:r>
          </w:p>
        </w:tc>
        <w:tc>
          <w:tcPr>
            <w:tcW w:w="1012" w:type="pct"/>
            <w:vMerge/>
            <w:shd w:val="clear" w:color="auto" w:fill="auto"/>
          </w:tcPr>
          <w:p w14:paraId="76765623" w14:textId="77777777" w:rsidR="00A82661" w:rsidRPr="00AE0209" w:rsidRDefault="00A82661" w:rsidP="00E23F66">
            <w:pPr>
              <w:rPr>
                <w:rFonts w:ascii="Arial" w:hAnsi="Arial" w:cs="Arial"/>
              </w:rPr>
            </w:pPr>
          </w:p>
        </w:tc>
        <w:tc>
          <w:tcPr>
            <w:tcW w:w="912" w:type="pct"/>
            <w:vMerge/>
            <w:shd w:val="clear" w:color="auto" w:fill="auto"/>
          </w:tcPr>
          <w:p w14:paraId="34D37833" w14:textId="77777777" w:rsidR="00A82661" w:rsidRPr="00AE0209" w:rsidRDefault="00A82661" w:rsidP="00E23F66">
            <w:pPr>
              <w:rPr>
                <w:rFonts w:ascii="Arial" w:hAnsi="Arial" w:cs="Arial"/>
              </w:rPr>
            </w:pPr>
          </w:p>
        </w:tc>
        <w:tc>
          <w:tcPr>
            <w:tcW w:w="1306" w:type="pct"/>
            <w:vMerge/>
            <w:shd w:val="clear" w:color="auto" w:fill="auto"/>
          </w:tcPr>
          <w:p w14:paraId="2FB6FD31" w14:textId="77777777" w:rsidR="00A82661" w:rsidRPr="00AE0209" w:rsidRDefault="00A82661" w:rsidP="00E23F66">
            <w:pPr>
              <w:rPr>
                <w:rFonts w:ascii="Arial" w:hAnsi="Arial" w:cs="Arial"/>
              </w:rPr>
            </w:pPr>
          </w:p>
        </w:tc>
      </w:tr>
      <w:tr w:rsidR="00A82661" w:rsidRPr="00AE0209" w14:paraId="22FEF49A" w14:textId="77777777" w:rsidTr="00E23F66">
        <w:tc>
          <w:tcPr>
            <w:tcW w:w="647" w:type="pct"/>
            <w:vMerge w:val="restart"/>
            <w:shd w:val="clear" w:color="auto" w:fill="B8CCE4" w:themeFill="accent1" w:themeFillTint="66"/>
          </w:tcPr>
          <w:p w14:paraId="41CF876A" w14:textId="77777777" w:rsidR="00A82661" w:rsidRPr="00AE0209" w:rsidRDefault="00A82661" w:rsidP="00E23F66">
            <w:pPr>
              <w:rPr>
                <w:rFonts w:ascii="Arial" w:hAnsi="Arial" w:cs="Arial"/>
                <w:b/>
              </w:rPr>
            </w:pPr>
            <w:r w:rsidRPr="00AE0209">
              <w:rPr>
                <w:rFonts w:ascii="Arial" w:hAnsi="Arial" w:cs="Arial"/>
                <w:b/>
              </w:rPr>
              <w:t>Cancer Recovery Plans 23/24: Lung</w:t>
            </w:r>
          </w:p>
        </w:tc>
        <w:tc>
          <w:tcPr>
            <w:tcW w:w="1123" w:type="pct"/>
            <w:shd w:val="clear" w:color="auto" w:fill="00B050"/>
          </w:tcPr>
          <w:p w14:paraId="518AD74E" w14:textId="77777777" w:rsidR="00A82661" w:rsidRPr="00AE0209" w:rsidRDefault="00A82661" w:rsidP="00E23F66">
            <w:pPr>
              <w:autoSpaceDE w:val="0"/>
              <w:autoSpaceDN w:val="0"/>
              <w:adjustRightInd w:val="0"/>
              <w:spacing w:after="0" w:line="240" w:lineRule="auto"/>
              <w:rPr>
                <w:rFonts w:ascii="Arial" w:hAnsi="Arial" w:cs="Arial"/>
              </w:rPr>
            </w:pPr>
            <w:r w:rsidRPr="00AE0209">
              <w:rPr>
                <w:rFonts w:ascii="Arial" w:hAnsi="Arial" w:cs="Arial"/>
              </w:rPr>
              <w:t>Reinstate walk-in” service for chest x-rays for patients referred by the GP</w:t>
            </w:r>
          </w:p>
        </w:tc>
        <w:tc>
          <w:tcPr>
            <w:tcW w:w="1012" w:type="pct"/>
            <w:vMerge w:val="restart"/>
            <w:shd w:val="clear" w:color="auto" w:fill="00B050"/>
          </w:tcPr>
          <w:p w14:paraId="5672B775" w14:textId="77777777" w:rsidR="00A82661" w:rsidRPr="003C664F" w:rsidRDefault="00A82661" w:rsidP="00E23F66">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Progressed developments for dedicated radiology rooms to accommodate</w:t>
            </w:r>
          </w:p>
          <w:p w14:paraId="09F4E178" w14:textId="77777777" w:rsidR="00A82661" w:rsidRPr="003C664F" w:rsidRDefault="00A82661" w:rsidP="00E23F66">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 xml:space="preserve">patients requiring CT guided biopsy currently </w:t>
            </w:r>
            <w:r w:rsidRPr="003C664F">
              <w:rPr>
                <w:rFonts w:ascii="ArialMT" w:eastAsiaTheme="minorHAnsi" w:hAnsi="ArialMT" w:cs="ArialMT"/>
                <w:b/>
              </w:rPr>
              <w:lastRenderedPageBreak/>
              <w:t>requiring admission to hospital for post</w:t>
            </w:r>
          </w:p>
          <w:p w14:paraId="127A6388" w14:textId="77777777" w:rsidR="00A82661" w:rsidRPr="00AE0209" w:rsidRDefault="00A82661" w:rsidP="00E23F66">
            <w:pPr>
              <w:rPr>
                <w:rFonts w:ascii="Arial" w:hAnsi="Arial" w:cs="Arial"/>
              </w:rPr>
            </w:pPr>
            <w:r w:rsidRPr="003C664F">
              <w:rPr>
                <w:rFonts w:ascii="ArialMT" w:eastAsiaTheme="minorHAnsi" w:hAnsi="ArialMT" w:cs="ArialMT"/>
                <w:b/>
              </w:rPr>
              <w:t>procedure monitoring</w:t>
            </w:r>
          </w:p>
        </w:tc>
        <w:tc>
          <w:tcPr>
            <w:tcW w:w="912" w:type="pct"/>
            <w:vMerge w:val="restart"/>
            <w:shd w:val="clear" w:color="auto" w:fill="00B050"/>
          </w:tcPr>
          <w:p w14:paraId="7C490EF3" w14:textId="77777777" w:rsidR="00A82661" w:rsidRPr="005734EA" w:rsidRDefault="00A82661" w:rsidP="00E23F66">
            <w:pPr>
              <w:rPr>
                <w:rFonts w:ascii="Arial" w:hAnsi="Arial" w:cs="Arial"/>
                <w:sz w:val="22"/>
                <w:szCs w:val="22"/>
              </w:rPr>
            </w:pPr>
            <w:r w:rsidRPr="005734EA">
              <w:rPr>
                <w:rStyle w:val="ui-provider"/>
                <w:rFonts w:ascii="Arial" w:hAnsi="Arial" w:cs="Arial"/>
                <w:sz w:val="22"/>
                <w:szCs w:val="22"/>
              </w:rPr>
              <w:lastRenderedPageBreak/>
              <w:t xml:space="preserve">Work to address a number of key delays in the pathway for lung cancer patients’ in </w:t>
            </w:r>
            <w:r w:rsidRPr="005734EA">
              <w:rPr>
                <w:rStyle w:val="ui-provider"/>
                <w:rFonts w:ascii="Arial" w:hAnsi="Arial" w:cs="Arial"/>
                <w:sz w:val="22"/>
                <w:szCs w:val="22"/>
              </w:rPr>
              <w:lastRenderedPageBreak/>
              <w:t>particular diagnostic delays around access to CT biopsy and complex immunohistochemistry and molecular analysis of pathology specimens.  Diagnostic difficulty has contributed to the breach position, where repeat biopsies have been required to establish a confirmatory diagnosis as well as synchronous presentation of multiple separate primary tumours</w:t>
            </w:r>
          </w:p>
        </w:tc>
        <w:tc>
          <w:tcPr>
            <w:tcW w:w="1306" w:type="pct"/>
            <w:vMerge w:val="restart"/>
            <w:shd w:val="clear" w:color="auto" w:fill="auto"/>
          </w:tcPr>
          <w:p w14:paraId="19CF8979" w14:textId="77777777" w:rsidR="00A82661" w:rsidRDefault="00A82661" w:rsidP="00E23F66">
            <w:pPr>
              <w:rPr>
                <w:rFonts w:ascii="Arial" w:hAnsi="Arial" w:cs="Arial"/>
              </w:rPr>
            </w:pPr>
            <w:r>
              <w:rPr>
                <w:rFonts w:ascii="Arial" w:hAnsi="Arial" w:cs="Arial"/>
              </w:rPr>
              <w:lastRenderedPageBreak/>
              <w:t>Q4 Priorities:</w:t>
            </w:r>
          </w:p>
          <w:p w14:paraId="49D9B0E9" w14:textId="77777777" w:rsidR="00A82661" w:rsidRDefault="00A82661" w:rsidP="00A82661">
            <w:pPr>
              <w:pStyle w:val="ListParagraph"/>
              <w:numPr>
                <w:ilvl w:val="0"/>
                <w:numId w:val="50"/>
              </w:numPr>
              <w:rPr>
                <w:rFonts w:ascii="Arial" w:hAnsi="Arial" w:cs="Arial"/>
              </w:rPr>
            </w:pPr>
            <w:r w:rsidRPr="007D1683">
              <w:rPr>
                <w:rFonts w:ascii="Arial" w:hAnsi="Arial" w:cs="Arial"/>
              </w:rPr>
              <w:t xml:space="preserve">Lung MDT Lead and management team are </w:t>
            </w:r>
            <w:r w:rsidRPr="007D1683">
              <w:rPr>
                <w:rFonts w:ascii="Arial" w:hAnsi="Arial" w:cs="Arial"/>
              </w:rPr>
              <w:lastRenderedPageBreak/>
              <w:t xml:space="preserve">reviewing an improvement plan to be presented to the Lung Scrutiny Meeting </w:t>
            </w:r>
            <w:r>
              <w:rPr>
                <w:rFonts w:ascii="Arial" w:hAnsi="Arial" w:cs="Arial"/>
              </w:rPr>
              <w:t>Feb 2024</w:t>
            </w:r>
          </w:p>
          <w:p w14:paraId="3F64BF33" w14:textId="77777777" w:rsidR="00A82661" w:rsidRPr="007D1683" w:rsidRDefault="00A82661" w:rsidP="00A82661">
            <w:pPr>
              <w:pStyle w:val="ListParagraph"/>
              <w:numPr>
                <w:ilvl w:val="0"/>
                <w:numId w:val="50"/>
              </w:numPr>
              <w:rPr>
                <w:rFonts w:ascii="Arial" w:hAnsi="Arial" w:cs="Arial"/>
              </w:rPr>
            </w:pPr>
            <w:r w:rsidRPr="007D1683">
              <w:rPr>
                <w:rFonts w:ascii="Arial" w:hAnsi="Arial" w:cs="Arial"/>
              </w:rPr>
              <w:t>Radiology progressing developments for dedicated radiology space to accommodate patients requiring CT guided biopsy currently requiring admission to hospital for post procedure monitoring.</w:t>
            </w:r>
          </w:p>
          <w:p w14:paraId="1707D83A" w14:textId="77777777" w:rsidR="00A82661" w:rsidRPr="007D1683" w:rsidRDefault="00A82661" w:rsidP="00A82661">
            <w:pPr>
              <w:pStyle w:val="ListParagraph"/>
              <w:numPr>
                <w:ilvl w:val="0"/>
                <w:numId w:val="50"/>
              </w:numPr>
              <w:rPr>
                <w:rFonts w:ascii="Arial" w:hAnsi="Arial" w:cs="Arial"/>
              </w:rPr>
            </w:pPr>
            <w:r>
              <w:rPr>
                <w:rFonts w:ascii="Arial" w:hAnsi="Arial" w:cs="Arial"/>
              </w:rPr>
              <w:t>Locum Thoracic Surgeon to be in place by Feb/Mar 2024</w:t>
            </w:r>
          </w:p>
        </w:tc>
      </w:tr>
      <w:tr w:rsidR="00A82661" w:rsidRPr="00AE0209" w14:paraId="23A94380" w14:textId="77777777" w:rsidTr="00E23F66">
        <w:tc>
          <w:tcPr>
            <w:tcW w:w="647" w:type="pct"/>
            <w:vMerge/>
            <w:shd w:val="clear" w:color="auto" w:fill="B8CCE4" w:themeFill="accent1" w:themeFillTint="66"/>
          </w:tcPr>
          <w:p w14:paraId="29FA6F05" w14:textId="77777777" w:rsidR="00A82661" w:rsidRPr="00AE0209" w:rsidRDefault="00A82661" w:rsidP="00E23F66">
            <w:pPr>
              <w:rPr>
                <w:rFonts w:ascii="Arial" w:hAnsi="Arial" w:cs="Arial"/>
                <w:b/>
              </w:rPr>
            </w:pPr>
          </w:p>
        </w:tc>
        <w:tc>
          <w:tcPr>
            <w:tcW w:w="1123" w:type="pct"/>
            <w:shd w:val="clear" w:color="auto" w:fill="00B050"/>
          </w:tcPr>
          <w:p w14:paraId="0781D9B4" w14:textId="77777777" w:rsidR="00A82661" w:rsidRPr="00AE0209" w:rsidRDefault="00A82661" w:rsidP="00E23F66">
            <w:pPr>
              <w:pStyle w:val="Default"/>
              <w:rPr>
                <w:color w:val="auto"/>
                <w:sz w:val="20"/>
                <w:szCs w:val="20"/>
              </w:rPr>
            </w:pPr>
            <w:r w:rsidRPr="00AE0209">
              <w:rPr>
                <w:color w:val="auto"/>
                <w:sz w:val="20"/>
                <w:szCs w:val="20"/>
              </w:rPr>
              <w:t xml:space="preserve">Undertake pathway reviews </w:t>
            </w:r>
          </w:p>
        </w:tc>
        <w:tc>
          <w:tcPr>
            <w:tcW w:w="1012" w:type="pct"/>
            <w:vMerge/>
            <w:shd w:val="clear" w:color="auto" w:fill="auto"/>
          </w:tcPr>
          <w:p w14:paraId="1B897B6D" w14:textId="77777777" w:rsidR="00A82661" w:rsidRPr="00AE0209" w:rsidRDefault="00A82661" w:rsidP="00E23F66">
            <w:pPr>
              <w:rPr>
                <w:rFonts w:ascii="Arial" w:hAnsi="Arial" w:cs="Arial"/>
              </w:rPr>
            </w:pPr>
          </w:p>
        </w:tc>
        <w:tc>
          <w:tcPr>
            <w:tcW w:w="912" w:type="pct"/>
            <w:vMerge/>
            <w:shd w:val="clear" w:color="auto" w:fill="00B050"/>
          </w:tcPr>
          <w:p w14:paraId="0450BE72" w14:textId="77777777" w:rsidR="00A82661" w:rsidRPr="00AE0209" w:rsidRDefault="00A82661" w:rsidP="00E23F66">
            <w:pPr>
              <w:rPr>
                <w:rFonts w:ascii="Arial" w:hAnsi="Arial" w:cs="Arial"/>
              </w:rPr>
            </w:pPr>
          </w:p>
        </w:tc>
        <w:tc>
          <w:tcPr>
            <w:tcW w:w="1306" w:type="pct"/>
            <w:vMerge/>
            <w:shd w:val="clear" w:color="auto" w:fill="auto"/>
          </w:tcPr>
          <w:p w14:paraId="28A6D795" w14:textId="77777777" w:rsidR="00A82661" w:rsidRPr="00AE0209" w:rsidRDefault="00A82661" w:rsidP="00E23F66">
            <w:pPr>
              <w:rPr>
                <w:rFonts w:ascii="Arial" w:hAnsi="Arial" w:cs="Arial"/>
              </w:rPr>
            </w:pPr>
          </w:p>
        </w:tc>
      </w:tr>
      <w:tr w:rsidR="00A82661" w:rsidRPr="00AE0209" w14:paraId="51073F3B" w14:textId="77777777" w:rsidTr="00E23F66">
        <w:tc>
          <w:tcPr>
            <w:tcW w:w="647" w:type="pct"/>
            <w:vMerge/>
            <w:shd w:val="clear" w:color="auto" w:fill="B8CCE4" w:themeFill="accent1" w:themeFillTint="66"/>
          </w:tcPr>
          <w:p w14:paraId="2F8F4D35" w14:textId="77777777" w:rsidR="00A82661" w:rsidRPr="00AE0209" w:rsidRDefault="00A82661" w:rsidP="00E23F66">
            <w:pPr>
              <w:rPr>
                <w:rFonts w:ascii="Arial" w:hAnsi="Arial" w:cs="Arial"/>
                <w:b/>
              </w:rPr>
            </w:pPr>
          </w:p>
        </w:tc>
        <w:tc>
          <w:tcPr>
            <w:tcW w:w="3047" w:type="pct"/>
            <w:gridSpan w:val="3"/>
            <w:shd w:val="clear" w:color="auto" w:fill="00B050"/>
          </w:tcPr>
          <w:p w14:paraId="2791BD93" w14:textId="77777777" w:rsidR="00A82661" w:rsidRPr="005734EA" w:rsidRDefault="00A82661" w:rsidP="00E23F66">
            <w:pPr>
              <w:rPr>
                <w:rFonts w:ascii="Arial" w:hAnsi="Arial" w:cs="Arial"/>
                <w:sz w:val="24"/>
                <w:szCs w:val="24"/>
              </w:rPr>
            </w:pPr>
            <w:r w:rsidRPr="005734EA">
              <w:rPr>
                <w:rFonts w:ascii="Arial" w:hAnsi="Arial" w:cs="Arial"/>
                <w:sz w:val="24"/>
                <w:szCs w:val="24"/>
              </w:rPr>
              <w:t>Develop business case for a Radiology Treatment Room (2 trolleys) that will provide capacity for CT Biopsy service at Morriston</w:t>
            </w:r>
          </w:p>
        </w:tc>
        <w:tc>
          <w:tcPr>
            <w:tcW w:w="1306" w:type="pct"/>
            <w:vMerge/>
            <w:shd w:val="clear" w:color="auto" w:fill="auto"/>
          </w:tcPr>
          <w:p w14:paraId="1D2289A5" w14:textId="77777777" w:rsidR="00A82661" w:rsidRPr="00AE0209" w:rsidRDefault="00A82661" w:rsidP="00E23F66">
            <w:pPr>
              <w:rPr>
                <w:rFonts w:ascii="Arial" w:hAnsi="Arial" w:cs="Arial"/>
              </w:rPr>
            </w:pPr>
          </w:p>
        </w:tc>
      </w:tr>
      <w:tr w:rsidR="00A82661" w:rsidRPr="00AE0209" w14:paraId="63D38E42" w14:textId="77777777" w:rsidTr="00E23F66">
        <w:tc>
          <w:tcPr>
            <w:tcW w:w="647" w:type="pct"/>
            <w:shd w:val="clear" w:color="auto" w:fill="B8CCE4" w:themeFill="accent1" w:themeFillTint="66"/>
          </w:tcPr>
          <w:p w14:paraId="1E118E6E" w14:textId="77777777" w:rsidR="00A82661" w:rsidRPr="00AE0209" w:rsidRDefault="00A82661" w:rsidP="00E23F66">
            <w:pPr>
              <w:rPr>
                <w:rFonts w:ascii="Arial" w:hAnsi="Arial" w:cs="Arial"/>
                <w:b/>
              </w:rPr>
            </w:pPr>
            <w:r w:rsidRPr="00AE0209">
              <w:rPr>
                <w:rFonts w:ascii="Arial" w:hAnsi="Arial" w:cs="Arial"/>
                <w:b/>
              </w:rPr>
              <w:t>Endoscopy</w:t>
            </w:r>
          </w:p>
          <w:p w14:paraId="2291DD31" w14:textId="77777777" w:rsidR="00A82661" w:rsidRPr="00AE0209" w:rsidRDefault="00A82661" w:rsidP="00E23F66">
            <w:pPr>
              <w:rPr>
                <w:rFonts w:ascii="Arial" w:hAnsi="Arial" w:cs="Arial"/>
                <w:b/>
              </w:rPr>
            </w:pPr>
            <w:r w:rsidRPr="00AE0209">
              <w:rPr>
                <w:rFonts w:ascii="Arial" w:hAnsi="Arial" w:cs="Arial"/>
                <w:b/>
              </w:rPr>
              <w:t xml:space="preserve">PC_011 </w:t>
            </w:r>
          </w:p>
        </w:tc>
        <w:tc>
          <w:tcPr>
            <w:tcW w:w="1123" w:type="pct"/>
            <w:shd w:val="clear" w:color="auto" w:fill="FFC000"/>
          </w:tcPr>
          <w:p w14:paraId="50DF625D" w14:textId="77777777" w:rsidR="00A82661" w:rsidRPr="00AE0209" w:rsidRDefault="00A82661" w:rsidP="00E23F66">
            <w:pPr>
              <w:pStyle w:val="Default"/>
              <w:rPr>
                <w:color w:val="auto"/>
                <w:sz w:val="20"/>
                <w:szCs w:val="20"/>
              </w:rPr>
            </w:pPr>
            <w:r w:rsidRPr="00AE0209">
              <w:rPr>
                <w:color w:val="auto"/>
                <w:sz w:val="20"/>
                <w:szCs w:val="20"/>
              </w:rPr>
              <w:t xml:space="preserve">Deliver regional plan for South West Wales, as submitted to WG - proposed the recruitment of additional medical and non-medical endoscopists with the associated supporting staff.  </w:t>
            </w:r>
          </w:p>
          <w:p w14:paraId="24CD6127" w14:textId="77777777" w:rsidR="00A82661" w:rsidRPr="00AE0209" w:rsidRDefault="00A82661" w:rsidP="00E23F66">
            <w:pPr>
              <w:pStyle w:val="Default"/>
              <w:rPr>
                <w:color w:val="auto"/>
                <w:sz w:val="20"/>
                <w:szCs w:val="20"/>
              </w:rPr>
            </w:pPr>
          </w:p>
          <w:p w14:paraId="7614E710" w14:textId="77777777" w:rsidR="00A82661" w:rsidRPr="00AE0209" w:rsidRDefault="00A82661" w:rsidP="00E23F66">
            <w:pPr>
              <w:pStyle w:val="Default"/>
              <w:rPr>
                <w:color w:val="auto"/>
                <w:sz w:val="20"/>
                <w:szCs w:val="20"/>
              </w:rPr>
            </w:pPr>
            <w:r w:rsidRPr="00AE0209">
              <w:rPr>
                <w:color w:val="auto"/>
                <w:sz w:val="20"/>
                <w:szCs w:val="20"/>
              </w:rPr>
              <w:t>In the interim, insourcing/outsourcing solutions will provide the capacity to reduce waiting times within the 8-week waiting time target by the end of March 2024</w:t>
            </w:r>
          </w:p>
        </w:tc>
        <w:tc>
          <w:tcPr>
            <w:tcW w:w="1012" w:type="pct"/>
            <w:shd w:val="clear" w:color="auto" w:fill="00B050"/>
          </w:tcPr>
          <w:p w14:paraId="1AF13F1C" w14:textId="77777777" w:rsidR="00A82661" w:rsidRDefault="00A82661" w:rsidP="00E23F66">
            <w:pPr>
              <w:rPr>
                <w:rFonts w:ascii="Arial" w:hAnsi="Arial" w:cs="Arial"/>
                <w:b/>
              </w:rPr>
            </w:pPr>
            <w:r w:rsidRPr="00AE0209">
              <w:rPr>
                <w:rFonts w:ascii="Arial" w:hAnsi="Arial" w:cs="Arial"/>
                <w:b/>
              </w:rPr>
              <w:t xml:space="preserve">Appointed 2 new Gastroenterology Consultant posts - 0.8wte </w:t>
            </w:r>
            <w:r>
              <w:rPr>
                <w:rFonts w:ascii="Arial" w:hAnsi="Arial" w:cs="Arial"/>
                <w:b/>
              </w:rPr>
              <w:t xml:space="preserve">commenced in </w:t>
            </w:r>
            <w:r w:rsidRPr="00AE0209">
              <w:rPr>
                <w:rFonts w:ascii="Arial" w:hAnsi="Arial" w:cs="Arial"/>
                <w:b/>
              </w:rPr>
              <w:t xml:space="preserve">September.                                      </w:t>
            </w:r>
            <w:r>
              <w:rPr>
                <w:rFonts w:ascii="Arial" w:hAnsi="Arial" w:cs="Arial"/>
                <w:b/>
              </w:rPr>
              <w:t xml:space="preserve">Recruited </w:t>
            </w:r>
            <w:r w:rsidRPr="00AE0209">
              <w:rPr>
                <w:rFonts w:ascii="Arial" w:hAnsi="Arial" w:cs="Arial"/>
                <w:b/>
              </w:rPr>
              <w:t xml:space="preserve">additional Endoscopy Nursing Team. </w:t>
            </w:r>
          </w:p>
          <w:p w14:paraId="340ED709" w14:textId="77777777" w:rsidR="00A82661" w:rsidRPr="00AE0209" w:rsidRDefault="00A82661" w:rsidP="00E23F66">
            <w:pPr>
              <w:rPr>
                <w:rFonts w:ascii="Arial" w:hAnsi="Arial" w:cs="Arial"/>
                <w:b/>
              </w:rPr>
            </w:pPr>
            <w:r>
              <w:rPr>
                <w:rFonts w:ascii="Arial" w:hAnsi="Arial" w:cs="Arial"/>
                <w:b/>
              </w:rPr>
              <w:t>Regional Diagnostics Programme agreed with ARCH</w:t>
            </w:r>
          </w:p>
        </w:tc>
        <w:tc>
          <w:tcPr>
            <w:tcW w:w="912" w:type="pct"/>
            <w:shd w:val="clear" w:color="auto" w:fill="FFC000"/>
          </w:tcPr>
          <w:p w14:paraId="385C4126" w14:textId="77777777" w:rsidR="00A82661" w:rsidRPr="00822B2D" w:rsidRDefault="00A82661" w:rsidP="00E23F66">
            <w:pPr>
              <w:rPr>
                <w:rFonts w:ascii="Arial" w:hAnsi="Arial" w:cs="Arial"/>
                <w:sz w:val="22"/>
                <w:szCs w:val="22"/>
              </w:rPr>
            </w:pPr>
            <w:r w:rsidRPr="00822B2D">
              <w:rPr>
                <w:rFonts w:ascii="Arial" w:hAnsi="Arial" w:cs="Arial"/>
                <w:sz w:val="22"/>
                <w:szCs w:val="22"/>
              </w:rPr>
              <w:t>Regional Activity</w:t>
            </w:r>
          </w:p>
          <w:p w14:paraId="463C1038" w14:textId="77777777" w:rsidR="00A82661" w:rsidRPr="00822B2D" w:rsidRDefault="00A82661" w:rsidP="00A82661">
            <w:pPr>
              <w:pStyle w:val="ListParagraph"/>
              <w:numPr>
                <w:ilvl w:val="0"/>
                <w:numId w:val="53"/>
              </w:numPr>
              <w:rPr>
                <w:rFonts w:ascii="Arial" w:hAnsi="Arial" w:cs="Arial"/>
                <w:sz w:val="22"/>
                <w:szCs w:val="22"/>
              </w:rPr>
            </w:pPr>
            <w:r w:rsidRPr="00822B2D">
              <w:rPr>
                <w:rFonts w:ascii="Arial" w:hAnsi="Arial" w:cs="Arial"/>
                <w:sz w:val="22"/>
                <w:szCs w:val="22"/>
              </w:rPr>
              <w:t>Continue working on expansion of Regional solutions</w:t>
            </w:r>
          </w:p>
          <w:p w14:paraId="0946FDC7" w14:textId="77777777" w:rsidR="00A82661" w:rsidRPr="00822B2D" w:rsidRDefault="00A82661" w:rsidP="00E23F66">
            <w:pPr>
              <w:rPr>
                <w:rFonts w:ascii="Arial" w:hAnsi="Arial" w:cs="Arial"/>
                <w:sz w:val="22"/>
                <w:szCs w:val="22"/>
              </w:rPr>
            </w:pPr>
            <w:r w:rsidRPr="00822B2D">
              <w:rPr>
                <w:rFonts w:ascii="Arial" w:hAnsi="Arial" w:cs="Arial"/>
                <w:sz w:val="22"/>
                <w:szCs w:val="22"/>
              </w:rPr>
              <w:t xml:space="preserve">Local Activity </w:t>
            </w:r>
          </w:p>
          <w:p w14:paraId="03826F13" w14:textId="77777777" w:rsidR="00A82661" w:rsidRPr="00822B2D" w:rsidRDefault="00A82661" w:rsidP="00A82661">
            <w:pPr>
              <w:pStyle w:val="ListParagraph"/>
              <w:numPr>
                <w:ilvl w:val="0"/>
                <w:numId w:val="53"/>
              </w:numPr>
              <w:rPr>
                <w:rFonts w:ascii="Arial" w:hAnsi="Arial" w:cs="Arial"/>
              </w:rPr>
            </w:pPr>
            <w:r w:rsidRPr="00822B2D">
              <w:rPr>
                <w:rFonts w:ascii="Arial" w:hAnsi="Arial" w:cs="Arial"/>
                <w:sz w:val="22"/>
                <w:szCs w:val="22"/>
              </w:rPr>
              <w:t xml:space="preserve">Improved Endoscopy </w:t>
            </w:r>
            <w:r w:rsidRPr="00822B2D">
              <w:rPr>
                <w:rFonts w:ascii="Arial" w:hAnsi="Arial" w:cs="Arial"/>
                <w:sz w:val="22"/>
                <w:szCs w:val="22"/>
              </w:rPr>
              <w:lastRenderedPageBreak/>
              <w:t xml:space="preserve">waiting times across all modalities </w:t>
            </w:r>
            <w:r w:rsidRPr="00822B2D">
              <w:rPr>
                <w:rStyle w:val="ui-provider"/>
                <w:rFonts w:ascii="Arial" w:hAnsi="Arial" w:cs="Arial"/>
                <w:sz w:val="22"/>
                <w:szCs w:val="22"/>
              </w:rPr>
              <w:t>although patient deferments to continue to impact our longest waiting cohorts</w:t>
            </w:r>
          </w:p>
        </w:tc>
        <w:tc>
          <w:tcPr>
            <w:tcW w:w="1306" w:type="pct"/>
            <w:shd w:val="clear" w:color="auto" w:fill="auto"/>
          </w:tcPr>
          <w:p w14:paraId="3DEBCCB9" w14:textId="77777777" w:rsidR="00A82661" w:rsidRPr="00C625E0" w:rsidRDefault="00A82661" w:rsidP="00E23F66">
            <w:pPr>
              <w:rPr>
                <w:rFonts w:ascii="Arial" w:hAnsi="Arial" w:cs="Arial"/>
              </w:rPr>
            </w:pPr>
            <w:r w:rsidRPr="00C625E0">
              <w:rPr>
                <w:rFonts w:ascii="Arial" w:hAnsi="Arial" w:cs="Arial"/>
              </w:rPr>
              <w:lastRenderedPageBreak/>
              <w:t>Endoscopy will achieve the revised target with Welsh Government:</w:t>
            </w:r>
          </w:p>
          <w:p w14:paraId="1A199E1D" w14:textId="77777777" w:rsidR="00A82661" w:rsidRPr="00AE0209" w:rsidRDefault="00A82661" w:rsidP="00E23F66">
            <w:pPr>
              <w:rPr>
                <w:rFonts w:ascii="Arial" w:hAnsi="Arial" w:cs="Arial"/>
              </w:rPr>
            </w:pPr>
            <w:r w:rsidRPr="00C625E0">
              <w:rPr>
                <w:rFonts w:ascii="Arial" w:hAnsi="Arial" w:cs="Arial"/>
              </w:rPr>
              <w:t>3466 patients waiting &gt; 8 weeks by end of March 2024.</w:t>
            </w:r>
          </w:p>
        </w:tc>
      </w:tr>
      <w:tr w:rsidR="00A82661" w:rsidRPr="00B1166E" w14:paraId="70CB518A" w14:textId="77777777" w:rsidTr="00E23F66">
        <w:trPr>
          <w:trHeight w:val="557"/>
        </w:trPr>
        <w:tc>
          <w:tcPr>
            <w:tcW w:w="647" w:type="pct"/>
            <w:shd w:val="clear" w:color="auto" w:fill="B8CCE4" w:themeFill="accent1" w:themeFillTint="66"/>
          </w:tcPr>
          <w:p w14:paraId="46055E01" w14:textId="77777777" w:rsidR="00A82661" w:rsidRPr="00AE0209" w:rsidRDefault="00A82661" w:rsidP="00E23F66">
            <w:pPr>
              <w:jc w:val="center"/>
              <w:rPr>
                <w:rFonts w:ascii="Arial" w:hAnsi="Arial" w:cs="Arial"/>
                <w:b/>
                <w:bCs/>
              </w:rPr>
            </w:pPr>
            <w:r w:rsidRPr="00AE0209">
              <w:rPr>
                <w:rFonts w:ascii="Arial" w:hAnsi="Arial" w:cs="Arial"/>
                <w:b/>
                <w:bCs/>
              </w:rPr>
              <w:t>Current Governance arrangements</w:t>
            </w:r>
          </w:p>
        </w:tc>
        <w:tc>
          <w:tcPr>
            <w:tcW w:w="4353" w:type="pct"/>
            <w:gridSpan w:val="4"/>
            <w:shd w:val="clear" w:color="auto" w:fill="auto"/>
          </w:tcPr>
          <w:p w14:paraId="56F43902" w14:textId="77777777" w:rsidR="00A82661" w:rsidRPr="00AE0209" w:rsidRDefault="00A82661" w:rsidP="00E23F66">
            <w:pPr>
              <w:rPr>
                <w:rFonts w:ascii="Arial" w:hAnsi="Arial" w:cs="Arial"/>
                <w:b/>
              </w:rPr>
            </w:pPr>
            <w:r w:rsidRPr="00AE0209">
              <w:rPr>
                <w:rFonts w:ascii="Arial" w:hAnsi="Arial" w:cs="Arial"/>
                <w:b/>
              </w:rPr>
              <w:t>Cancer Performance SRO: Deb Lewis</w:t>
            </w:r>
            <w:r>
              <w:rPr>
                <w:rFonts w:ascii="Arial" w:hAnsi="Arial" w:cs="Arial"/>
                <w:b/>
              </w:rPr>
              <w:t xml:space="preserve">/ Craige Wilson </w:t>
            </w:r>
          </w:p>
          <w:p w14:paraId="723BEA19" w14:textId="77777777" w:rsidR="00A82661" w:rsidRDefault="00A82661" w:rsidP="00E23F66">
            <w:pPr>
              <w:rPr>
                <w:rFonts w:ascii="Arial" w:hAnsi="Arial" w:cs="Arial"/>
              </w:rPr>
            </w:pPr>
            <w:r w:rsidRPr="00AE0209">
              <w:rPr>
                <w:rFonts w:ascii="Arial" w:hAnsi="Arial" w:cs="Arial"/>
              </w:rPr>
              <w:t>Currently weekly meetings with tumour site respective Directorate Managers to review performance and progress against plans.</w:t>
            </w:r>
          </w:p>
          <w:p w14:paraId="7F90C241" w14:textId="77777777" w:rsidR="00A82661" w:rsidRDefault="00A82661" w:rsidP="00E23F66">
            <w:pPr>
              <w:rPr>
                <w:rFonts w:ascii="Arial" w:hAnsi="Arial" w:cs="Arial"/>
              </w:rPr>
            </w:pPr>
            <w:r>
              <w:rPr>
                <w:rFonts w:ascii="Arial" w:hAnsi="Arial" w:cs="Arial"/>
              </w:rPr>
              <w:t>Overall:</w:t>
            </w:r>
          </w:p>
          <w:p w14:paraId="6F793D82" w14:textId="77777777" w:rsidR="00A82661" w:rsidRDefault="00A82661" w:rsidP="00E23F66">
            <w:pPr>
              <w:spacing w:after="0" w:line="240" w:lineRule="auto"/>
              <w:jc w:val="both"/>
              <w:rPr>
                <w:rFonts w:ascii="Arial" w:hAnsi="Arial" w:cs="Arial"/>
                <w:bCs/>
                <w:sz w:val="24"/>
                <w:szCs w:val="24"/>
              </w:rPr>
            </w:pPr>
            <w:r>
              <w:rPr>
                <w:rFonts w:ascii="Arial" w:hAnsi="Arial" w:cs="Arial"/>
                <w:bCs/>
                <w:sz w:val="24"/>
                <w:szCs w:val="24"/>
              </w:rPr>
              <w:t>W</w:t>
            </w:r>
            <w:r w:rsidRPr="0036330B">
              <w:rPr>
                <w:rFonts w:ascii="Arial" w:hAnsi="Arial" w:cs="Arial"/>
                <w:bCs/>
                <w:sz w:val="24"/>
                <w:szCs w:val="24"/>
              </w:rPr>
              <w:t xml:space="preserve">ith the exception of </w:t>
            </w:r>
            <w:r>
              <w:rPr>
                <w:rFonts w:ascii="Arial" w:hAnsi="Arial" w:cs="Arial"/>
                <w:bCs/>
                <w:sz w:val="24"/>
                <w:szCs w:val="24"/>
              </w:rPr>
              <w:t xml:space="preserve">Skin, Brain/CNS and Children’s, </w:t>
            </w:r>
            <w:r w:rsidRPr="0036330B">
              <w:rPr>
                <w:rFonts w:ascii="Arial" w:hAnsi="Arial" w:cs="Arial"/>
                <w:bCs/>
                <w:sz w:val="24"/>
                <w:szCs w:val="24"/>
              </w:rPr>
              <w:t xml:space="preserve">the required time to treatment timescales were not met. There </w:t>
            </w:r>
            <w:r>
              <w:rPr>
                <w:rFonts w:ascii="Arial" w:hAnsi="Arial" w:cs="Arial"/>
                <w:bCs/>
                <w:sz w:val="24"/>
                <w:szCs w:val="24"/>
              </w:rPr>
              <w:t xml:space="preserve">number reported to breach in December was unchanged from November 2023, and </w:t>
            </w:r>
            <w:r w:rsidRPr="0036330B">
              <w:rPr>
                <w:rFonts w:ascii="Arial" w:hAnsi="Arial" w:cs="Arial"/>
                <w:bCs/>
                <w:sz w:val="24"/>
                <w:szCs w:val="24"/>
              </w:rPr>
              <w:t xml:space="preserve">whilst </w:t>
            </w:r>
            <w:r>
              <w:rPr>
                <w:rFonts w:ascii="Arial" w:hAnsi="Arial" w:cs="Arial"/>
                <w:bCs/>
                <w:sz w:val="24"/>
                <w:szCs w:val="24"/>
              </w:rPr>
              <w:t xml:space="preserve">the </w:t>
            </w:r>
            <w:r w:rsidRPr="0036330B">
              <w:rPr>
                <w:rFonts w:ascii="Arial" w:hAnsi="Arial" w:cs="Arial"/>
                <w:bCs/>
                <w:sz w:val="24"/>
                <w:szCs w:val="24"/>
              </w:rPr>
              <w:t xml:space="preserve">total volume treated remained high, </w:t>
            </w:r>
            <w:r>
              <w:rPr>
                <w:rFonts w:ascii="Arial" w:hAnsi="Arial" w:cs="Arial"/>
                <w:bCs/>
                <w:sz w:val="24"/>
                <w:szCs w:val="24"/>
              </w:rPr>
              <w:t>the volume was slightly lower, resulting in the drop in performance.</w:t>
            </w:r>
          </w:p>
          <w:p w14:paraId="193994D9" w14:textId="77777777" w:rsidR="00A82661" w:rsidRDefault="00A82661" w:rsidP="00E23F66">
            <w:pPr>
              <w:spacing w:after="0" w:line="240" w:lineRule="auto"/>
              <w:jc w:val="both"/>
              <w:rPr>
                <w:rFonts w:ascii="Arial" w:hAnsi="Arial" w:cs="Arial"/>
                <w:bCs/>
                <w:sz w:val="24"/>
                <w:szCs w:val="24"/>
              </w:rPr>
            </w:pPr>
          </w:p>
          <w:p w14:paraId="510FFC9B" w14:textId="77777777" w:rsidR="00A82661" w:rsidRDefault="00A82661" w:rsidP="00E23F66">
            <w:pPr>
              <w:spacing w:after="0" w:line="240" w:lineRule="auto"/>
              <w:jc w:val="both"/>
              <w:rPr>
                <w:rFonts w:ascii="Arial" w:hAnsi="Arial" w:cs="Arial"/>
                <w:bCs/>
                <w:sz w:val="24"/>
                <w:szCs w:val="24"/>
              </w:rPr>
            </w:pPr>
            <w:r>
              <w:rPr>
                <w:rFonts w:ascii="Arial" w:hAnsi="Arial" w:cs="Arial"/>
                <w:bCs/>
                <w:sz w:val="24"/>
                <w:szCs w:val="24"/>
              </w:rPr>
              <w:t>Whilst there has been a reduction in the overall numbers of patients waiting over 62 days, this has not been reflected in an improvement in performance against the SCP target. This is due to the backlog number consisting of patients with a cancer diagnosis and those who do not yet have a clear diagnosis; only confirmed new diagnoses of cancer contribute to the overall SCP target.</w:t>
            </w:r>
          </w:p>
          <w:p w14:paraId="6D5AB3DA" w14:textId="77777777" w:rsidR="00A82661" w:rsidRDefault="00A82661" w:rsidP="00E23F66">
            <w:pPr>
              <w:spacing w:after="0" w:line="240" w:lineRule="auto"/>
              <w:jc w:val="both"/>
              <w:rPr>
                <w:rFonts w:ascii="Arial" w:hAnsi="Arial" w:cs="Arial"/>
                <w:bCs/>
                <w:sz w:val="24"/>
                <w:szCs w:val="24"/>
              </w:rPr>
            </w:pPr>
          </w:p>
          <w:p w14:paraId="4BB2A177" w14:textId="77777777" w:rsidR="00A82661" w:rsidRDefault="00A82661" w:rsidP="00E23F66">
            <w:pPr>
              <w:spacing w:after="0" w:line="240" w:lineRule="auto"/>
              <w:jc w:val="both"/>
              <w:rPr>
                <w:rFonts w:ascii="Arial" w:hAnsi="Arial" w:cs="Arial"/>
                <w:bCs/>
                <w:sz w:val="24"/>
                <w:szCs w:val="24"/>
              </w:rPr>
            </w:pPr>
            <w:r>
              <w:rPr>
                <w:rFonts w:ascii="Arial" w:hAnsi="Arial" w:cs="Arial"/>
                <w:bCs/>
                <w:sz w:val="24"/>
                <w:szCs w:val="24"/>
              </w:rPr>
              <w:t xml:space="preserve">An Internal Audit review of the SCP waiting list management is being undertaken to </w:t>
            </w:r>
            <w:r w:rsidRPr="00FD714E">
              <w:rPr>
                <w:rFonts w:ascii="Arial" w:hAnsi="Arial" w:cs="Arial"/>
                <w:bCs/>
                <w:sz w:val="24"/>
                <w:szCs w:val="24"/>
              </w:rPr>
              <w:t xml:space="preserve">establish whether all patients on the waiting list have been assessed and assigned an appropriate priority rating in line with appropriate guidance. </w:t>
            </w:r>
          </w:p>
          <w:p w14:paraId="1EE92208" w14:textId="77777777" w:rsidR="00A82661" w:rsidRPr="00A16F15" w:rsidRDefault="00A82661" w:rsidP="00E23F66">
            <w:pPr>
              <w:spacing w:after="0" w:line="240" w:lineRule="auto"/>
              <w:rPr>
                <w:rFonts w:ascii="Arial" w:hAnsi="Arial" w:cs="Arial"/>
              </w:rPr>
            </w:pPr>
          </w:p>
        </w:tc>
      </w:tr>
    </w:tbl>
    <w:p w14:paraId="430403A8" w14:textId="758D0497" w:rsidR="00A82661" w:rsidRDefault="00A82661" w:rsidP="00A82661">
      <w:pPr>
        <w:rPr>
          <w:rFonts w:ascii="Arial" w:hAnsi="Arial" w:cs="Arial"/>
          <w:b/>
          <w:color w:val="FF0000"/>
        </w:rPr>
      </w:pPr>
    </w:p>
    <w:p w14:paraId="3DF6004E" w14:textId="77777777" w:rsidR="00A82661" w:rsidRDefault="00A82661">
      <w:pPr>
        <w:spacing w:after="160" w:line="259" w:lineRule="auto"/>
        <w:rPr>
          <w:rFonts w:ascii="Arial" w:hAnsi="Arial" w:cs="Arial"/>
          <w:b/>
          <w:color w:val="FF0000"/>
        </w:rPr>
      </w:pPr>
      <w:r>
        <w:rPr>
          <w:rFonts w:ascii="Arial" w:hAnsi="Arial" w:cs="Arial"/>
          <w:b/>
          <w:color w:val="FF0000"/>
        </w:rPr>
        <w:br w:type="page"/>
      </w:r>
    </w:p>
    <w:p w14:paraId="54AC6AE0" w14:textId="77777777" w:rsidR="00A82661" w:rsidRDefault="00A82661" w:rsidP="00A82661">
      <w:pPr>
        <w:rPr>
          <w:rFonts w:ascii="Arial" w:hAnsi="Arial" w:cs="Arial"/>
          <w:b/>
          <w:color w:val="FF0000"/>
        </w:rPr>
      </w:pPr>
    </w:p>
    <w:p w14:paraId="0C0D2CDC" w14:textId="77777777" w:rsidR="00A82661" w:rsidRPr="00AE0209" w:rsidRDefault="00A82661" w:rsidP="00A82661">
      <w:pPr>
        <w:rPr>
          <w:rFonts w:ascii="Arial" w:hAnsi="Arial" w:cs="Arial"/>
          <w:b/>
        </w:rPr>
      </w:pPr>
      <w:r w:rsidRPr="00AE0209">
        <w:rPr>
          <w:rFonts w:ascii="Arial" w:hAnsi="Arial" w:cs="Arial"/>
          <w:b/>
        </w:rPr>
        <w:t>PRIORITY 4: CAMHS</w:t>
      </w:r>
    </w:p>
    <w:tbl>
      <w:tblPr>
        <w:tblStyle w:val="TableGrid1"/>
        <w:tblW w:w="5029" w:type="pct"/>
        <w:tblLook w:val="04A0" w:firstRow="1" w:lastRow="0" w:firstColumn="1" w:lastColumn="0" w:noHBand="0" w:noVBand="1"/>
      </w:tblPr>
      <w:tblGrid>
        <w:gridCol w:w="1855"/>
        <w:gridCol w:w="3209"/>
        <w:gridCol w:w="2910"/>
        <w:gridCol w:w="2936"/>
        <w:gridCol w:w="3427"/>
      </w:tblGrid>
      <w:tr w:rsidR="00A82661" w:rsidRPr="00AE0209" w14:paraId="7830B195" w14:textId="77777777" w:rsidTr="00E23F66">
        <w:tc>
          <w:tcPr>
            <w:tcW w:w="647" w:type="pct"/>
            <w:shd w:val="clear" w:color="auto" w:fill="B8CCE4" w:themeFill="accent1" w:themeFillTint="66"/>
          </w:tcPr>
          <w:p w14:paraId="707EABD1" w14:textId="77777777" w:rsidR="00A82661" w:rsidRPr="00AE0209" w:rsidRDefault="00A82661" w:rsidP="00E23F66">
            <w:pPr>
              <w:jc w:val="center"/>
              <w:rPr>
                <w:rFonts w:ascii="Arial" w:hAnsi="Arial" w:cs="Arial"/>
                <w:b/>
              </w:rPr>
            </w:pPr>
            <w:r w:rsidRPr="00AE0209">
              <w:rPr>
                <w:rFonts w:ascii="Arial" w:hAnsi="Arial" w:cs="Arial"/>
                <w:b/>
              </w:rPr>
              <w:t>Ministerial Priorities:</w:t>
            </w:r>
          </w:p>
        </w:tc>
        <w:tc>
          <w:tcPr>
            <w:tcW w:w="4353" w:type="pct"/>
            <w:gridSpan w:val="4"/>
            <w:shd w:val="clear" w:color="auto" w:fill="DBE5F1" w:themeFill="accent1" w:themeFillTint="33"/>
          </w:tcPr>
          <w:p w14:paraId="46925E19" w14:textId="77777777" w:rsidR="00A82661" w:rsidRPr="00AE0209" w:rsidRDefault="00A82661" w:rsidP="00E23F66">
            <w:pPr>
              <w:rPr>
                <w:rFonts w:ascii="Arial" w:hAnsi="Arial" w:cs="Arial"/>
                <w:b/>
                <w:i/>
                <w:iCs/>
              </w:rPr>
            </w:pPr>
            <w:r w:rsidRPr="00AE0209">
              <w:rPr>
                <w:rFonts w:ascii="Arial" w:eastAsia="Times New Roman" w:hAnsi="Arial" w:cs="Arial"/>
                <w:b/>
              </w:rPr>
              <w:t>Recover waiting time performance to performance framework standards for Specialist CAMHS</w:t>
            </w:r>
          </w:p>
        </w:tc>
      </w:tr>
      <w:tr w:rsidR="00A82661" w:rsidRPr="00AE0209" w14:paraId="65BD9231" w14:textId="77777777" w:rsidTr="00E23F66">
        <w:tc>
          <w:tcPr>
            <w:tcW w:w="647" w:type="pct"/>
            <w:shd w:val="clear" w:color="auto" w:fill="B8CCE4" w:themeFill="accent1" w:themeFillTint="66"/>
          </w:tcPr>
          <w:p w14:paraId="7F198C6C" w14:textId="77777777" w:rsidR="00A82661" w:rsidRPr="00AE0209" w:rsidRDefault="00A82661" w:rsidP="00E23F66">
            <w:pPr>
              <w:jc w:val="center"/>
              <w:rPr>
                <w:rFonts w:ascii="Arial" w:hAnsi="Arial" w:cs="Arial"/>
                <w:b/>
                <w:bCs/>
              </w:rPr>
            </w:pPr>
            <w:r w:rsidRPr="00AE0209">
              <w:rPr>
                <w:rFonts w:ascii="Arial" w:hAnsi="Arial" w:cs="Arial"/>
                <w:b/>
                <w:bCs/>
              </w:rPr>
              <w:t>Vision/ Goals</w:t>
            </w:r>
          </w:p>
        </w:tc>
        <w:tc>
          <w:tcPr>
            <w:tcW w:w="4353" w:type="pct"/>
            <w:gridSpan w:val="4"/>
            <w:shd w:val="clear" w:color="auto" w:fill="auto"/>
          </w:tcPr>
          <w:p w14:paraId="122D0FA3" w14:textId="77777777" w:rsidR="00A82661" w:rsidRPr="00AE0209" w:rsidRDefault="00A82661" w:rsidP="00E23F66">
            <w:pPr>
              <w:rPr>
                <w:rFonts w:ascii="Arial" w:hAnsi="Arial" w:cs="Arial"/>
                <w:iCs/>
              </w:rPr>
            </w:pPr>
            <w:r w:rsidRPr="00AE0209">
              <w:rPr>
                <w:rFonts w:ascii="Arial" w:hAnsi="Arial" w:cs="Arial"/>
                <w:iCs/>
              </w:rPr>
              <w:t xml:space="preserve">Disaggregate and transfer CAMHS to Swansea Bay. Consolidate team and services and review impact of transfer, ensuring service is provided in line with agreed national standards. </w:t>
            </w:r>
          </w:p>
        </w:tc>
      </w:tr>
      <w:tr w:rsidR="00A82661" w:rsidRPr="00AE0209" w14:paraId="33302201" w14:textId="77777777" w:rsidTr="00E23F66">
        <w:tc>
          <w:tcPr>
            <w:tcW w:w="647" w:type="pct"/>
            <w:shd w:val="clear" w:color="auto" w:fill="B8CCE4" w:themeFill="accent1" w:themeFillTint="66"/>
          </w:tcPr>
          <w:p w14:paraId="349E418F" w14:textId="77777777" w:rsidR="00A82661" w:rsidRPr="00AE0209" w:rsidRDefault="00A82661" w:rsidP="00E23F66">
            <w:pPr>
              <w:jc w:val="center"/>
              <w:rPr>
                <w:rFonts w:ascii="Arial" w:hAnsi="Arial" w:cs="Arial"/>
                <w:b/>
                <w:bCs/>
              </w:rPr>
            </w:pPr>
            <w:r w:rsidRPr="00AE0209">
              <w:rPr>
                <w:rFonts w:ascii="Arial" w:hAnsi="Arial" w:cs="Arial"/>
                <w:b/>
                <w:bCs/>
              </w:rPr>
              <w:t>GMO ref:</w:t>
            </w:r>
          </w:p>
        </w:tc>
        <w:tc>
          <w:tcPr>
            <w:tcW w:w="4353" w:type="pct"/>
            <w:gridSpan w:val="4"/>
            <w:shd w:val="clear" w:color="auto" w:fill="DBE5F1" w:themeFill="accent1" w:themeFillTint="33"/>
          </w:tcPr>
          <w:p w14:paraId="3645EA09" w14:textId="77777777" w:rsidR="00A82661" w:rsidRPr="00AE0209" w:rsidRDefault="00A82661" w:rsidP="00E23F66">
            <w:pPr>
              <w:jc w:val="center"/>
              <w:rPr>
                <w:rFonts w:ascii="Arial" w:hAnsi="Arial" w:cs="Arial"/>
                <w:b/>
                <w:iCs/>
              </w:rPr>
            </w:pPr>
            <w:r w:rsidRPr="00AE0209">
              <w:rPr>
                <w:rFonts w:ascii="Arial" w:hAnsi="Arial" w:cs="Arial"/>
                <w:b/>
                <w:iCs/>
              </w:rPr>
              <w:t>Methods/ Actions to deliver Ministerial Priorities</w:t>
            </w:r>
          </w:p>
        </w:tc>
      </w:tr>
      <w:tr w:rsidR="00A82661" w:rsidRPr="00AE0209" w14:paraId="4CAC4171" w14:textId="77777777" w:rsidTr="00E23F66">
        <w:tc>
          <w:tcPr>
            <w:tcW w:w="647" w:type="pct"/>
            <w:shd w:val="clear" w:color="auto" w:fill="B8CCE4" w:themeFill="accent1" w:themeFillTint="66"/>
          </w:tcPr>
          <w:p w14:paraId="589545D2" w14:textId="77777777" w:rsidR="00A82661" w:rsidRPr="00AE0209" w:rsidRDefault="00A82661" w:rsidP="00E23F66">
            <w:pPr>
              <w:jc w:val="center"/>
              <w:rPr>
                <w:rFonts w:ascii="Arial" w:hAnsi="Arial" w:cs="Arial"/>
                <w:b/>
                <w:bCs/>
              </w:rPr>
            </w:pPr>
            <w:r w:rsidRPr="00AE0209">
              <w:rPr>
                <w:rFonts w:ascii="Arial" w:hAnsi="Arial" w:cs="Arial"/>
                <w:b/>
                <w:bCs/>
              </w:rPr>
              <w:t>MHLD_004</w:t>
            </w:r>
          </w:p>
        </w:tc>
        <w:tc>
          <w:tcPr>
            <w:tcW w:w="4353" w:type="pct"/>
            <w:gridSpan w:val="4"/>
            <w:shd w:val="clear" w:color="auto" w:fill="auto"/>
          </w:tcPr>
          <w:p w14:paraId="71A471BD" w14:textId="77777777" w:rsidR="00A82661" w:rsidRPr="00AE0209" w:rsidRDefault="00A82661" w:rsidP="00E23F66">
            <w:pPr>
              <w:rPr>
                <w:rFonts w:ascii="Arial" w:hAnsi="Arial" w:cs="Arial"/>
              </w:rPr>
            </w:pPr>
            <w:r w:rsidRPr="00AE0209">
              <w:rPr>
                <w:rFonts w:ascii="Arial" w:hAnsi="Arial" w:cs="Arial"/>
              </w:rPr>
              <w:t xml:space="preserve">Establish service and embed into MH &amp; LD Service Group. Identifying risks and baseline for performance monitoring. </w:t>
            </w:r>
            <w:r w:rsidRPr="00AE0209">
              <w:rPr>
                <w:rFonts w:ascii="Arial" w:hAnsi="Arial" w:cs="Arial"/>
                <w:iCs/>
              </w:rPr>
              <w:t>Agree actions to address performance issues and achieve national targets/ improvement trajectories.</w:t>
            </w:r>
          </w:p>
        </w:tc>
      </w:tr>
      <w:tr w:rsidR="00A82661" w:rsidRPr="00AE0209" w14:paraId="12D5FA7D" w14:textId="77777777" w:rsidTr="00E23F66">
        <w:tc>
          <w:tcPr>
            <w:tcW w:w="647" w:type="pct"/>
            <w:vMerge w:val="restart"/>
            <w:shd w:val="clear" w:color="auto" w:fill="B8CCE4" w:themeFill="accent1" w:themeFillTint="66"/>
          </w:tcPr>
          <w:p w14:paraId="0757678B" w14:textId="77777777" w:rsidR="00A82661" w:rsidRPr="00AE0209" w:rsidRDefault="00A82661" w:rsidP="00E23F66">
            <w:pPr>
              <w:jc w:val="center"/>
              <w:rPr>
                <w:rFonts w:ascii="Arial" w:hAnsi="Arial" w:cs="Arial"/>
                <w:b/>
                <w:bCs/>
              </w:rPr>
            </w:pPr>
            <w:r w:rsidRPr="00AE0209">
              <w:rPr>
                <w:rFonts w:ascii="Arial" w:hAnsi="Arial" w:cs="Arial"/>
                <w:b/>
                <w:bCs/>
              </w:rPr>
              <w:t>GMO ref:</w:t>
            </w:r>
          </w:p>
        </w:tc>
        <w:tc>
          <w:tcPr>
            <w:tcW w:w="4353" w:type="pct"/>
            <w:gridSpan w:val="4"/>
            <w:shd w:val="clear" w:color="auto" w:fill="DBE5F1" w:themeFill="accent1" w:themeFillTint="33"/>
          </w:tcPr>
          <w:p w14:paraId="3F2BEAA8" w14:textId="77777777" w:rsidR="00A82661" w:rsidRPr="00AE0209" w:rsidRDefault="00A82661" w:rsidP="00E23F66">
            <w:pPr>
              <w:jc w:val="center"/>
              <w:rPr>
                <w:rFonts w:ascii="Arial" w:hAnsi="Arial" w:cs="Arial"/>
                <w:b/>
                <w:bCs/>
              </w:rPr>
            </w:pPr>
            <w:r w:rsidRPr="00AE0209">
              <w:rPr>
                <w:rFonts w:ascii="Arial" w:hAnsi="Arial" w:cs="Arial"/>
                <w:b/>
                <w:bCs/>
              </w:rPr>
              <w:t xml:space="preserve">Milestones 23/24: </w:t>
            </w:r>
          </w:p>
        </w:tc>
      </w:tr>
      <w:tr w:rsidR="00A82661" w:rsidRPr="00AE0209" w14:paraId="6A39F85D" w14:textId="77777777" w:rsidTr="00E23F66">
        <w:tc>
          <w:tcPr>
            <w:tcW w:w="647" w:type="pct"/>
            <w:vMerge/>
            <w:shd w:val="clear" w:color="auto" w:fill="B8CCE4" w:themeFill="accent1" w:themeFillTint="66"/>
          </w:tcPr>
          <w:p w14:paraId="35F73D84" w14:textId="77777777" w:rsidR="00A82661" w:rsidRPr="00AE0209" w:rsidRDefault="00A82661" w:rsidP="00E23F66">
            <w:pPr>
              <w:jc w:val="center"/>
              <w:rPr>
                <w:rFonts w:ascii="Arial" w:hAnsi="Arial" w:cs="Arial"/>
                <w:bCs/>
              </w:rPr>
            </w:pPr>
          </w:p>
        </w:tc>
        <w:tc>
          <w:tcPr>
            <w:tcW w:w="1119" w:type="pct"/>
            <w:shd w:val="clear" w:color="auto" w:fill="DBE5F1" w:themeFill="accent1" w:themeFillTint="33"/>
          </w:tcPr>
          <w:p w14:paraId="68FFBBF4" w14:textId="77777777" w:rsidR="00A82661" w:rsidRPr="00AE0209" w:rsidRDefault="00A82661" w:rsidP="00E23F66">
            <w:pPr>
              <w:jc w:val="center"/>
              <w:rPr>
                <w:rFonts w:ascii="Arial" w:hAnsi="Arial" w:cs="Arial"/>
                <w:b/>
                <w:bCs/>
              </w:rPr>
            </w:pPr>
            <w:r w:rsidRPr="00AE0209">
              <w:rPr>
                <w:rFonts w:ascii="Arial" w:hAnsi="Arial" w:cs="Arial"/>
                <w:b/>
                <w:bCs/>
              </w:rPr>
              <w:t>Quarter 1</w:t>
            </w:r>
          </w:p>
        </w:tc>
        <w:tc>
          <w:tcPr>
            <w:tcW w:w="1015" w:type="pct"/>
            <w:shd w:val="clear" w:color="auto" w:fill="DBE5F1" w:themeFill="accent1" w:themeFillTint="33"/>
          </w:tcPr>
          <w:p w14:paraId="35DA7907" w14:textId="77777777" w:rsidR="00A82661" w:rsidRPr="00AE0209" w:rsidRDefault="00A82661" w:rsidP="00E23F66">
            <w:pPr>
              <w:jc w:val="center"/>
              <w:rPr>
                <w:rFonts w:ascii="Arial" w:hAnsi="Arial" w:cs="Arial"/>
              </w:rPr>
            </w:pPr>
            <w:r w:rsidRPr="00AE0209">
              <w:rPr>
                <w:rFonts w:ascii="Arial" w:hAnsi="Arial" w:cs="Arial"/>
                <w:b/>
                <w:bCs/>
              </w:rPr>
              <w:t>Quarter 2</w:t>
            </w:r>
          </w:p>
        </w:tc>
        <w:tc>
          <w:tcPr>
            <w:tcW w:w="1024" w:type="pct"/>
            <w:shd w:val="clear" w:color="auto" w:fill="DBE5F1" w:themeFill="accent1" w:themeFillTint="33"/>
          </w:tcPr>
          <w:p w14:paraId="1961BEE9" w14:textId="77777777" w:rsidR="00A82661" w:rsidRPr="00AE0209" w:rsidRDefault="00A82661" w:rsidP="00E23F66">
            <w:pPr>
              <w:jc w:val="center"/>
              <w:rPr>
                <w:rFonts w:ascii="Arial" w:hAnsi="Arial" w:cs="Arial"/>
              </w:rPr>
            </w:pPr>
            <w:r w:rsidRPr="00AE0209">
              <w:rPr>
                <w:rFonts w:ascii="Arial" w:hAnsi="Arial" w:cs="Arial"/>
                <w:b/>
                <w:bCs/>
              </w:rPr>
              <w:t>Quarter 3</w:t>
            </w:r>
          </w:p>
        </w:tc>
        <w:tc>
          <w:tcPr>
            <w:tcW w:w="1195" w:type="pct"/>
            <w:shd w:val="clear" w:color="auto" w:fill="DBE5F1" w:themeFill="accent1" w:themeFillTint="33"/>
          </w:tcPr>
          <w:p w14:paraId="55E5C16B" w14:textId="77777777" w:rsidR="00A82661" w:rsidRPr="00AE0209" w:rsidRDefault="00A82661" w:rsidP="00E23F66">
            <w:pPr>
              <w:jc w:val="center"/>
              <w:rPr>
                <w:rFonts w:ascii="Arial" w:hAnsi="Arial" w:cs="Arial"/>
              </w:rPr>
            </w:pPr>
            <w:r w:rsidRPr="00AE0209">
              <w:rPr>
                <w:rFonts w:ascii="Arial" w:hAnsi="Arial" w:cs="Arial"/>
                <w:b/>
                <w:bCs/>
              </w:rPr>
              <w:t>Quarter 4</w:t>
            </w:r>
          </w:p>
        </w:tc>
      </w:tr>
      <w:tr w:rsidR="00A82661" w:rsidRPr="00AE0209" w14:paraId="6CD2A76F" w14:textId="77777777" w:rsidTr="00E23F66">
        <w:tc>
          <w:tcPr>
            <w:tcW w:w="647" w:type="pct"/>
            <w:shd w:val="clear" w:color="auto" w:fill="B8CCE4" w:themeFill="accent1" w:themeFillTint="66"/>
          </w:tcPr>
          <w:p w14:paraId="4CFA0776" w14:textId="77777777" w:rsidR="00A82661" w:rsidRPr="00AE0209" w:rsidRDefault="00A82661" w:rsidP="00E23F66">
            <w:pPr>
              <w:spacing w:after="0" w:line="240" w:lineRule="auto"/>
              <w:jc w:val="center"/>
              <w:rPr>
                <w:rFonts w:ascii="Arial" w:hAnsi="Arial" w:cs="Arial"/>
                <w:b/>
              </w:rPr>
            </w:pPr>
            <w:r w:rsidRPr="00AE0209">
              <w:rPr>
                <w:rFonts w:ascii="Arial" w:hAnsi="Arial" w:cs="Arial"/>
                <w:b/>
              </w:rPr>
              <w:t>MHLD_004</w:t>
            </w:r>
          </w:p>
        </w:tc>
        <w:tc>
          <w:tcPr>
            <w:tcW w:w="1119" w:type="pct"/>
            <w:shd w:val="clear" w:color="auto" w:fill="00B050"/>
          </w:tcPr>
          <w:p w14:paraId="2EFD277D" w14:textId="77777777" w:rsidR="00A82661" w:rsidRPr="00AE0209" w:rsidRDefault="00A82661" w:rsidP="00E23F66">
            <w:pPr>
              <w:spacing w:after="0" w:line="240" w:lineRule="auto"/>
              <w:rPr>
                <w:rFonts w:ascii="Arial" w:hAnsi="Arial" w:cs="Arial"/>
              </w:rPr>
            </w:pPr>
            <w:r w:rsidRPr="00AE0209">
              <w:rPr>
                <w:rFonts w:ascii="Arial" w:hAnsi="Arial" w:cs="Arial"/>
              </w:rPr>
              <w:t>Undertake full demand and capacity analysis  (by the end of May) and develop revised trajectories for submission in June 23</w:t>
            </w:r>
          </w:p>
        </w:tc>
        <w:tc>
          <w:tcPr>
            <w:tcW w:w="1015" w:type="pct"/>
            <w:shd w:val="clear" w:color="auto" w:fill="00B050"/>
            <w:vAlign w:val="center"/>
          </w:tcPr>
          <w:p w14:paraId="40E0B649" w14:textId="77777777" w:rsidR="00A82661" w:rsidRPr="00AE0209" w:rsidRDefault="00A82661" w:rsidP="00E23F66">
            <w:pPr>
              <w:spacing w:after="0" w:line="240" w:lineRule="auto"/>
              <w:rPr>
                <w:rFonts w:ascii="Arial" w:hAnsi="Arial" w:cs="Arial"/>
                <w:b/>
              </w:rPr>
            </w:pPr>
            <w:r w:rsidRPr="00AE0209">
              <w:rPr>
                <w:rFonts w:ascii="Arial" w:hAnsi="Arial" w:cs="Arial"/>
                <w:b/>
              </w:rPr>
              <w:t>Achieve a fully functioning IT / digital infrastructure to support the delivery of CAMHS services, and to have started the skills action plan to upskill the workforce</w:t>
            </w:r>
          </w:p>
        </w:tc>
        <w:tc>
          <w:tcPr>
            <w:tcW w:w="1024" w:type="pct"/>
            <w:shd w:val="clear" w:color="auto" w:fill="00B050"/>
            <w:vAlign w:val="center"/>
          </w:tcPr>
          <w:p w14:paraId="07BDDA20" w14:textId="77777777" w:rsidR="00A82661" w:rsidRDefault="00A82661" w:rsidP="00E23F66">
            <w:pPr>
              <w:rPr>
                <w:rFonts w:ascii="Arial" w:hAnsi="Arial" w:cs="Arial"/>
              </w:rPr>
            </w:pPr>
            <w:r w:rsidRPr="00AE0209">
              <w:rPr>
                <w:rFonts w:ascii="Arial" w:hAnsi="Arial" w:cs="Arial"/>
              </w:rPr>
              <w:t>To have a fully skilled workforce in IT/ digital services used in CAMHS and to further develop the use of the SBUHB  IT infrastructure to include use of digital dictation systems.</w:t>
            </w:r>
          </w:p>
          <w:p w14:paraId="1965BBAB" w14:textId="77777777" w:rsidR="00A82661" w:rsidRDefault="00A82661" w:rsidP="00E23F66">
            <w:pPr>
              <w:rPr>
                <w:rFonts w:ascii="Arial" w:hAnsi="Arial" w:cs="Arial"/>
              </w:rPr>
            </w:pPr>
          </w:p>
          <w:p w14:paraId="6EDD51E1" w14:textId="77777777" w:rsidR="00A82661" w:rsidRPr="00C625E0" w:rsidRDefault="00A82661" w:rsidP="00E23F66">
            <w:pPr>
              <w:rPr>
                <w:rFonts w:ascii="Arial" w:hAnsi="Arial" w:cs="Arial"/>
                <w:b/>
                <w:bCs/>
              </w:rPr>
            </w:pPr>
            <w:r w:rsidRPr="00C625E0">
              <w:rPr>
                <w:rFonts w:ascii="Arial" w:hAnsi="Arial" w:cs="Arial"/>
                <w:b/>
                <w:bCs/>
              </w:rPr>
              <w:t>CAMHS has been successfully transferred. CAMHS continue to work through issues as they arise and staff are receiving appropriate training to utilise relevant systems.</w:t>
            </w:r>
          </w:p>
        </w:tc>
        <w:tc>
          <w:tcPr>
            <w:tcW w:w="1195" w:type="pct"/>
            <w:shd w:val="clear" w:color="auto" w:fill="auto"/>
            <w:vAlign w:val="center"/>
          </w:tcPr>
          <w:p w14:paraId="3B9B1EDF" w14:textId="77777777" w:rsidR="00A82661" w:rsidRDefault="00A82661" w:rsidP="00E23F66">
            <w:pPr>
              <w:rPr>
                <w:rFonts w:ascii="Arial" w:hAnsi="Arial" w:cs="Arial"/>
              </w:rPr>
            </w:pPr>
            <w:r w:rsidRPr="00AE0209">
              <w:rPr>
                <w:rFonts w:ascii="Arial" w:hAnsi="Arial" w:cs="Arial"/>
              </w:rPr>
              <w:t>Robust reporting arrangements in place to monitor performance</w:t>
            </w:r>
            <w:r>
              <w:rPr>
                <w:rFonts w:ascii="Arial" w:hAnsi="Arial" w:cs="Arial"/>
              </w:rPr>
              <w:t>.</w:t>
            </w:r>
          </w:p>
          <w:p w14:paraId="48FC2DD9" w14:textId="77777777" w:rsidR="00A82661" w:rsidRDefault="00A82661" w:rsidP="00E23F66">
            <w:pPr>
              <w:rPr>
                <w:rFonts w:ascii="Arial" w:hAnsi="Arial" w:cs="Arial"/>
              </w:rPr>
            </w:pPr>
            <w:r>
              <w:rPr>
                <w:rFonts w:ascii="Arial" w:hAnsi="Arial" w:cs="Arial"/>
              </w:rPr>
              <w:t>Q4 Priorities:</w:t>
            </w:r>
          </w:p>
          <w:p w14:paraId="0D77B9B3" w14:textId="77777777" w:rsidR="00A82661" w:rsidRPr="003908FB" w:rsidRDefault="00A82661" w:rsidP="00A82661">
            <w:pPr>
              <w:pStyle w:val="ListParagraph"/>
              <w:numPr>
                <w:ilvl w:val="0"/>
                <w:numId w:val="51"/>
              </w:numPr>
              <w:spacing w:after="0" w:line="240" w:lineRule="auto"/>
              <w:rPr>
                <w:rFonts w:ascii="Arial" w:hAnsi="Arial" w:cs="Arial"/>
                <w:szCs w:val="24"/>
              </w:rPr>
            </w:pPr>
            <w:r w:rsidRPr="003908FB">
              <w:rPr>
                <w:rFonts w:ascii="Arial" w:hAnsi="Arial" w:cs="Arial"/>
                <w:szCs w:val="24"/>
              </w:rPr>
              <w:t>Recruitment of 2 additional experts by Experience in Learning Disabilities.</w:t>
            </w:r>
          </w:p>
          <w:p w14:paraId="451BAFAA" w14:textId="77777777" w:rsidR="00A82661" w:rsidRPr="003908FB" w:rsidRDefault="00A82661" w:rsidP="00A82661">
            <w:pPr>
              <w:pStyle w:val="ListParagraph"/>
              <w:numPr>
                <w:ilvl w:val="0"/>
                <w:numId w:val="51"/>
              </w:numPr>
              <w:spacing w:after="0" w:line="240" w:lineRule="auto"/>
              <w:rPr>
                <w:rFonts w:ascii="Arial" w:hAnsi="Arial" w:cs="Arial"/>
                <w:szCs w:val="24"/>
              </w:rPr>
            </w:pPr>
            <w:r w:rsidRPr="003908FB">
              <w:rPr>
                <w:rFonts w:ascii="Arial" w:hAnsi="Arial" w:cs="Arial"/>
                <w:szCs w:val="24"/>
              </w:rPr>
              <w:t>All CAMHS staff embedded into service and full training received on digital systems.</w:t>
            </w:r>
          </w:p>
          <w:p w14:paraId="522EE9F8" w14:textId="77777777" w:rsidR="00A82661" w:rsidRPr="00AE0209" w:rsidRDefault="00A82661" w:rsidP="00A82661">
            <w:pPr>
              <w:pStyle w:val="ListParagraph"/>
              <w:numPr>
                <w:ilvl w:val="0"/>
                <w:numId w:val="51"/>
              </w:numPr>
              <w:spacing w:after="0" w:line="240" w:lineRule="auto"/>
              <w:rPr>
                <w:rFonts w:ascii="Arial" w:hAnsi="Arial" w:cs="Arial"/>
              </w:rPr>
            </w:pPr>
            <w:r w:rsidRPr="003908FB">
              <w:rPr>
                <w:rFonts w:ascii="Arial" w:hAnsi="Arial" w:cs="Arial"/>
                <w:szCs w:val="24"/>
              </w:rPr>
              <w:t>All staff recruited to for CAMHS psychological therapies service and action plan approved for implementation.</w:t>
            </w:r>
          </w:p>
        </w:tc>
      </w:tr>
      <w:tr w:rsidR="00A82661" w:rsidRPr="00B1166E" w14:paraId="3951BBF4" w14:textId="77777777" w:rsidTr="00E23F66">
        <w:trPr>
          <w:trHeight w:val="557"/>
        </w:trPr>
        <w:tc>
          <w:tcPr>
            <w:tcW w:w="647" w:type="pct"/>
            <w:shd w:val="clear" w:color="auto" w:fill="B8CCE4" w:themeFill="accent1" w:themeFillTint="66"/>
          </w:tcPr>
          <w:p w14:paraId="686E2D15" w14:textId="77777777" w:rsidR="00A82661" w:rsidRPr="00AE0209" w:rsidRDefault="00A82661" w:rsidP="00E23F66">
            <w:pPr>
              <w:jc w:val="center"/>
              <w:rPr>
                <w:rFonts w:ascii="Arial" w:hAnsi="Arial" w:cs="Arial"/>
                <w:b/>
                <w:bCs/>
              </w:rPr>
            </w:pPr>
            <w:r w:rsidRPr="00AE0209">
              <w:rPr>
                <w:rFonts w:ascii="Arial" w:hAnsi="Arial" w:cs="Arial"/>
                <w:b/>
                <w:bCs/>
              </w:rPr>
              <w:lastRenderedPageBreak/>
              <w:t>Current Governance arrangements</w:t>
            </w:r>
          </w:p>
        </w:tc>
        <w:tc>
          <w:tcPr>
            <w:tcW w:w="4353" w:type="pct"/>
            <w:gridSpan w:val="4"/>
            <w:shd w:val="clear" w:color="auto" w:fill="auto"/>
          </w:tcPr>
          <w:p w14:paraId="65C45DDC" w14:textId="77777777" w:rsidR="00A82661" w:rsidRPr="00AE0209" w:rsidRDefault="00A82661" w:rsidP="00E23F66">
            <w:pPr>
              <w:rPr>
                <w:rFonts w:ascii="Arial" w:hAnsi="Arial" w:cs="Arial"/>
                <w:b/>
              </w:rPr>
            </w:pPr>
            <w:r w:rsidRPr="00AE0209">
              <w:rPr>
                <w:rFonts w:ascii="Arial" w:hAnsi="Arial" w:cs="Arial"/>
                <w:b/>
              </w:rPr>
              <w:t xml:space="preserve">MHLD Service Group, SRO – Janet Williams </w:t>
            </w:r>
          </w:p>
        </w:tc>
      </w:tr>
    </w:tbl>
    <w:p w14:paraId="0FA46339" w14:textId="77777777" w:rsidR="00A82661" w:rsidRPr="00B1166E" w:rsidRDefault="00A82661" w:rsidP="00A82661">
      <w:pPr>
        <w:rPr>
          <w:rFonts w:ascii="Arial" w:hAnsi="Arial" w:cs="Arial"/>
          <w:color w:val="FF0000"/>
        </w:rPr>
      </w:pPr>
    </w:p>
    <w:bookmarkEnd w:id="11"/>
    <w:sectPr w:rsidR="00A82661" w:rsidRPr="00B1166E" w:rsidSect="00F14093">
      <w:pgSz w:w="16838" w:h="11906" w:orient="landscape" w:code="9"/>
      <w:pgMar w:top="1276" w:right="1134" w:bottom="1134" w:left="1440" w:header="709" w:footer="1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3C094A" w14:textId="77777777" w:rsidR="007D7490" w:rsidRDefault="007D7490" w:rsidP="00F000BB">
      <w:pPr>
        <w:spacing w:after="0" w:line="240" w:lineRule="auto"/>
      </w:pPr>
      <w:r>
        <w:separator/>
      </w:r>
    </w:p>
  </w:endnote>
  <w:endnote w:type="continuationSeparator" w:id="0">
    <w:p w14:paraId="781F4871" w14:textId="77777777" w:rsidR="007D7490" w:rsidRDefault="007D7490" w:rsidP="00F000BB">
      <w:pPr>
        <w:spacing w:after="0" w:line="240" w:lineRule="auto"/>
      </w:pPr>
      <w:r>
        <w:continuationSeparator/>
      </w:r>
    </w:p>
  </w:endnote>
  <w:endnote w:type="continuationNotice" w:id="1">
    <w:p w14:paraId="07B4C3F4" w14:textId="77777777" w:rsidR="007D7490" w:rsidRDefault="007D74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89737" w14:textId="77777777" w:rsidR="00795085" w:rsidRDefault="007950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12EE1" w14:textId="45CEAB3D" w:rsidR="00B82C56" w:rsidRPr="008B56DF" w:rsidRDefault="00795085" w:rsidP="00D10B79">
    <w:pPr>
      <w:pStyle w:val="Footer"/>
      <w:pBdr>
        <w:top w:val="single" w:sz="4" w:space="1" w:color="auto"/>
      </w:pBdr>
      <w:rPr>
        <w:sz w:val="24"/>
        <w:szCs w:val="24"/>
      </w:rPr>
    </w:pPr>
    <w:r>
      <w:rPr>
        <w:rFonts w:ascii="Arial" w:hAnsi="Arial" w:cs="Arial"/>
      </w:rPr>
      <w:t>Health Board – Thursday, 28</w:t>
    </w:r>
    <w:r w:rsidRPr="00795085">
      <w:rPr>
        <w:rFonts w:ascii="Arial" w:hAnsi="Arial" w:cs="Arial"/>
        <w:vertAlign w:val="superscript"/>
      </w:rPr>
      <w:t>th</w:t>
    </w:r>
    <w:r>
      <w:rPr>
        <w:rFonts w:ascii="Arial" w:hAnsi="Arial" w:cs="Arial"/>
      </w:rPr>
      <w:t xml:space="preserve"> March 2024                    </w:t>
    </w:r>
    <w:r w:rsidR="00B82C56" w:rsidRPr="008B56DF">
      <w:rPr>
        <w:rFonts w:ascii="Arial" w:hAnsi="Arial" w:cs="Arial"/>
      </w:rPr>
      <w:tab/>
    </w:r>
    <w:r w:rsidR="00B82C56" w:rsidRPr="008B56DF">
      <w:rPr>
        <w:rFonts w:ascii="Arial" w:hAnsi="Arial" w:cs="Arial"/>
      </w:rPr>
      <w:fldChar w:fldCharType="begin"/>
    </w:r>
    <w:r w:rsidR="00B82C56" w:rsidRPr="008B56DF">
      <w:rPr>
        <w:rFonts w:ascii="Arial" w:hAnsi="Arial" w:cs="Arial"/>
      </w:rPr>
      <w:instrText xml:space="preserve"> PAGE   \* MERGEFORMAT </w:instrText>
    </w:r>
    <w:r w:rsidR="00B82C56" w:rsidRPr="008B56DF">
      <w:rPr>
        <w:rFonts w:ascii="Arial" w:hAnsi="Arial" w:cs="Arial"/>
      </w:rPr>
      <w:fldChar w:fldCharType="separate"/>
    </w:r>
    <w:r w:rsidR="008D14B9">
      <w:rPr>
        <w:rFonts w:ascii="Arial" w:hAnsi="Arial" w:cs="Arial"/>
        <w:noProof/>
      </w:rPr>
      <w:t>34</w:t>
    </w:r>
    <w:r w:rsidR="00B82C56" w:rsidRPr="008B56DF">
      <w:rPr>
        <w:rFonts w:ascii="Arial" w:hAnsi="Arial" w:cs="Arial"/>
        <w:noProof/>
      </w:rPr>
      <w:fldChar w:fldCharType="end"/>
    </w:r>
    <w:r w:rsidR="00B82C56" w:rsidRPr="008B56DF">
      <w:rPr>
        <w:rFonts w:ascii="Arial" w:hAnsi="Arial" w:cs="Arial"/>
      </w:rPr>
      <w:t xml:space="preserve"> | </w:t>
    </w:r>
    <w:r w:rsidR="00B82C56" w:rsidRPr="008B56DF">
      <w:rPr>
        <w:rFonts w:ascii="Arial" w:hAnsi="Arial" w:cs="Arial"/>
        <w:color w:val="7F7F7F"/>
        <w:spacing w:val="60"/>
      </w:rPr>
      <w:t>Page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E9D22" w14:textId="77777777" w:rsidR="00795085" w:rsidRDefault="007950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EB2319" w14:textId="77777777" w:rsidR="007D7490" w:rsidRDefault="007D7490" w:rsidP="00F000BB">
      <w:pPr>
        <w:spacing w:after="0" w:line="240" w:lineRule="auto"/>
      </w:pPr>
      <w:r>
        <w:separator/>
      </w:r>
    </w:p>
  </w:footnote>
  <w:footnote w:type="continuationSeparator" w:id="0">
    <w:p w14:paraId="3C0F9284" w14:textId="77777777" w:rsidR="007D7490" w:rsidRDefault="007D7490" w:rsidP="00F000BB">
      <w:pPr>
        <w:spacing w:after="0" w:line="240" w:lineRule="auto"/>
      </w:pPr>
      <w:r>
        <w:continuationSeparator/>
      </w:r>
    </w:p>
  </w:footnote>
  <w:footnote w:type="continuationNotice" w:id="1">
    <w:p w14:paraId="62A49FC7" w14:textId="77777777" w:rsidR="007D7490" w:rsidRDefault="007D74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DE529" w14:textId="77777777" w:rsidR="00795085" w:rsidRDefault="007950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EDD20" w14:textId="77777777" w:rsidR="00795085" w:rsidRDefault="007950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AA4D8" w14:textId="77777777" w:rsidR="00795085" w:rsidRDefault="007950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93DCA"/>
    <w:multiLevelType w:val="hybridMultilevel"/>
    <w:tmpl w:val="78EA2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A275C"/>
    <w:multiLevelType w:val="hybridMultilevel"/>
    <w:tmpl w:val="4CBEA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3"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4" w15:restartNumberingAfterBreak="0">
    <w:nsid w:val="06B04C00"/>
    <w:multiLevelType w:val="hybridMultilevel"/>
    <w:tmpl w:val="A8F2E720"/>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0737027C"/>
    <w:multiLevelType w:val="hybridMultilevel"/>
    <w:tmpl w:val="DB3E90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7" w15:restartNumberingAfterBreak="0">
    <w:nsid w:val="08821C82"/>
    <w:multiLevelType w:val="hybridMultilevel"/>
    <w:tmpl w:val="A4ACE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A0928BF"/>
    <w:multiLevelType w:val="hybridMultilevel"/>
    <w:tmpl w:val="B5FAB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C902FDE"/>
    <w:multiLevelType w:val="hybridMultilevel"/>
    <w:tmpl w:val="8892C91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0" w15:restartNumberingAfterBreak="0">
    <w:nsid w:val="13460EA0"/>
    <w:multiLevelType w:val="hybridMultilevel"/>
    <w:tmpl w:val="8F960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45D681E"/>
    <w:multiLevelType w:val="hybridMultilevel"/>
    <w:tmpl w:val="4B7E93E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171F2AAA"/>
    <w:multiLevelType w:val="hybridMultilevel"/>
    <w:tmpl w:val="F43E7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EC18BB"/>
    <w:multiLevelType w:val="hybridMultilevel"/>
    <w:tmpl w:val="1554A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EB70392"/>
    <w:multiLevelType w:val="hybridMultilevel"/>
    <w:tmpl w:val="46A82414"/>
    <w:lvl w:ilvl="0" w:tplc="3AE0ED42">
      <w:start w:val="1"/>
      <w:numFmt w:val="bullet"/>
      <w:lvlText w:val="•"/>
      <w:lvlJc w:val="left"/>
      <w:pPr>
        <w:tabs>
          <w:tab w:val="num" w:pos="720"/>
        </w:tabs>
        <w:ind w:left="720" w:hanging="360"/>
      </w:pPr>
      <w:rPr>
        <w:rFonts w:ascii="Arial" w:hAnsi="Arial" w:hint="default"/>
      </w:rPr>
    </w:lvl>
    <w:lvl w:ilvl="1" w:tplc="7C4CCBBA" w:tentative="1">
      <w:start w:val="1"/>
      <w:numFmt w:val="bullet"/>
      <w:lvlText w:val="•"/>
      <w:lvlJc w:val="left"/>
      <w:pPr>
        <w:tabs>
          <w:tab w:val="num" w:pos="1440"/>
        </w:tabs>
        <w:ind w:left="1440" w:hanging="360"/>
      </w:pPr>
      <w:rPr>
        <w:rFonts w:ascii="Arial" w:hAnsi="Arial" w:hint="default"/>
      </w:rPr>
    </w:lvl>
    <w:lvl w:ilvl="2" w:tplc="2968D844" w:tentative="1">
      <w:start w:val="1"/>
      <w:numFmt w:val="bullet"/>
      <w:lvlText w:val="•"/>
      <w:lvlJc w:val="left"/>
      <w:pPr>
        <w:tabs>
          <w:tab w:val="num" w:pos="2160"/>
        </w:tabs>
        <w:ind w:left="2160" w:hanging="360"/>
      </w:pPr>
      <w:rPr>
        <w:rFonts w:ascii="Arial" w:hAnsi="Arial" w:hint="default"/>
      </w:rPr>
    </w:lvl>
    <w:lvl w:ilvl="3" w:tplc="61BAACD4" w:tentative="1">
      <w:start w:val="1"/>
      <w:numFmt w:val="bullet"/>
      <w:lvlText w:val="•"/>
      <w:lvlJc w:val="left"/>
      <w:pPr>
        <w:tabs>
          <w:tab w:val="num" w:pos="2880"/>
        </w:tabs>
        <w:ind w:left="2880" w:hanging="360"/>
      </w:pPr>
      <w:rPr>
        <w:rFonts w:ascii="Arial" w:hAnsi="Arial" w:hint="default"/>
      </w:rPr>
    </w:lvl>
    <w:lvl w:ilvl="4" w:tplc="D57C9F86" w:tentative="1">
      <w:start w:val="1"/>
      <w:numFmt w:val="bullet"/>
      <w:lvlText w:val="•"/>
      <w:lvlJc w:val="left"/>
      <w:pPr>
        <w:tabs>
          <w:tab w:val="num" w:pos="3600"/>
        </w:tabs>
        <w:ind w:left="3600" w:hanging="360"/>
      </w:pPr>
      <w:rPr>
        <w:rFonts w:ascii="Arial" w:hAnsi="Arial" w:hint="default"/>
      </w:rPr>
    </w:lvl>
    <w:lvl w:ilvl="5" w:tplc="74F6611E" w:tentative="1">
      <w:start w:val="1"/>
      <w:numFmt w:val="bullet"/>
      <w:lvlText w:val="•"/>
      <w:lvlJc w:val="left"/>
      <w:pPr>
        <w:tabs>
          <w:tab w:val="num" w:pos="4320"/>
        </w:tabs>
        <w:ind w:left="4320" w:hanging="360"/>
      </w:pPr>
      <w:rPr>
        <w:rFonts w:ascii="Arial" w:hAnsi="Arial" w:hint="default"/>
      </w:rPr>
    </w:lvl>
    <w:lvl w:ilvl="6" w:tplc="31BC4DF0" w:tentative="1">
      <w:start w:val="1"/>
      <w:numFmt w:val="bullet"/>
      <w:lvlText w:val="•"/>
      <w:lvlJc w:val="left"/>
      <w:pPr>
        <w:tabs>
          <w:tab w:val="num" w:pos="5040"/>
        </w:tabs>
        <w:ind w:left="5040" w:hanging="360"/>
      </w:pPr>
      <w:rPr>
        <w:rFonts w:ascii="Arial" w:hAnsi="Arial" w:hint="default"/>
      </w:rPr>
    </w:lvl>
    <w:lvl w:ilvl="7" w:tplc="4386B7FC" w:tentative="1">
      <w:start w:val="1"/>
      <w:numFmt w:val="bullet"/>
      <w:lvlText w:val="•"/>
      <w:lvlJc w:val="left"/>
      <w:pPr>
        <w:tabs>
          <w:tab w:val="num" w:pos="5760"/>
        </w:tabs>
        <w:ind w:left="5760" w:hanging="360"/>
      </w:pPr>
      <w:rPr>
        <w:rFonts w:ascii="Arial" w:hAnsi="Arial" w:hint="default"/>
      </w:rPr>
    </w:lvl>
    <w:lvl w:ilvl="8" w:tplc="D97025A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6" w15:restartNumberingAfterBreak="0">
    <w:nsid w:val="29F37C0B"/>
    <w:multiLevelType w:val="hybridMultilevel"/>
    <w:tmpl w:val="E6746E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2EB517DE"/>
    <w:multiLevelType w:val="hybridMultilevel"/>
    <w:tmpl w:val="B606A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8638F9"/>
    <w:multiLevelType w:val="hybridMultilevel"/>
    <w:tmpl w:val="B3962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07438C"/>
    <w:multiLevelType w:val="hybridMultilevel"/>
    <w:tmpl w:val="3B9410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33532585"/>
    <w:multiLevelType w:val="hybridMultilevel"/>
    <w:tmpl w:val="36805F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33933C62"/>
    <w:multiLevelType w:val="hybridMultilevel"/>
    <w:tmpl w:val="7B8C1DAC"/>
    <w:lvl w:ilvl="0" w:tplc="B608C162">
      <w:start w:val="1"/>
      <w:numFmt w:val="bullet"/>
      <w:lvlText w:val="•"/>
      <w:lvlJc w:val="left"/>
      <w:pPr>
        <w:tabs>
          <w:tab w:val="num" w:pos="720"/>
        </w:tabs>
        <w:ind w:left="720" w:hanging="360"/>
      </w:pPr>
      <w:rPr>
        <w:rFonts w:ascii="Arial" w:hAnsi="Arial" w:hint="default"/>
      </w:rPr>
    </w:lvl>
    <w:lvl w:ilvl="1" w:tplc="6E4E36FA" w:tentative="1">
      <w:start w:val="1"/>
      <w:numFmt w:val="bullet"/>
      <w:lvlText w:val="•"/>
      <w:lvlJc w:val="left"/>
      <w:pPr>
        <w:tabs>
          <w:tab w:val="num" w:pos="1440"/>
        </w:tabs>
        <w:ind w:left="1440" w:hanging="360"/>
      </w:pPr>
      <w:rPr>
        <w:rFonts w:ascii="Arial" w:hAnsi="Arial" w:hint="default"/>
      </w:rPr>
    </w:lvl>
    <w:lvl w:ilvl="2" w:tplc="A66882FC" w:tentative="1">
      <w:start w:val="1"/>
      <w:numFmt w:val="bullet"/>
      <w:lvlText w:val="•"/>
      <w:lvlJc w:val="left"/>
      <w:pPr>
        <w:tabs>
          <w:tab w:val="num" w:pos="2160"/>
        </w:tabs>
        <w:ind w:left="2160" w:hanging="360"/>
      </w:pPr>
      <w:rPr>
        <w:rFonts w:ascii="Arial" w:hAnsi="Arial" w:hint="default"/>
      </w:rPr>
    </w:lvl>
    <w:lvl w:ilvl="3" w:tplc="9AB44FDE" w:tentative="1">
      <w:start w:val="1"/>
      <w:numFmt w:val="bullet"/>
      <w:lvlText w:val="•"/>
      <w:lvlJc w:val="left"/>
      <w:pPr>
        <w:tabs>
          <w:tab w:val="num" w:pos="2880"/>
        </w:tabs>
        <w:ind w:left="2880" w:hanging="360"/>
      </w:pPr>
      <w:rPr>
        <w:rFonts w:ascii="Arial" w:hAnsi="Arial" w:hint="default"/>
      </w:rPr>
    </w:lvl>
    <w:lvl w:ilvl="4" w:tplc="8AFC5F54" w:tentative="1">
      <w:start w:val="1"/>
      <w:numFmt w:val="bullet"/>
      <w:lvlText w:val="•"/>
      <w:lvlJc w:val="left"/>
      <w:pPr>
        <w:tabs>
          <w:tab w:val="num" w:pos="3600"/>
        </w:tabs>
        <w:ind w:left="3600" w:hanging="360"/>
      </w:pPr>
      <w:rPr>
        <w:rFonts w:ascii="Arial" w:hAnsi="Arial" w:hint="default"/>
      </w:rPr>
    </w:lvl>
    <w:lvl w:ilvl="5" w:tplc="A11AED7E" w:tentative="1">
      <w:start w:val="1"/>
      <w:numFmt w:val="bullet"/>
      <w:lvlText w:val="•"/>
      <w:lvlJc w:val="left"/>
      <w:pPr>
        <w:tabs>
          <w:tab w:val="num" w:pos="4320"/>
        </w:tabs>
        <w:ind w:left="4320" w:hanging="360"/>
      </w:pPr>
      <w:rPr>
        <w:rFonts w:ascii="Arial" w:hAnsi="Arial" w:hint="default"/>
      </w:rPr>
    </w:lvl>
    <w:lvl w:ilvl="6" w:tplc="96327C06" w:tentative="1">
      <w:start w:val="1"/>
      <w:numFmt w:val="bullet"/>
      <w:lvlText w:val="•"/>
      <w:lvlJc w:val="left"/>
      <w:pPr>
        <w:tabs>
          <w:tab w:val="num" w:pos="5040"/>
        </w:tabs>
        <w:ind w:left="5040" w:hanging="360"/>
      </w:pPr>
      <w:rPr>
        <w:rFonts w:ascii="Arial" w:hAnsi="Arial" w:hint="default"/>
      </w:rPr>
    </w:lvl>
    <w:lvl w:ilvl="7" w:tplc="769479D8" w:tentative="1">
      <w:start w:val="1"/>
      <w:numFmt w:val="bullet"/>
      <w:lvlText w:val="•"/>
      <w:lvlJc w:val="left"/>
      <w:pPr>
        <w:tabs>
          <w:tab w:val="num" w:pos="5760"/>
        </w:tabs>
        <w:ind w:left="5760" w:hanging="360"/>
      </w:pPr>
      <w:rPr>
        <w:rFonts w:ascii="Arial" w:hAnsi="Arial" w:hint="default"/>
      </w:rPr>
    </w:lvl>
    <w:lvl w:ilvl="8" w:tplc="DA62A0E6"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3A44FC6"/>
    <w:multiLevelType w:val="hybridMultilevel"/>
    <w:tmpl w:val="47668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58A28FB"/>
    <w:multiLevelType w:val="hybridMultilevel"/>
    <w:tmpl w:val="955E9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6C016DE"/>
    <w:multiLevelType w:val="hybridMultilevel"/>
    <w:tmpl w:val="999099F4"/>
    <w:lvl w:ilvl="0" w:tplc="BCF6CA6A">
      <w:start w:val="1"/>
      <w:numFmt w:val="bullet"/>
      <w:lvlText w:val=""/>
      <w:lvlJc w:val="left"/>
      <w:pPr>
        <w:ind w:left="360" w:hanging="360"/>
      </w:pPr>
      <w:rPr>
        <w:rFonts w:ascii="Symbol" w:hAnsi="Symbol" w:hint="default"/>
        <w:color w:val="auto"/>
      </w:rPr>
    </w:lvl>
    <w:lvl w:ilvl="1" w:tplc="C3320076">
      <w:start w:val="1"/>
      <w:numFmt w:val="bullet"/>
      <w:lvlText w:val=""/>
      <w:lvlJc w:val="left"/>
      <w:pPr>
        <w:ind w:left="1080" w:hanging="360"/>
      </w:pPr>
      <w:rPr>
        <w:rFonts w:ascii="Symbol" w:hAnsi="Symbol" w:hint="default"/>
        <w:color w:val="auto"/>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6"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7"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8" w15:restartNumberingAfterBreak="0">
    <w:nsid w:val="42242D0B"/>
    <w:multiLevelType w:val="hybridMultilevel"/>
    <w:tmpl w:val="907EA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3420E55"/>
    <w:multiLevelType w:val="hybridMultilevel"/>
    <w:tmpl w:val="35E04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41C2577"/>
    <w:multiLevelType w:val="hybridMultilevel"/>
    <w:tmpl w:val="F9B8B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4E411B2"/>
    <w:multiLevelType w:val="hybridMultilevel"/>
    <w:tmpl w:val="CC9C1B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3" w15:restartNumberingAfterBreak="0">
    <w:nsid w:val="457F4D1B"/>
    <w:multiLevelType w:val="hybridMultilevel"/>
    <w:tmpl w:val="B74098E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4DB6055D"/>
    <w:multiLevelType w:val="hybridMultilevel"/>
    <w:tmpl w:val="EF449DF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555B5027"/>
    <w:multiLevelType w:val="hybridMultilevel"/>
    <w:tmpl w:val="5B6A4C66"/>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3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56EF490A"/>
    <w:multiLevelType w:val="hybridMultilevel"/>
    <w:tmpl w:val="800A72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572A3BE7"/>
    <w:multiLevelType w:val="hybridMultilevel"/>
    <w:tmpl w:val="CBBC65F6"/>
    <w:lvl w:ilvl="0" w:tplc="FDF40DE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7B74730"/>
    <w:multiLevelType w:val="hybridMultilevel"/>
    <w:tmpl w:val="9A984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8E80C80"/>
    <w:multiLevelType w:val="hybridMultilevel"/>
    <w:tmpl w:val="6B946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43" w15:restartNumberingAfterBreak="0">
    <w:nsid w:val="60D05677"/>
    <w:multiLevelType w:val="hybridMultilevel"/>
    <w:tmpl w:val="CC72A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4601436"/>
    <w:multiLevelType w:val="hybridMultilevel"/>
    <w:tmpl w:val="0C045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46" w15:restartNumberingAfterBreak="0">
    <w:nsid w:val="6ACC6338"/>
    <w:multiLevelType w:val="hybridMultilevel"/>
    <w:tmpl w:val="65BC3DCE"/>
    <w:lvl w:ilvl="0" w:tplc="08090001">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AE35F44"/>
    <w:multiLevelType w:val="hybridMultilevel"/>
    <w:tmpl w:val="04C45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B091306"/>
    <w:multiLevelType w:val="hybridMultilevel"/>
    <w:tmpl w:val="129EAE3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50" w15:restartNumberingAfterBreak="0">
    <w:nsid w:val="741462A7"/>
    <w:multiLevelType w:val="hybridMultilevel"/>
    <w:tmpl w:val="EBF001F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1" w15:restartNumberingAfterBreak="0">
    <w:nsid w:val="757C5DB0"/>
    <w:multiLevelType w:val="hybridMultilevel"/>
    <w:tmpl w:val="E75C3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90923B8"/>
    <w:multiLevelType w:val="hybridMultilevel"/>
    <w:tmpl w:val="561286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4"/>
  </w:num>
  <w:num w:numId="2">
    <w:abstractNumId w:val="15"/>
  </w:num>
  <w:num w:numId="3">
    <w:abstractNumId w:val="6"/>
  </w:num>
  <w:num w:numId="4">
    <w:abstractNumId w:val="45"/>
  </w:num>
  <w:num w:numId="5">
    <w:abstractNumId w:val="36"/>
  </w:num>
  <w:num w:numId="6">
    <w:abstractNumId w:val="27"/>
  </w:num>
  <w:num w:numId="7">
    <w:abstractNumId w:val="2"/>
  </w:num>
  <w:num w:numId="8">
    <w:abstractNumId w:val="3"/>
  </w:num>
  <w:num w:numId="9">
    <w:abstractNumId w:val="42"/>
  </w:num>
  <w:num w:numId="10">
    <w:abstractNumId w:val="25"/>
  </w:num>
  <w:num w:numId="11">
    <w:abstractNumId w:val="49"/>
  </w:num>
  <w:num w:numId="12">
    <w:abstractNumId w:val="37"/>
  </w:num>
  <w:num w:numId="13">
    <w:abstractNumId w:val="26"/>
  </w:num>
  <w:num w:numId="14">
    <w:abstractNumId w:val="32"/>
  </w:num>
  <w:num w:numId="15">
    <w:abstractNumId w:val="52"/>
  </w:num>
  <w:num w:numId="16">
    <w:abstractNumId w:val="17"/>
  </w:num>
  <w:num w:numId="17">
    <w:abstractNumId w:val="29"/>
  </w:num>
  <w:num w:numId="18">
    <w:abstractNumId w:val="40"/>
  </w:num>
  <w:num w:numId="19">
    <w:abstractNumId w:val="8"/>
  </w:num>
  <w:num w:numId="20">
    <w:abstractNumId w:val="13"/>
  </w:num>
  <w:num w:numId="21">
    <w:abstractNumId w:val="14"/>
  </w:num>
  <w:num w:numId="22">
    <w:abstractNumId w:val="23"/>
  </w:num>
  <w:num w:numId="23">
    <w:abstractNumId w:val="43"/>
  </w:num>
  <w:num w:numId="24">
    <w:abstractNumId w:val="10"/>
  </w:num>
  <w:num w:numId="25">
    <w:abstractNumId w:val="0"/>
  </w:num>
  <w:num w:numId="26">
    <w:abstractNumId w:val="41"/>
  </w:num>
  <w:num w:numId="27">
    <w:abstractNumId w:val="30"/>
  </w:num>
  <w:num w:numId="28">
    <w:abstractNumId w:val="21"/>
  </w:num>
  <w:num w:numId="29">
    <w:abstractNumId w:val="35"/>
  </w:num>
  <w:num w:numId="30">
    <w:abstractNumId w:val="28"/>
  </w:num>
  <w:num w:numId="31">
    <w:abstractNumId w:val="1"/>
  </w:num>
  <w:num w:numId="32">
    <w:abstractNumId w:val="51"/>
  </w:num>
  <w:num w:numId="33">
    <w:abstractNumId w:val="12"/>
  </w:num>
  <w:num w:numId="34">
    <w:abstractNumId w:val="50"/>
  </w:num>
  <w:num w:numId="35">
    <w:abstractNumId w:val="11"/>
  </w:num>
  <w:num w:numId="36">
    <w:abstractNumId w:val="33"/>
  </w:num>
  <w:num w:numId="37">
    <w:abstractNumId w:val="5"/>
  </w:num>
  <w:num w:numId="38">
    <w:abstractNumId w:val="16"/>
  </w:num>
  <w:num w:numId="39">
    <w:abstractNumId w:val="20"/>
  </w:num>
  <w:num w:numId="40">
    <w:abstractNumId w:val="4"/>
  </w:num>
  <w:num w:numId="41">
    <w:abstractNumId w:val="9"/>
  </w:num>
  <w:num w:numId="42">
    <w:abstractNumId w:val="34"/>
  </w:num>
  <w:num w:numId="43">
    <w:abstractNumId w:val="44"/>
  </w:num>
  <w:num w:numId="44">
    <w:abstractNumId w:val="38"/>
  </w:num>
  <w:num w:numId="45">
    <w:abstractNumId w:val="19"/>
  </w:num>
  <w:num w:numId="46">
    <w:abstractNumId w:val="18"/>
  </w:num>
  <w:num w:numId="47">
    <w:abstractNumId w:val="48"/>
  </w:num>
  <w:num w:numId="48">
    <w:abstractNumId w:val="46"/>
  </w:num>
  <w:num w:numId="49">
    <w:abstractNumId w:val="31"/>
  </w:num>
  <w:num w:numId="50">
    <w:abstractNumId w:val="22"/>
  </w:num>
  <w:num w:numId="51">
    <w:abstractNumId w:val="47"/>
  </w:num>
  <w:num w:numId="52">
    <w:abstractNumId w:val="39"/>
  </w:num>
  <w:num w:numId="53">
    <w:abstractNumId w:val="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88"/>
    <w:rsid w:val="000003AA"/>
    <w:rsid w:val="000011F9"/>
    <w:rsid w:val="00001273"/>
    <w:rsid w:val="0000215A"/>
    <w:rsid w:val="000023DE"/>
    <w:rsid w:val="00002543"/>
    <w:rsid w:val="000031A4"/>
    <w:rsid w:val="00003387"/>
    <w:rsid w:val="000034F0"/>
    <w:rsid w:val="00003A8C"/>
    <w:rsid w:val="0000443F"/>
    <w:rsid w:val="00004597"/>
    <w:rsid w:val="000045EB"/>
    <w:rsid w:val="0000462C"/>
    <w:rsid w:val="00004EB7"/>
    <w:rsid w:val="000059A8"/>
    <w:rsid w:val="00005C75"/>
    <w:rsid w:val="0000677D"/>
    <w:rsid w:val="00007874"/>
    <w:rsid w:val="00007A25"/>
    <w:rsid w:val="00010017"/>
    <w:rsid w:val="000101B8"/>
    <w:rsid w:val="00010707"/>
    <w:rsid w:val="00010A9A"/>
    <w:rsid w:val="0001138A"/>
    <w:rsid w:val="000118F8"/>
    <w:rsid w:val="00011E2C"/>
    <w:rsid w:val="0001203E"/>
    <w:rsid w:val="00012048"/>
    <w:rsid w:val="000121E4"/>
    <w:rsid w:val="00012562"/>
    <w:rsid w:val="00012A53"/>
    <w:rsid w:val="00012BEF"/>
    <w:rsid w:val="00012F4F"/>
    <w:rsid w:val="000136A9"/>
    <w:rsid w:val="00013882"/>
    <w:rsid w:val="000145AB"/>
    <w:rsid w:val="0001468C"/>
    <w:rsid w:val="000151E2"/>
    <w:rsid w:val="00015240"/>
    <w:rsid w:val="000153E7"/>
    <w:rsid w:val="00015D50"/>
    <w:rsid w:val="00015FAB"/>
    <w:rsid w:val="00016A2A"/>
    <w:rsid w:val="00016FD6"/>
    <w:rsid w:val="00017089"/>
    <w:rsid w:val="000171C4"/>
    <w:rsid w:val="000172C8"/>
    <w:rsid w:val="000178FE"/>
    <w:rsid w:val="00017EB2"/>
    <w:rsid w:val="0002025A"/>
    <w:rsid w:val="0002098E"/>
    <w:rsid w:val="00020FF0"/>
    <w:rsid w:val="000211CE"/>
    <w:rsid w:val="00021799"/>
    <w:rsid w:val="00021B93"/>
    <w:rsid w:val="0002293B"/>
    <w:rsid w:val="00023025"/>
    <w:rsid w:val="00023282"/>
    <w:rsid w:val="00023505"/>
    <w:rsid w:val="0002360C"/>
    <w:rsid w:val="000237B4"/>
    <w:rsid w:val="00023AEC"/>
    <w:rsid w:val="000249D5"/>
    <w:rsid w:val="00025964"/>
    <w:rsid w:val="000263FF"/>
    <w:rsid w:val="000265A0"/>
    <w:rsid w:val="000265E7"/>
    <w:rsid w:val="0002665D"/>
    <w:rsid w:val="00026A98"/>
    <w:rsid w:val="00026BC1"/>
    <w:rsid w:val="00026D51"/>
    <w:rsid w:val="0002767F"/>
    <w:rsid w:val="00030341"/>
    <w:rsid w:val="0003092D"/>
    <w:rsid w:val="00030D55"/>
    <w:rsid w:val="00031169"/>
    <w:rsid w:val="00031189"/>
    <w:rsid w:val="000312E2"/>
    <w:rsid w:val="000314F8"/>
    <w:rsid w:val="00031787"/>
    <w:rsid w:val="00031801"/>
    <w:rsid w:val="000319E3"/>
    <w:rsid w:val="00031D34"/>
    <w:rsid w:val="00031E2A"/>
    <w:rsid w:val="00032057"/>
    <w:rsid w:val="0003271D"/>
    <w:rsid w:val="000328D2"/>
    <w:rsid w:val="00032AD0"/>
    <w:rsid w:val="00032AFD"/>
    <w:rsid w:val="00033AC5"/>
    <w:rsid w:val="00033D79"/>
    <w:rsid w:val="00034484"/>
    <w:rsid w:val="00034789"/>
    <w:rsid w:val="0003493A"/>
    <w:rsid w:val="00034B8B"/>
    <w:rsid w:val="00034E22"/>
    <w:rsid w:val="00034FD9"/>
    <w:rsid w:val="000352C7"/>
    <w:rsid w:val="00035606"/>
    <w:rsid w:val="00035ACD"/>
    <w:rsid w:val="00035DA0"/>
    <w:rsid w:val="00035ECD"/>
    <w:rsid w:val="00036A53"/>
    <w:rsid w:val="00036B5B"/>
    <w:rsid w:val="00036CE8"/>
    <w:rsid w:val="00036DDF"/>
    <w:rsid w:val="00036F9A"/>
    <w:rsid w:val="000378B7"/>
    <w:rsid w:val="00037B77"/>
    <w:rsid w:val="00037D4E"/>
    <w:rsid w:val="00037FEA"/>
    <w:rsid w:val="00040735"/>
    <w:rsid w:val="00040CDE"/>
    <w:rsid w:val="00040D22"/>
    <w:rsid w:val="000411A3"/>
    <w:rsid w:val="000417E6"/>
    <w:rsid w:val="00041F5B"/>
    <w:rsid w:val="00042AAF"/>
    <w:rsid w:val="00043C6B"/>
    <w:rsid w:val="00043E7E"/>
    <w:rsid w:val="00044650"/>
    <w:rsid w:val="000447FB"/>
    <w:rsid w:val="0004482B"/>
    <w:rsid w:val="00044A6C"/>
    <w:rsid w:val="00044C37"/>
    <w:rsid w:val="00044E05"/>
    <w:rsid w:val="0004588D"/>
    <w:rsid w:val="00045D6C"/>
    <w:rsid w:val="00046134"/>
    <w:rsid w:val="000466DD"/>
    <w:rsid w:val="0004704C"/>
    <w:rsid w:val="0004754E"/>
    <w:rsid w:val="000475BD"/>
    <w:rsid w:val="00047DE0"/>
    <w:rsid w:val="00047F42"/>
    <w:rsid w:val="00050048"/>
    <w:rsid w:val="000507F1"/>
    <w:rsid w:val="0005089F"/>
    <w:rsid w:val="000511FA"/>
    <w:rsid w:val="0005129B"/>
    <w:rsid w:val="000513A7"/>
    <w:rsid w:val="00051BFC"/>
    <w:rsid w:val="0005225A"/>
    <w:rsid w:val="00052DEC"/>
    <w:rsid w:val="000530DF"/>
    <w:rsid w:val="0005364A"/>
    <w:rsid w:val="0005380A"/>
    <w:rsid w:val="000538BA"/>
    <w:rsid w:val="00053A43"/>
    <w:rsid w:val="00054461"/>
    <w:rsid w:val="000545DC"/>
    <w:rsid w:val="00054E8F"/>
    <w:rsid w:val="000559F3"/>
    <w:rsid w:val="0005716A"/>
    <w:rsid w:val="00057A1A"/>
    <w:rsid w:val="00057A85"/>
    <w:rsid w:val="00057B62"/>
    <w:rsid w:val="000606AB"/>
    <w:rsid w:val="00060969"/>
    <w:rsid w:val="000609A7"/>
    <w:rsid w:val="00060A1F"/>
    <w:rsid w:val="00061122"/>
    <w:rsid w:val="000615BD"/>
    <w:rsid w:val="00061EBB"/>
    <w:rsid w:val="00061F39"/>
    <w:rsid w:val="00061F3A"/>
    <w:rsid w:val="00061FAD"/>
    <w:rsid w:val="000620C5"/>
    <w:rsid w:val="000628CD"/>
    <w:rsid w:val="00062A3C"/>
    <w:rsid w:val="0006391D"/>
    <w:rsid w:val="00063BE4"/>
    <w:rsid w:val="00063CEE"/>
    <w:rsid w:val="00063DA7"/>
    <w:rsid w:val="000644D2"/>
    <w:rsid w:val="00064586"/>
    <w:rsid w:val="000648F0"/>
    <w:rsid w:val="00064A96"/>
    <w:rsid w:val="00064DC9"/>
    <w:rsid w:val="00064F59"/>
    <w:rsid w:val="000657E6"/>
    <w:rsid w:val="00065C0B"/>
    <w:rsid w:val="00065FC3"/>
    <w:rsid w:val="00065FC6"/>
    <w:rsid w:val="00066F4F"/>
    <w:rsid w:val="00067194"/>
    <w:rsid w:val="0006764B"/>
    <w:rsid w:val="000676C3"/>
    <w:rsid w:val="00067BB2"/>
    <w:rsid w:val="0007042E"/>
    <w:rsid w:val="00070B51"/>
    <w:rsid w:val="00071492"/>
    <w:rsid w:val="00071A07"/>
    <w:rsid w:val="00071E10"/>
    <w:rsid w:val="0007209C"/>
    <w:rsid w:val="00072CE9"/>
    <w:rsid w:val="00073A50"/>
    <w:rsid w:val="00073DAA"/>
    <w:rsid w:val="00074060"/>
    <w:rsid w:val="000745AB"/>
    <w:rsid w:val="00075297"/>
    <w:rsid w:val="00075623"/>
    <w:rsid w:val="0007588D"/>
    <w:rsid w:val="00075E48"/>
    <w:rsid w:val="000762F2"/>
    <w:rsid w:val="000762F4"/>
    <w:rsid w:val="00076571"/>
    <w:rsid w:val="00076AC3"/>
    <w:rsid w:val="00076E37"/>
    <w:rsid w:val="00077442"/>
    <w:rsid w:val="000774D8"/>
    <w:rsid w:val="000776D6"/>
    <w:rsid w:val="000776DA"/>
    <w:rsid w:val="0007786C"/>
    <w:rsid w:val="00077FFD"/>
    <w:rsid w:val="000803DD"/>
    <w:rsid w:val="00080882"/>
    <w:rsid w:val="00080BD4"/>
    <w:rsid w:val="00080CD6"/>
    <w:rsid w:val="000811F5"/>
    <w:rsid w:val="000816D6"/>
    <w:rsid w:val="00081ADE"/>
    <w:rsid w:val="00081F2C"/>
    <w:rsid w:val="00081FB5"/>
    <w:rsid w:val="00082AC2"/>
    <w:rsid w:val="00082D5B"/>
    <w:rsid w:val="00083306"/>
    <w:rsid w:val="0008344E"/>
    <w:rsid w:val="000843D1"/>
    <w:rsid w:val="000845A7"/>
    <w:rsid w:val="00084669"/>
    <w:rsid w:val="00084B36"/>
    <w:rsid w:val="00084FD5"/>
    <w:rsid w:val="00085003"/>
    <w:rsid w:val="000854A3"/>
    <w:rsid w:val="000855A6"/>
    <w:rsid w:val="000860F6"/>
    <w:rsid w:val="000862D4"/>
    <w:rsid w:val="0008641B"/>
    <w:rsid w:val="00086444"/>
    <w:rsid w:val="0008667D"/>
    <w:rsid w:val="00086CB0"/>
    <w:rsid w:val="00086E75"/>
    <w:rsid w:val="00087067"/>
    <w:rsid w:val="00087CAB"/>
    <w:rsid w:val="00087F78"/>
    <w:rsid w:val="0009070A"/>
    <w:rsid w:val="000909BF"/>
    <w:rsid w:val="00090A7C"/>
    <w:rsid w:val="000917C6"/>
    <w:rsid w:val="00091A59"/>
    <w:rsid w:val="00091F4B"/>
    <w:rsid w:val="00092A45"/>
    <w:rsid w:val="00092C0D"/>
    <w:rsid w:val="00092DE9"/>
    <w:rsid w:val="00092ED3"/>
    <w:rsid w:val="000933D9"/>
    <w:rsid w:val="000937D8"/>
    <w:rsid w:val="00093928"/>
    <w:rsid w:val="00093A8E"/>
    <w:rsid w:val="000941E1"/>
    <w:rsid w:val="000942BB"/>
    <w:rsid w:val="000946F8"/>
    <w:rsid w:val="00094FEA"/>
    <w:rsid w:val="00095398"/>
    <w:rsid w:val="000957EF"/>
    <w:rsid w:val="00095927"/>
    <w:rsid w:val="00096A0F"/>
    <w:rsid w:val="0009747C"/>
    <w:rsid w:val="0009755F"/>
    <w:rsid w:val="0009782E"/>
    <w:rsid w:val="000A009A"/>
    <w:rsid w:val="000A078D"/>
    <w:rsid w:val="000A0DE5"/>
    <w:rsid w:val="000A109F"/>
    <w:rsid w:val="000A1230"/>
    <w:rsid w:val="000A1784"/>
    <w:rsid w:val="000A2490"/>
    <w:rsid w:val="000A2D4D"/>
    <w:rsid w:val="000A3460"/>
    <w:rsid w:val="000A35C4"/>
    <w:rsid w:val="000A39D7"/>
    <w:rsid w:val="000A3CFE"/>
    <w:rsid w:val="000A41AE"/>
    <w:rsid w:val="000A41B4"/>
    <w:rsid w:val="000A451B"/>
    <w:rsid w:val="000A466B"/>
    <w:rsid w:val="000A5801"/>
    <w:rsid w:val="000A6F1F"/>
    <w:rsid w:val="000A6FEB"/>
    <w:rsid w:val="000B0150"/>
    <w:rsid w:val="000B0546"/>
    <w:rsid w:val="000B0FD7"/>
    <w:rsid w:val="000B13EB"/>
    <w:rsid w:val="000B1608"/>
    <w:rsid w:val="000B1620"/>
    <w:rsid w:val="000B1D1F"/>
    <w:rsid w:val="000B20D7"/>
    <w:rsid w:val="000B2358"/>
    <w:rsid w:val="000B2968"/>
    <w:rsid w:val="000B2AD8"/>
    <w:rsid w:val="000B2C40"/>
    <w:rsid w:val="000B2CE0"/>
    <w:rsid w:val="000B3423"/>
    <w:rsid w:val="000B369F"/>
    <w:rsid w:val="000B3CCA"/>
    <w:rsid w:val="000B5473"/>
    <w:rsid w:val="000B5980"/>
    <w:rsid w:val="000B62E8"/>
    <w:rsid w:val="000B65C4"/>
    <w:rsid w:val="000B67B6"/>
    <w:rsid w:val="000B6844"/>
    <w:rsid w:val="000B6CF1"/>
    <w:rsid w:val="000B6D64"/>
    <w:rsid w:val="000B6EF0"/>
    <w:rsid w:val="000B6FB5"/>
    <w:rsid w:val="000B70D3"/>
    <w:rsid w:val="000B726E"/>
    <w:rsid w:val="000B7347"/>
    <w:rsid w:val="000B738B"/>
    <w:rsid w:val="000B7C06"/>
    <w:rsid w:val="000C001E"/>
    <w:rsid w:val="000C00AD"/>
    <w:rsid w:val="000C01C3"/>
    <w:rsid w:val="000C03ED"/>
    <w:rsid w:val="000C072A"/>
    <w:rsid w:val="000C07D3"/>
    <w:rsid w:val="000C1C78"/>
    <w:rsid w:val="000C2015"/>
    <w:rsid w:val="000C29A8"/>
    <w:rsid w:val="000C2B59"/>
    <w:rsid w:val="000C2D52"/>
    <w:rsid w:val="000C30B4"/>
    <w:rsid w:val="000C3F8A"/>
    <w:rsid w:val="000C42A2"/>
    <w:rsid w:val="000C4F25"/>
    <w:rsid w:val="000C50B2"/>
    <w:rsid w:val="000C5348"/>
    <w:rsid w:val="000C53E0"/>
    <w:rsid w:val="000C5615"/>
    <w:rsid w:val="000C581B"/>
    <w:rsid w:val="000C6129"/>
    <w:rsid w:val="000C68FD"/>
    <w:rsid w:val="000C6BDF"/>
    <w:rsid w:val="000C715C"/>
    <w:rsid w:val="000C7450"/>
    <w:rsid w:val="000C7516"/>
    <w:rsid w:val="000C775E"/>
    <w:rsid w:val="000C7F9B"/>
    <w:rsid w:val="000D001D"/>
    <w:rsid w:val="000D035B"/>
    <w:rsid w:val="000D06AC"/>
    <w:rsid w:val="000D07CF"/>
    <w:rsid w:val="000D0A56"/>
    <w:rsid w:val="000D0A81"/>
    <w:rsid w:val="000D1125"/>
    <w:rsid w:val="000D1149"/>
    <w:rsid w:val="000D17CD"/>
    <w:rsid w:val="000D1918"/>
    <w:rsid w:val="000D195C"/>
    <w:rsid w:val="000D1AF5"/>
    <w:rsid w:val="000D1BA1"/>
    <w:rsid w:val="000D21DB"/>
    <w:rsid w:val="000D2C82"/>
    <w:rsid w:val="000D2E0C"/>
    <w:rsid w:val="000D2E43"/>
    <w:rsid w:val="000D303B"/>
    <w:rsid w:val="000D35B8"/>
    <w:rsid w:val="000D3AF6"/>
    <w:rsid w:val="000D4077"/>
    <w:rsid w:val="000D431C"/>
    <w:rsid w:val="000D44A1"/>
    <w:rsid w:val="000D54B4"/>
    <w:rsid w:val="000D5684"/>
    <w:rsid w:val="000D57FC"/>
    <w:rsid w:val="000D5AEB"/>
    <w:rsid w:val="000D5FB6"/>
    <w:rsid w:val="000D643C"/>
    <w:rsid w:val="000D6FA9"/>
    <w:rsid w:val="000D6FEB"/>
    <w:rsid w:val="000D7233"/>
    <w:rsid w:val="000D79B1"/>
    <w:rsid w:val="000E09D8"/>
    <w:rsid w:val="000E0A60"/>
    <w:rsid w:val="000E1247"/>
    <w:rsid w:val="000E1369"/>
    <w:rsid w:val="000E18A0"/>
    <w:rsid w:val="000E1FEA"/>
    <w:rsid w:val="000E20BF"/>
    <w:rsid w:val="000E273F"/>
    <w:rsid w:val="000E282F"/>
    <w:rsid w:val="000E2956"/>
    <w:rsid w:val="000E33D2"/>
    <w:rsid w:val="000E3606"/>
    <w:rsid w:val="000E4363"/>
    <w:rsid w:val="000E4A82"/>
    <w:rsid w:val="000E4B23"/>
    <w:rsid w:val="000E4CC2"/>
    <w:rsid w:val="000E56D1"/>
    <w:rsid w:val="000E5737"/>
    <w:rsid w:val="000E591E"/>
    <w:rsid w:val="000E595B"/>
    <w:rsid w:val="000E5A63"/>
    <w:rsid w:val="000E616D"/>
    <w:rsid w:val="000E656D"/>
    <w:rsid w:val="000E6731"/>
    <w:rsid w:val="000E6A82"/>
    <w:rsid w:val="000E6E2E"/>
    <w:rsid w:val="000E6E75"/>
    <w:rsid w:val="000E7190"/>
    <w:rsid w:val="000E73FD"/>
    <w:rsid w:val="000E7850"/>
    <w:rsid w:val="000E7D4F"/>
    <w:rsid w:val="000E7DBD"/>
    <w:rsid w:val="000E7EE7"/>
    <w:rsid w:val="000E7F1D"/>
    <w:rsid w:val="000F09E5"/>
    <w:rsid w:val="000F0A64"/>
    <w:rsid w:val="000F1133"/>
    <w:rsid w:val="000F2A2C"/>
    <w:rsid w:val="000F3410"/>
    <w:rsid w:val="000F3978"/>
    <w:rsid w:val="000F3E32"/>
    <w:rsid w:val="000F50F3"/>
    <w:rsid w:val="000F5456"/>
    <w:rsid w:val="000F58AB"/>
    <w:rsid w:val="000F6249"/>
    <w:rsid w:val="000F686E"/>
    <w:rsid w:val="000F6D03"/>
    <w:rsid w:val="000F6FD6"/>
    <w:rsid w:val="000F7448"/>
    <w:rsid w:val="000F7542"/>
    <w:rsid w:val="000F7714"/>
    <w:rsid w:val="000F7AB2"/>
    <w:rsid w:val="000F7E56"/>
    <w:rsid w:val="0010124F"/>
    <w:rsid w:val="00101407"/>
    <w:rsid w:val="001017A2"/>
    <w:rsid w:val="00101952"/>
    <w:rsid w:val="00101CE7"/>
    <w:rsid w:val="00101FD2"/>
    <w:rsid w:val="00102C12"/>
    <w:rsid w:val="00103B4E"/>
    <w:rsid w:val="00103CF6"/>
    <w:rsid w:val="00103F10"/>
    <w:rsid w:val="00104006"/>
    <w:rsid w:val="001043DD"/>
    <w:rsid w:val="001046DB"/>
    <w:rsid w:val="0010474A"/>
    <w:rsid w:val="001048E3"/>
    <w:rsid w:val="00104977"/>
    <w:rsid w:val="00104AC4"/>
    <w:rsid w:val="00104DD2"/>
    <w:rsid w:val="00104E73"/>
    <w:rsid w:val="0010522F"/>
    <w:rsid w:val="0010633C"/>
    <w:rsid w:val="00106589"/>
    <w:rsid w:val="00106A1A"/>
    <w:rsid w:val="00106BEA"/>
    <w:rsid w:val="00106DD7"/>
    <w:rsid w:val="00106FEB"/>
    <w:rsid w:val="00107113"/>
    <w:rsid w:val="00107AC9"/>
    <w:rsid w:val="0011091A"/>
    <w:rsid w:val="0011100D"/>
    <w:rsid w:val="00111226"/>
    <w:rsid w:val="001113DA"/>
    <w:rsid w:val="0011159F"/>
    <w:rsid w:val="001115BA"/>
    <w:rsid w:val="001116AE"/>
    <w:rsid w:val="00111D93"/>
    <w:rsid w:val="00112A8B"/>
    <w:rsid w:val="00112BBD"/>
    <w:rsid w:val="00112C5F"/>
    <w:rsid w:val="00112CFB"/>
    <w:rsid w:val="00112E5D"/>
    <w:rsid w:val="00113226"/>
    <w:rsid w:val="00113ABA"/>
    <w:rsid w:val="00114390"/>
    <w:rsid w:val="0011478B"/>
    <w:rsid w:val="00114892"/>
    <w:rsid w:val="00115290"/>
    <w:rsid w:val="00115707"/>
    <w:rsid w:val="00115862"/>
    <w:rsid w:val="001158E9"/>
    <w:rsid w:val="00116230"/>
    <w:rsid w:val="00116324"/>
    <w:rsid w:val="00116364"/>
    <w:rsid w:val="001166C0"/>
    <w:rsid w:val="001168F3"/>
    <w:rsid w:val="00116A78"/>
    <w:rsid w:val="00116DC8"/>
    <w:rsid w:val="00116EA3"/>
    <w:rsid w:val="00116F17"/>
    <w:rsid w:val="00117034"/>
    <w:rsid w:val="0011751B"/>
    <w:rsid w:val="0011755E"/>
    <w:rsid w:val="001179D6"/>
    <w:rsid w:val="00117F2E"/>
    <w:rsid w:val="001204F8"/>
    <w:rsid w:val="00120653"/>
    <w:rsid w:val="00121177"/>
    <w:rsid w:val="0012169A"/>
    <w:rsid w:val="00121EEC"/>
    <w:rsid w:val="00122A4E"/>
    <w:rsid w:val="001230DE"/>
    <w:rsid w:val="00123780"/>
    <w:rsid w:val="00123C52"/>
    <w:rsid w:val="0012415A"/>
    <w:rsid w:val="001248EA"/>
    <w:rsid w:val="00124B04"/>
    <w:rsid w:val="0012502F"/>
    <w:rsid w:val="00125D0E"/>
    <w:rsid w:val="00125ED0"/>
    <w:rsid w:val="00125FB4"/>
    <w:rsid w:val="00126E0B"/>
    <w:rsid w:val="00127316"/>
    <w:rsid w:val="001275D4"/>
    <w:rsid w:val="00127AE3"/>
    <w:rsid w:val="00127C04"/>
    <w:rsid w:val="00127E97"/>
    <w:rsid w:val="00130309"/>
    <w:rsid w:val="00130D68"/>
    <w:rsid w:val="00130DAA"/>
    <w:rsid w:val="00131765"/>
    <w:rsid w:val="00131892"/>
    <w:rsid w:val="00131965"/>
    <w:rsid w:val="00131F03"/>
    <w:rsid w:val="001320DB"/>
    <w:rsid w:val="0013281D"/>
    <w:rsid w:val="00132B4B"/>
    <w:rsid w:val="0013352B"/>
    <w:rsid w:val="001335AA"/>
    <w:rsid w:val="00133AB9"/>
    <w:rsid w:val="00133BE7"/>
    <w:rsid w:val="0013468D"/>
    <w:rsid w:val="0013484C"/>
    <w:rsid w:val="00134DA1"/>
    <w:rsid w:val="00134DD9"/>
    <w:rsid w:val="00135110"/>
    <w:rsid w:val="001358C9"/>
    <w:rsid w:val="00135D78"/>
    <w:rsid w:val="00136088"/>
    <w:rsid w:val="00136DA0"/>
    <w:rsid w:val="00136E31"/>
    <w:rsid w:val="00137BA0"/>
    <w:rsid w:val="001400B6"/>
    <w:rsid w:val="00140242"/>
    <w:rsid w:val="001402F4"/>
    <w:rsid w:val="00140327"/>
    <w:rsid w:val="0014084A"/>
    <w:rsid w:val="00140D78"/>
    <w:rsid w:val="00140EE4"/>
    <w:rsid w:val="0014121D"/>
    <w:rsid w:val="001415F1"/>
    <w:rsid w:val="001416D4"/>
    <w:rsid w:val="00141747"/>
    <w:rsid w:val="00141F7B"/>
    <w:rsid w:val="00142819"/>
    <w:rsid w:val="0014290E"/>
    <w:rsid w:val="00142FD9"/>
    <w:rsid w:val="001431EC"/>
    <w:rsid w:val="00143C21"/>
    <w:rsid w:val="00143F93"/>
    <w:rsid w:val="00144003"/>
    <w:rsid w:val="00144907"/>
    <w:rsid w:val="00144F92"/>
    <w:rsid w:val="00145001"/>
    <w:rsid w:val="001453F9"/>
    <w:rsid w:val="00145782"/>
    <w:rsid w:val="0014590A"/>
    <w:rsid w:val="0014590E"/>
    <w:rsid w:val="0014593D"/>
    <w:rsid w:val="00145D01"/>
    <w:rsid w:val="00145FD6"/>
    <w:rsid w:val="001462A3"/>
    <w:rsid w:val="00146317"/>
    <w:rsid w:val="00146439"/>
    <w:rsid w:val="00146A12"/>
    <w:rsid w:val="00146ABE"/>
    <w:rsid w:val="00147195"/>
    <w:rsid w:val="0014730E"/>
    <w:rsid w:val="001479F1"/>
    <w:rsid w:val="00147AA3"/>
    <w:rsid w:val="00147AF8"/>
    <w:rsid w:val="00147B44"/>
    <w:rsid w:val="00150052"/>
    <w:rsid w:val="001503E7"/>
    <w:rsid w:val="001504C6"/>
    <w:rsid w:val="00150AA9"/>
    <w:rsid w:val="00150C0B"/>
    <w:rsid w:val="00151186"/>
    <w:rsid w:val="00151469"/>
    <w:rsid w:val="001514C7"/>
    <w:rsid w:val="00151E86"/>
    <w:rsid w:val="001525B1"/>
    <w:rsid w:val="001525EA"/>
    <w:rsid w:val="00152AFC"/>
    <w:rsid w:val="00152DC4"/>
    <w:rsid w:val="0015327B"/>
    <w:rsid w:val="001532F0"/>
    <w:rsid w:val="00153EAF"/>
    <w:rsid w:val="00154315"/>
    <w:rsid w:val="0015446D"/>
    <w:rsid w:val="0015452F"/>
    <w:rsid w:val="00154ADB"/>
    <w:rsid w:val="001550D9"/>
    <w:rsid w:val="001552E0"/>
    <w:rsid w:val="001554B3"/>
    <w:rsid w:val="00155A33"/>
    <w:rsid w:val="00155AE6"/>
    <w:rsid w:val="0015621B"/>
    <w:rsid w:val="0015634E"/>
    <w:rsid w:val="00156717"/>
    <w:rsid w:val="0015695A"/>
    <w:rsid w:val="00156A2C"/>
    <w:rsid w:val="00156D2C"/>
    <w:rsid w:val="00156F1A"/>
    <w:rsid w:val="00157262"/>
    <w:rsid w:val="0015790B"/>
    <w:rsid w:val="00160017"/>
    <w:rsid w:val="00160288"/>
    <w:rsid w:val="00160697"/>
    <w:rsid w:val="00160A99"/>
    <w:rsid w:val="00160C5A"/>
    <w:rsid w:val="00161167"/>
    <w:rsid w:val="001617A4"/>
    <w:rsid w:val="00161C5C"/>
    <w:rsid w:val="00161E9B"/>
    <w:rsid w:val="00161EA5"/>
    <w:rsid w:val="00162928"/>
    <w:rsid w:val="00162C62"/>
    <w:rsid w:val="00162F26"/>
    <w:rsid w:val="00162FDA"/>
    <w:rsid w:val="00163E70"/>
    <w:rsid w:val="001646BE"/>
    <w:rsid w:val="00164C35"/>
    <w:rsid w:val="00164FD1"/>
    <w:rsid w:val="00165153"/>
    <w:rsid w:val="0016517C"/>
    <w:rsid w:val="001652EE"/>
    <w:rsid w:val="001656B4"/>
    <w:rsid w:val="00165EED"/>
    <w:rsid w:val="00166462"/>
    <w:rsid w:val="00166B69"/>
    <w:rsid w:val="00166F4D"/>
    <w:rsid w:val="00167191"/>
    <w:rsid w:val="0016790E"/>
    <w:rsid w:val="00167AB9"/>
    <w:rsid w:val="00170590"/>
    <w:rsid w:val="00171572"/>
    <w:rsid w:val="00171E61"/>
    <w:rsid w:val="0017201E"/>
    <w:rsid w:val="00172EBD"/>
    <w:rsid w:val="00172FD3"/>
    <w:rsid w:val="0017309D"/>
    <w:rsid w:val="0017343C"/>
    <w:rsid w:val="0017365F"/>
    <w:rsid w:val="00173CB2"/>
    <w:rsid w:val="00173ECF"/>
    <w:rsid w:val="001741C6"/>
    <w:rsid w:val="0017427B"/>
    <w:rsid w:val="00174427"/>
    <w:rsid w:val="0017456D"/>
    <w:rsid w:val="001749B0"/>
    <w:rsid w:val="0017513B"/>
    <w:rsid w:val="00176126"/>
    <w:rsid w:val="001762B9"/>
    <w:rsid w:val="0017641C"/>
    <w:rsid w:val="00176450"/>
    <w:rsid w:val="001768A6"/>
    <w:rsid w:val="00177054"/>
    <w:rsid w:val="001773D2"/>
    <w:rsid w:val="00177D3B"/>
    <w:rsid w:val="00177F93"/>
    <w:rsid w:val="001804F8"/>
    <w:rsid w:val="00180707"/>
    <w:rsid w:val="0018078E"/>
    <w:rsid w:val="00180BA0"/>
    <w:rsid w:val="00180DF0"/>
    <w:rsid w:val="00180F41"/>
    <w:rsid w:val="00180F98"/>
    <w:rsid w:val="001810D2"/>
    <w:rsid w:val="00181635"/>
    <w:rsid w:val="001816E0"/>
    <w:rsid w:val="001817E9"/>
    <w:rsid w:val="001819BB"/>
    <w:rsid w:val="00181A82"/>
    <w:rsid w:val="00181EFC"/>
    <w:rsid w:val="00182073"/>
    <w:rsid w:val="001824C0"/>
    <w:rsid w:val="0018254D"/>
    <w:rsid w:val="0018275F"/>
    <w:rsid w:val="001829B2"/>
    <w:rsid w:val="00183097"/>
    <w:rsid w:val="00183D41"/>
    <w:rsid w:val="0018412B"/>
    <w:rsid w:val="00184D58"/>
    <w:rsid w:val="00185878"/>
    <w:rsid w:val="00185893"/>
    <w:rsid w:val="00185971"/>
    <w:rsid w:val="00185ADF"/>
    <w:rsid w:val="001869B7"/>
    <w:rsid w:val="00186A94"/>
    <w:rsid w:val="00186E3A"/>
    <w:rsid w:val="00186FF7"/>
    <w:rsid w:val="0018718B"/>
    <w:rsid w:val="0018746F"/>
    <w:rsid w:val="00190269"/>
    <w:rsid w:val="00190E16"/>
    <w:rsid w:val="00190FAB"/>
    <w:rsid w:val="001924B5"/>
    <w:rsid w:val="00192813"/>
    <w:rsid w:val="001931A4"/>
    <w:rsid w:val="0019324B"/>
    <w:rsid w:val="00193508"/>
    <w:rsid w:val="00193C7D"/>
    <w:rsid w:val="00193E30"/>
    <w:rsid w:val="00194038"/>
    <w:rsid w:val="001942EE"/>
    <w:rsid w:val="00194BA0"/>
    <w:rsid w:val="0019599E"/>
    <w:rsid w:val="00195D52"/>
    <w:rsid w:val="001961C8"/>
    <w:rsid w:val="00196FB8"/>
    <w:rsid w:val="0019724D"/>
    <w:rsid w:val="001973AB"/>
    <w:rsid w:val="00197791"/>
    <w:rsid w:val="00197D3C"/>
    <w:rsid w:val="00197F13"/>
    <w:rsid w:val="001A158E"/>
    <w:rsid w:val="001A1719"/>
    <w:rsid w:val="001A18F3"/>
    <w:rsid w:val="001A229F"/>
    <w:rsid w:val="001A2504"/>
    <w:rsid w:val="001A2563"/>
    <w:rsid w:val="001A27F9"/>
    <w:rsid w:val="001A2D5E"/>
    <w:rsid w:val="001A34E0"/>
    <w:rsid w:val="001A3E31"/>
    <w:rsid w:val="001A4536"/>
    <w:rsid w:val="001A46B3"/>
    <w:rsid w:val="001A473F"/>
    <w:rsid w:val="001A4976"/>
    <w:rsid w:val="001A4F7C"/>
    <w:rsid w:val="001A51A6"/>
    <w:rsid w:val="001A53CC"/>
    <w:rsid w:val="001A5418"/>
    <w:rsid w:val="001A576C"/>
    <w:rsid w:val="001A5ECD"/>
    <w:rsid w:val="001A6579"/>
    <w:rsid w:val="001A663A"/>
    <w:rsid w:val="001A7788"/>
    <w:rsid w:val="001A7DF6"/>
    <w:rsid w:val="001B007B"/>
    <w:rsid w:val="001B0278"/>
    <w:rsid w:val="001B075E"/>
    <w:rsid w:val="001B12EC"/>
    <w:rsid w:val="001B1A08"/>
    <w:rsid w:val="001B20F1"/>
    <w:rsid w:val="001B21D8"/>
    <w:rsid w:val="001B21F0"/>
    <w:rsid w:val="001B287F"/>
    <w:rsid w:val="001B2C41"/>
    <w:rsid w:val="001B30F7"/>
    <w:rsid w:val="001B31D0"/>
    <w:rsid w:val="001B3D0E"/>
    <w:rsid w:val="001B42A7"/>
    <w:rsid w:val="001B4890"/>
    <w:rsid w:val="001B496D"/>
    <w:rsid w:val="001B51DD"/>
    <w:rsid w:val="001B56CD"/>
    <w:rsid w:val="001B5897"/>
    <w:rsid w:val="001B5F51"/>
    <w:rsid w:val="001B65B0"/>
    <w:rsid w:val="001B65B6"/>
    <w:rsid w:val="001B663D"/>
    <w:rsid w:val="001B6C1D"/>
    <w:rsid w:val="001B6E81"/>
    <w:rsid w:val="001B6EC3"/>
    <w:rsid w:val="001B6F29"/>
    <w:rsid w:val="001B7BB1"/>
    <w:rsid w:val="001C0016"/>
    <w:rsid w:val="001C0167"/>
    <w:rsid w:val="001C06E5"/>
    <w:rsid w:val="001C075E"/>
    <w:rsid w:val="001C099A"/>
    <w:rsid w:val="001C0A70"/>
    <w:rsid w:val="001C0ED9"/>
    <w:rsid w:val="001C103B"/>
    <w:rsid w:val="001C1829"/>
    <w:rsid w:val="001C1ABE"/>
    <w:rsid w:val="001C1CE9"/>
    <w:rsid w:val="001C1D62"/>
    <w:rsid w:val="001C2A1D"/>
    <w:rsid w:val="001C2D09"/>
    <w:rsid w:val="001C3329"/>
    <w:rsid w:val="001C3453"/>
    <w:rsid w:val="001C3AEB"/>
    <w:rsid w:val="001C3D62"/>
    <w:rsid w:val="001C41E3"/>
    <w:rsid w:val="001C42F1"/>
    <w:rsid w:val="001C4445"/>
    <w:rsid w:val="001C53A4"/>
    <w:rsid w:val="001C5F2F"/>
    <w:rsid w:val="001C61EF"/>
    <w:rsid w:val="001C6AD5"/>
    <w:rsid w:val="001C6B72"/>
    <w:rsid w:val="001C7C09"/>
    <w:rsid w:val="001C7CC9"/>
    <w:rsid w:val="001C7FC0"/>
    <w:rsid w:val="001C7FD2"/>
    <w:rsid w:val="001D028C"/>
    <w:rsid w:val="001D0885"/>
    <w:rsid w:val="001D08C2"/>
    <w:rsid w:val="001D0C39"/>
    <w:rsid w:val="001D0DAB"/>
    <w:rsid w:val="001D103A"/>
    <w:rsid w:val="001D14B3"/>
    <w:rsid w:val="001D1C59"/>
    <w:rsid w:val="001D1D76"/>
    <w:rsid w:val="001D24E7"/>
    <w:rsid w:val="001D2AFA"/>
    <w:rsid w:val="001D2B5D"/>
    <w:rsid w:val="001D2D11"/>
    <w:rsid w:val="001D34AB"/>
    <w:rsid w:val="001D3567"/>
    <w:rsid w:val="001D3D9D"/>
    <w:rsid w:val="001D3E45"/>
    <w:rsid w:val="001D4737"/>
    <w:rsid w:val="001D53EE"/>
    <w:rsid w:val="001D590D"/>
    <w:rsid w:val="001D5B33"/>
    <w:rsid w:val="001D5E6D"/>
    <w:rsid w:val="001D60CE"/>
    <w:rsid w:val="001D677D"/>
    <w:rsid w:val="001D67C2"/>
    <w:rsid w:val="001D68D5"/>
    <w:rsid w:val="001D6B4B"/>
    <w:rsid w:val="001D6C95"/>
    <w:rsid w:val="001D794D"/>
    <w:rsid w:val="001D7B2E"/>
    <w:rsid w:val="001D7ECF"/>
    <w:rsid w:val="001E00D9"/>
    <w:rsid w:val="001E0565"/>
    <w:rsid w:val="001E05A2"/>
    <w:rsid w:val="001E060D"/>
    <w:rsid w:val="001E0A53"/>
    <w:rsid w:val="001E14C5"/>
    <w:rsid w:val="001E1BF8"/>
    <w:rsid w:val="001E26F3"/>
    <w:rsid w:val="001E2999"/>
    <w:rsid w:val="001E2F35"/>
    <w:rsid w:val="001E312D"/>
    <w:rsid w:val="001E354D"/>
    <w:rsid w:val="001E405B"/>
    <w:rsid w:val="001E4300"/>
    <w:rsid w:val="001E46A0"/>
    <w:rsid w:val="001E4A28"/>
    <w:rsid w:val="001E5991"/>
    <w:rsid w:val="001E59A9"/>
    <w:rsid w:val="001E5F31"/>
    <w:rsid w:val="001E67A8"/>
    <w:rsid w:val="001E67D5"/>
    <w:rsid w:val="001E686F"/>
    <w:rsid w:val="001E6F20"/>
    <w:rsid w:val="001E7436"/>
    <w:rsid w:val="001E76E9"/>
    <w:rsid w:val="001E7751"/>
    <w:rsid w:val="001E794B"/>
    <w:rsid w:val="001E7A04"/>
    <w:rsid w:val="001E7B21"/>
    <w:rsid w:val="001E7C5F"/>
    <w:rsid w:val="001E7EBE"/>
    <w:rsid w:val="001E7FBF"/>
    <w:rsid w:val="001F11EA"/>
    <w:rsid w:val="001F12E8"/>
    <w:rsid w:val="001F1507"/>
    <w:rsid w:val="001F1BF0"/>
    <w:rsid w:val="001F215A"/>
    <w:rsid w:val="001F2540"/>
    <w:rsid w:val="001F3049"/>
    <w:rsid w:val="001F3165"/>
    <w:rsid w:val="001F3411"/>
    <w:rsid w:val="001F34C0"/>
    <w:rsid w:val="001F38A6"/>
    <w:rsid w:val="001F3EB1"/>
    <w:rsid w:val="001F4452"/>
    <w:rsid w:val="001F4652"/>
    <w:rsid w:val="001F47E0"/>
    <w:rsid w:val="001F4DE5"/>
    <w:rsid w:val="001F4E2A"/>
    <w:rsid w:val="001F553E"/>
    <w:rsid w:val="001F5C31"/>
    <w:rsid w:val="001F5C99"/>
    <w:rsid w:val="001F5DC8"/>
    <w:rsid w:val="001F6541"/>
    <w:rsid w:val="001F6596"/>
    <w:rsid w:val="001F68C6"/>
    <w:rsid w:val="001F7477"/>
    <w:rsid w:val="001F7DF6"/>
    <w:rsid w:val="001F7E05"/>
    <w:rsid w:val="001F7EC2"/>
    <w:rsid w:val="002004E2"/>
    <w:rsid w:val="00200D27"/>
    <w:rsid w:val="00200FF5"/>
    <w:rsid w:val="00201580"/>
    <w:rsid w:val="002021A4"/>
    <w:rsid w:val="0020257B"/>
    <w:rsid w:val="002026C0"/>
    <w:rsid w:val="00202B58"/>
    <w:rsid w:val="00202C4D"/>
    <w:rsid w:val="0020340C"/>
    <w:rsid w:val="00203841"/>
    <w:rsid w:val="002044F3"/>
    <w:rsid w:val="002046B2"/>
    <w:rsid w:val="0020517A"/>
    <w:rsid w:val="002055AC"/>
    <w:rsid w:val="002059D4"/>
    <w:rsid w:val="0020603F"/>
    <w:rsid w:val="002061FD"/>
    <w:rsid w:val="00206289"/>
    <w:rsid w:val="00206291"/>
    <w:rsid w:val="002065B4"/>
    <w:rsid w:val="00206625"/>
    <w:rsid w:val="00206832"/>
    <w:rsid w:val="00206AFC"/>
    <w:rsid w:val="002074E3"/>
    <w:rsid w:val="00207ADD"/>
    <w:rsid w:val="00207B1D"/>
    <w:rsid w:val="00207CE2"/>
    <w:rsid w:val="0021035E"/>
    <w:rsid w:val="002103F6"/>
    <w:rsid w:val="0021096B"/>
    <w:rsid w:val="0021127F"/>
    <w:rsid w:val="00211359"/>
    <w:rsid w:val="00211AF7"/>
    <w:rsid w:val="00211CEB"/>
    <w:rsid w:val="002125B6"/>
    <w:rsid w:val="0021267A"/>
    <w:rsid w:val="00212F94"/>
    <w:rsid w:val="00212FE9"/>
    <w:rsid w:val="00213247"/>
    <w:rsid w:val="00213A2C"/>
    <w:rsid w:val="002143E1"/>
    <w:rsid w:val="0021545C"/>
    <w:rsid w:val="0021592D"/>
    <w:rsid w:val="00215C58"/>
    <w:rsid w:val="0021638C"/>
    <w:rsid w:val="00216399"/>
    <w:rsid w:val="0021682A"/>
    <w:rsid w:val="00216A47"/>
    <w:rsid w:val="00216DFF"/>
    <w:rsid w:val="00216F03"/>
    <w:rsid w:val="002173BB"/>
    <w:rsid w:val="002175E4"/>
    <w:rsid w:val="00217E20"/>
    <w:rsid w:val="00217F63"/>
    <w:rsid w:val="0022011D"/>
    <w:rsid w:val="00220780"/>
    <w:rsid w:val="00220801"/>
    <w:rsid w:val="00220D38"/>
    <w:rsid w:val="00220F68"/>
    <w:rsid w:val="00220FC1"/>
    <w:rsid w:val="002211E9"/>
    <w:rsid w:val="002222CA"/>
    <w:rsid w:val="00222362"/>
    <w:rsid w:val="00222654"/>
    <w:rsid w:val="002227C3"/>
    <w:rsid w:val="0022280E"/>
    <w:rsid w:val="00222922"/>
    <w:rsid w:val="00222BB9"/>
    <w:rsid w:val="00222E94"/>
    <w:rsid w:val="002233BB"/>
    <w:rsid w:val="0022399E"/>
    <w:rsid w:val="0022423A"/>
    <w:rsid w:val="00224400"/>
    <w:rsid w:val="00224669"/>
    <w:rsid w:val="00224818"/>
    <w:rsid w:val="00224B54"/>
    <w:rsid w:val="00224F2E"/>
    <w:rsid w:val="00224FB2"/>
    <w:rsid w:val="00225998"/>
    <w:rsid w:val="00225C02"/>
    <w:rsid w:val="0022700F"/>
    <w:rsid w:val="002270AC"/>
    <w:rsid w:val="002272E3"/>
    <w:rsid w:val="00227516"/>
    <w:rsid w:val="002276C5"/>
    <w:rsid w:val="002307C3"/>
    <w:rsid w:val="002309A3"/>
    <w:rsid w:val="00230A83"/>
    <w:rsid w:val="00230BBC"/>
    <w:rsid w:val="00230CB8"/>
    <w:rsid w:val="00230ED8"/>
    <w:rsid w:val="00231350"/>
    <w:rsid w:val="00231DF5"/>
    <w:rsid w:val="0023206F"/>
    <w:rsid w:val="00232B29"/>
    <w:rsid w:val="00232E94"/>
    <w:rsid w:val="0023380D"/>
    <w:rsid w:val="00233A02"/>
    <w:rsid w:val="00233D8C"/>
    <w:rsid w:val="00233FBE"/>
    <w:rsid w:val="00234126"/>
    <w:rsid w:val="002344ED"/>
    <w:rsid w:val="00234653"/>
    <w:rsid w:val="00235654"/>
    <w:rsid w:val="0023651E"/>
    <w:rsid w:val="002373A2"/>
    <w:rsid w:val="00237590"/>
    <w:rsid w:val="002376B0"/>
    <w:rsid w:val="00237E02"/>
    <w:rsid w:val="00240064"/>
    <w:rsid w:val="002401EF"/>
    <w:rsid w:val="00240332"/>
    <w:rsid w:val="00240558"/>
    <w:rsid w:val="002409A6"/>
    <w:rsid w:val="0024163B"/>
    <w:rsid w:val="002419E2"/>
    <w:rsid w:val="00241A23"/>
    <w:rsid w:val="00241A9F"/>
    <w:rsid w:val="0024216D"/>
    <w:rsid w:val="00242867"/>
    <w:rsid w:val="00242986"/>
    <w:rsid w:val="00242C63"/>
    <w:rsid w:val="00242F82"/>
    <w:rsid w:val="00243030"/>
    <w:rsid w:val="00243078"/>
    <w:rsid w:val="002435C5"/>
    <w:rsid w:val="002439A4"/>
    <w:rsid w:val="00243A6B"/>
    <w:rsid w:val="00243DEC"/>
    <w:rsid w:val="00244E50"/>
    <w:rsid w:val="00245535"/>
    <w:rsid w:val="0024608F"/>
    <w:rsid w:val="002461F9"/>
    <w:rsid w:val="002462B3"/>
    <w:rsid w:val="002466E0"/>
    <w:rsid w:val="00246DB4"/>
    <w:rsid w:val="002473C7"/>
    <w:rsid w:val="002475C2"/>
    <w:rsid w:val="00247817"/>
    <w:rsid w:val="00247B5B"/>
    <w:rsid w:val="00250046"/>
    <w:rsid w:val="00250F74"/>
    <w:rsid w:val="0025118F"/>
    <w:rsid w:val="00251554"/>
    <w:rsid w:val="00251AE7"/>
    <w:rsid w:val="002522FB"/>
    <w:rsid w:val="0025278A"/>
    <w:rsid w:val="0025284B"/>
    <w:rsid w:val="00252AD2"/>
    <w:rsid w:val="00252C11"/>
    <w:rsid w:val="00253094"/>
    <w:rsid w:val="00253BC7"/>
    <w:rsid w:val="00254068"/>
    <w:rsid w:val="00254844"/>
    <w:rsid w:val="00255075"/>
    <w:rsid w:val="00255553"/>
    <w:rsid w:val="00255706"/>
    <w:rsid w:val="00255A5D"/>
    <w:rsid w:val="002561B5"/>
    <w:rsid w:val="002564FE"/>
    <w:rsid w:val="00256F29"/>
    <w:rsid w:val="00256F9F"/>
    <w:rsid w:val="00257574"/>
    <w:rsid w:val="00257C43"/>
    <w:rsid w:val="00257CE9"/>
    <w:rsid w:val="00260CC8"/>
    <w:rsid w:val="00260D21"/>
    <w:rsid w:val="0026128D"/>
    <w:rsid w:val="00261F5B"/>
    <w:rsid w:val="0026216F"/>
    <w:rsid w:val="00262B58"/>
    <w:rsid w:val="0026392F"/>
    <w:rsid w:val="00263C13"/>
    <w:rsid w:val="00263E8F"/>
    <w:rsid w:val="00263F86"/>
    <w:rsid w:val="00263FD3"/>
    <w:rsid w:val="00264454"/>
    <w:rsid w:val="00264739"/>
    <w:rsid w:val="00264788"/>
    <w:rsid w:val="00264C97"/>
    <w:rsid w:val="002656DC"/>
    <w:rsid w:val="00265B32"/>
    <w:rsid w:val="00265F6B"/>
    <w:rsid w:val="00266957"/>
    <w:rsid w:val="00266BA9"/>
    <w:rsid w:val="00266CD0"/>
    <w:rsid w:val="0026779D"/>
    <w:rsid w:val="00267D00"/>
    <w:rsid w:val="00270E10"/>
    <w:rsid w:val="00271389"/>
    <w:rsid w:val="002714A5"/>
    <w:rsid w:val="00271BA8"/>
    <w:rsid w:val="00271D79"/>
    <w:rsid w:val="00273154"/>
    <w:rsid w:val="002737FF"/>
    <w:rsid w:val="00273ABB"/>
    <w:rsid w:val="00274415"/>
    <w:rsid w:val="00274513"/>
    <w:rsid w:val="002745FC"/>
    <w:rsid w:val="00274B75"/>
    <w:rsid w:val="00274D69"/>
    <w:rsid w:val="00275220"/>
    <w:rsid w:val="0027583C"/>
    <w:rsid w:val="00275C62"/>
    <w:rsid w:val="00275E16"/>
    <w:rsid w:val="00276160"/>
    <w:rsid w:val="00276175"/>
    <w:rsid w:val="00276AFA"/>
    <w:rsid w:val="00277438"/>
    <w:rsid w:val="0027748B"/>
    <w:rsid w:val="00280021"/>
    <w:rsid w:val="0028006B"/>
    <w:rsid w:val="002801B6"/>
    <w:rsid w:val="00280220"/>
    <w:rsid w:val="002805BF"/>
    <w:rsid w:val="0028128F"/>
    <w:rsid w:val="0028146E"/>
    <w:rsid w:val="0028198A"/>
    <w:rsid w:val="0028214A"/>
    <w:rsid w:val="00282329"/>
    <w:rsid w:val="00282652"/>
    <w:rsid w:val="0028299A"/>
    <w:rsid w:val="00282CB4"/>
    <w:rsid w:val="002832C8"/>
    <w:rsid w:val="00283421"/>
    <w:rsid w:val="00283624"/>
    <w:rsid w:val="00283974"/>
    <w:rsid w:val="00283FB3"/>
    <w:rsid w:val="002849AE"/>
    <w:rsid w:val="002856F3"/>
    <w:rsid w:val="0028584C"/>
    <w:rsid w:val="00285FB9"/>
    <w:rsid w:val="002866CC"/>
    <w:rsid w:val="00286D46"/>
    <w:rsid w:val="0028753D"/>
    <w:rsid w:val="002876E3"/>
    <w:rsid w:val="00287D7C"/>
    <w:rsid w:val="002906D3"/>
    <w:rsid w:val="002906FD"/>
    <w:rsid w:val="00290E51"/>
    <w:rsid w:val="0029100F"/>
    <w:rsid w:val="002914A7"/>
    <w:rsid w:val="002915B9"/>
    <w:rsid w:val="0029189E"/>
    <w:rsid w:val="002919BA"/>
    <w:rsid w:val="00292719"/>
    <w:rsid w:val="00292755"/>
    <w:rsid w:val="00293227"/>
    <w:rsid w:val="002933AC"/>
    <w:rsid w:val="0029482F"/>
    <w:rsid w:val="00294964"/>
    <w:rsid w:val="00294A7B"/>
    <w:rsid w:val="00294CED"/>
    <w:rsid w:val="00295319"/>
    <w:rsid w:val="002958FE"/>
    <w:rsid w:val="00295AFF"/>
    <w:rsid w:val="00295BDB"/>
    <w:rsid w:val="00296127"/>
    <w:rsid w:val="002961C0"/>
    <w:rsid w:val="0029655E"/>
    <w:rsid w:val="00296BA9"/>
    <w:rsid w:val="00296BC8"/>
    <w:rsid w:val="00296DD7"/>
    <w:rsid w:val="00297125"/>
    <w:rsid w:val="00297A2F"/>
    <w:rsid w:val="00297AED"/>
    <w:rsid w:val="00297CD1"/>
    <w:rsid w:val="00297E57"/>
    <w:rsid w:val="002A03E1"/>
    <w:rsid w:val="002A0581"/>
    <w:rsid w:val="002A06C2"/>
    <w:rsid w:val="002A0C71"/>
    <w:rsid w:val="002A0DAA"/>
    <w:rsid w:val="002A119D"/>
    <w:rsid w:val="002A126A"/>
    <w:rsid w:val="002A162F"/>
    <w:rsid w:val="002A1646"/>
    <w:rsid w:val="002A1918"/>
    <w:rsid w:val="002A1AE5"/>
    <w:rsid w:val="002A269A"/>
    <w:rsid w:val="002A2C81"/>
    <w:rsid w:val="002A2F35"/>
    <w:rsid w:val="002A37B4"/>
    <w:rsid w:val="002A3909"/>
    <w:rsid w:val="002A3E9E"/>
    <w:rsid w:val="002A4A40"/>
    <w:rsid w:val="002A4B35"/>
    <w:rsid w:val="002A4EE7"/>
    <w:rsid w:val="002A4EED"/>
    <w:rsid w:val="002A54A1"/>
    <w:rsid w:val="002A55AB"/>
    <w:rsid w:val="002A5AF2"/>
    <w:rsid w:val="002A5C84"/>
    <w:rsid w:val="002A60FF"/>
    <w:rsid w:val="002A6457"/>
    <w:rsid w:val="002A6556"/>
    <w:rsid w:val="002A66E6"/>
    <w:rsid w:val="002A680E"/>
    <w:rsid w:val="002A6820"/>
    <w:rsid w:val="002A6A53"/>
    <w:rsid w:val="002A6B1B"/>
    <w:rsid w:val="002A70E5"/>
    <w:rsid w:val="002A72E2"/>
    <w:rsid w:val="002A735F"/>
    <w:rsid w:val="002A7968"/>
    <w:rsid w:val="002A7B4E"/>
    <w:rsid w:val="002B0390"/>
    <w:rsid w:val="002B09C7"/>
    <w:rsid w:val="002B0A56"/>
    <w:rsid w:val="002B0BE4"/>
    <w:rsid w:val="002B0F1C"/>
    <w:rsid w:val="002B1A5A"/>
    <w:rsid w:val="002B1AB0"/>
    <w:rsid w:val="002B1C47"/>
    <w:rsid w:val="002B1CC9"/>
    <w:rsid w:val="002B257F"/>
    <w:rsid w:val="002B3485"/>
    <w:rsid w:val="002B351D"/>
    <w:rsid w:val="002B388A"/>
    <w:rsid w:val="002B3906"/>
    <w:rsid w:val="002B3B08"/>
    <w:rsid w:val="002B3E37"/>
    <w:rsid w:val="002B4A4E"/>
    <w:rsid w:val="002B4BF2"/>
    <w:rsid w:val="002B4C32"/>
    <w:rsid w:val="002B4EAA"/>
    <w:rsid w:val="002B597B"/>
    <w:rsid w:val="002B6074"/>
    <w:rsid w:val="002B6497"/>
    <w:rsid w:val="002B6FDF"/>
    <w:rsid w:val="002B7167"/>
    <w:rsid w:val="002B7354"/>
    <w:rsid w:val="002B785C"/>
    <w:rsid w:val="002B7A18"/>
    <w:rsid w:val="002C0429"/>
    <w:rsid w:val="002C087A"/>
    <w:rsid w:val="002C0BB2"/>
    <w:rsid w:val="002C192A"/>
    <w:rsid w:val="002C2411"/>
    <w:rsid w:val="002C2704"/>
    <w:rsid w:val="002C2790"/>
    <w:rsid w:val="002C2DAA"/>
    <w:rsid w:val="002C3360"/>
    <w:rsid w:val="002C35FF"/>
    <w:rsid w:val="002C36FF"/>
    <w:rsid w:val="002C4A4F"/>
    <w:rsid w:val="002C4DA0"/>
    <w:rsid w:val="002C50E8"/>
    <w:rsid w:val="002C5980"/>
    <w:rsid w:val="002C59B8"/>
    <w:rsid w:val="002C61A7"/>
    <w:rsid w:val="002C626C"/>
    <w:rsid w:val="002C6C0F"/>
    <w:rsid w:val="002C6C33"/>
    <w:rsid w:val="002C6E9D"/>
    <w:rsid w:val="002C7030"/>
    <w:rsid w:val="002C70F8"/>
    <w:rsid w:val="002C7679"/>
    <w:rsid w:val="002C76E0"/>
    <w:rsid w:val="002C7E2F"/>
    <w:rsid w:val="002C7E6A"/>
    <w:rsid w:val="002C7F55"/>
    <w:rsid w:val="002D078D"/>
    <w:rsid w:val="002D0C6A"/>
    <w:rsid w:val="002D12F4"/>
    <w:rsid w:val="002D1359"/>
    <w:rsid w:val="002D208F"/>
    <w:rsid w:val="002D2C75"/>
    <w:rsid w:val="002D308F"/>
    <w:rsid w:val="002D381E"/>
    <w:rsid w:val="002D383D"/>
    <w:rsid w:val="002D3943"/>
    <w:rsid w:val="002D39A1"/>
    <w:rsid w:val="002D3F62"/>
    <w:rsid w:val="002D49EA"/>
    <w:rsid w:val="002D4A2B"/>
    <w:rsid w:val="002D655E"/>
    <w:rsid w:val="002D697C"/>
    <w:rsid w:val="002D7156"/>
    <w:rsid w:val="002D754F"/>
    <w:rsid w:val="002D774B"/>
    <w:rsid w:val="002D7BDF"/>
    <w:rsid w:val="002D7C58"/>
    <w:rsid w:val="002E0247"/>
    <w:rsid w:val="002E0638"/>
    <w:rsid w:val="002E090E"/>
    <w:rsid w:val="002E0B18"/>
    <w:rsid w:val="002E0CD8"/>
    <w:rsid w:val="002E0D6B"/>
    <w:rsid w:val="002E0E09"/>
    <w:rsid w:val="002E0FAE"/>
    <w:rsid w:val="002E1399"/>
    <w:rsid w:val="002E19F9"/>
    <w:rsid w:val="002E1B62"/>
    <w:rsid w:val="002E231E"/>
    <w:rsid w:val="002E282D"/>
    <w:rsid w:val="002E2841"/>
    <w:rsid w:val="002E29A4"/>
    <w:rsid w:val="002E3088"/>
    <w:rsid w:val="002E3280"/>
    <w:rsid w:val="002E33C6"/>
    <w:rsid w:val="002E3B0D"/>
    <w:rsid w:val="002E4132"/>
    <w:rsid w:val="002E44FB"/>
    <w:rsid w:val="002E47DA"/>
    <w:rsid w:val="002E4F74"/>
    <w:rsid w:val="002E51B4"/>
    <w:rsid w:val="002E530B"/>
    <w:rsid w:val="002E570C"/>
    <w:rsid w:val="002E5D76"/>
    <w:rsid w:val="002E73A1"/>
    <w:rsid w:val="002E7B51"/>
    <w:rsid w:val="002F068A"/>
    <w:rsid w:val="002F09B1"/>
    <w:rsid w:val="002F09D9"/>
    <w:rsid w:val="002F0AB0"/>
    <w:rsid w:val="002F10B1"/>
    <w:rsid w:val="002F16C8"/>
    <w:rsid w:val="002F182F"/>
    <w:rsid w:val="002F1D89"/>
    <w:rsid w:val="002F1F27"/>
    <w:rsid w:val="002F2C5C"/>
    <w:rsid w:val="002F3201"/>
    <w:rsid w:val="002F32EE"/>
    <w:rsid w:val="002F35B6"/>
    <w:rsid w:val="002F3739"/>
    <w:rsid w:val="002F3935"/>
    <w:rsid w:val="002F3A5B"/>
    <w:rsid w:val="002F45B2"/>
    <w:rsid w:val="002F45F5"/>
    <w:rsid w:val="002F49CA"/>
    <w:rsid w:val="002F49EF"/>
    <w:rsid w:val="002F4A38"/>
    <w:rsid w:val="002F4EA8"/>
    <w:rsid w:val="002F51E5"/>
    <w:rsid w:val="002F5DC7"/>
    <w:rsid w:val="002F762B"/>
    <w:rsid w:val="002F77C0"/>
    <w:rsid w:val="002F7BA2"/>
    <w:rsid w:val="002F7C6C"/>
    <w:rsid w:val="002F7F8B"/>
    <w:rsid w:val="00300176"/>
    <w:rsid w:val="003004BB"/>
    <w:rsid w:val="003004D8"/>
    <w:rsid w:val="00300ADB"/>
    <w:rsid w:val="00300DF1"/>
    <w:rsid w:val="00301217"/>
    <w:rsid w:val="00301B4E"/>
    <w:rsid w:val="00301E38"/>
    <w:rsid w:val="00301E49"/>
    <w:rsid w:val="003020C3"/>
    <w:rsid w:val="003022A3"/>
    <w:rsid w:val="00302344"/>
    <w:rsid w:val="003023C6"/>
    <w:rsid w:val="00303149"/>
    <w:rsid w:val="0030357B"/>
    <w:rsid w:val="003039D2"/>
    <w:rsid w:val="00304046"/>
    <w:rsid w:val="003046FB"/>
    <w:rsid w:val="003053AD"/>
    <w:rsid w:val="00305608"/>
    <w:rsid w:val="00305789"/>
    <w:rsid w:val="00305C75"/>
    <w:rsid w:val="003066DF"/>
    <w:rsid w:val="00306A79"/>
    <w:rsid w:val="0031049B"/>
    <w:rsid w:val="0031050A"/>
    <w:rsid w:val="00310F40"/>
    <w:rsid w:val="00311039"/>
    <w:rsid w:val="00311A4C"/>
    <w:rsid w:val="00312351"/>
    <w:rsid w:val="003123BD"/>
    <w:rsid w:val="003128C0"/>
    <w:rsid w:val="003136AF"/>
    <w:rsid w:val="0031380F"/>
    <w:rsid w:val="00313962"/>
    <w:rsid w:val="00313D6D"/>
    <w:rsid w:val="00313F96"/>
    <w:rsid w:val="0031433B"/>
    <w:rsid w:val="003149A8"/>
    <w:rsid w:val="00314D15"/>
    <w:rsid w:val="00314E6A"/>
    <w:rsid w:val="00314FC8"/>
    <w:rsid w:val="00315B61"/>
    <w:rsid w:val="00315C1B"/>
    <w:rsid w:val="00315D0B"/>
    <w:rsid w:val="00315D66"/>
    <w:rsid w:val="003160E5"/>
    <w:rsid w:val="0031690A"/>
    <w:rsid w:val="003169BF"/>
    <w:rsid w:val="003169C2"/>
    <w:rsid w:val="00316A62"/>
    <w:rsid w:val="00316D57"/>
    <w:rsid w:val="003170A5"/>
    <w:rsid w:val="0031716A"/>
    <w:rsid w:val="00317171"/>
    <w:rsid w:val="003172F8"/>
    <w:rsid w:val="003173A9"/>
    <w:rsid w:val="0031775F"/>
    <w:rsid w:val="003202A4"/>
    <w:rsid w:val="00320620"/>
    <w:rsid w:val="003211FD"/>
    <w:rsid w:val="0032142D"/>
    <w:rsid w:val="00321F2B"/>
    <w:rsid w:val="00322396"/>
    <w:rsid w:val="003227C3"/>
    <w:rsid w:val="003229CE"/>
    <w:rsid w:val="00322B35"/>
    <w:rsid w:val="00323148"/>
    <w:rsid w:val="00323BD5"/>
    <w:rsid w:val="00324602"/>
    <w:rsid w:val="00324BF4"/>
    <w:rsid w:val="003256DC"/>
    <w:rsid w:val="00325BCB"/>
    <w:rsid w:val="003263D6"/>
    <w:rsid w:val="00326547"/>
    <w:rsid w:val="00326646"/>
    <w:rsid w:val="00326C9F"/>
    <w:rsid w:val="00326D1D"/>
    <w:rsid w:val="00326D37"/>
    <w:rsid w:val="003270C8"/>
    <w:rsid w:val="0032796F"/>
    <w:rsid w:val="003301FD"/>
    <w:rsid w:val="0033024C"/>
    <w:rsid w:val="00330910"/>
    <w:rsid w:val="00330F03"/>
    <w:rsid w:val="00330F8D"/>
    <w:rsid w:val="00331604"/>
    <w:rsid w:val="0033160B"/>
    <w:rsid w:val="00331967"/>
    <w:rsid w:val="00331F72"/>
    <w:rsid w:val="00332034"/>
    <w:rsid w:val="003320C6"/>
    <w:rsid w:val="00332784"/>
    <w:rsid w:val="00332B42"/>
    <w:rsid w:val="00332B50"/>
    <w:rsid w:val="00332C6C"/>
    <w:rsid w:val="00332E07"/>
    <w:rsid w:val="00332F1E"/>
    <w:rsid w:val="00333249"/>
    <w:rsid w:val="003333D0"/>
    <w:rsid w:val="00333423"/>
    <w:rsid w:val="00334A62"/>
    <w:rsid w:val="00334B85"/>
    <w:rsid w:val="00335D50"/>
    <w:rsid w:val="003364C6"/>
    <w:rsid w:val="00336A5E"/>
    <w:rsid w:val="003370D1"/>
    <w:rsid w:val="0033710F"/>
    <w:rsid w:val="00337F2B"/>
    <w:rsid w:val="00337FD2"/>
    <w:rsid w:val="00340C7E"/>
    <w:rsid w:val="00340D58"/>
    <w:rsid w:val="00340E79"/>
    <w:rsid w:val="00340ECC"/>
    <w:rsid w:val="00340FD3"/>
    <w:rsid w:val="003410B7"/>
    <w:rsid w:val="00341AB1"/>
    <w:rsid w:val="00341C0D"/>
    <w:rsid w:val="00341F93"/>
    <w:rsid w:val="003424EB"/>
    <w:rsid w:val="003426B6"/>
    <w:rsid w:val="0034272D"/>
    <w:rsid w:val="003433A5"/>
    <w:rsid w:val="0034360A"/>
    <w:rsid w:val="00343B3D"/>
    <w:rsid w:val="003442FF"/>
    <w:rsid w:val="0034440E"/>
    <w:rsid w:val="0034450E"/>
    <w:rsid w:val="00344700"/>
    <w:rsid w:val="00344BB4"/>
    <w:rsid w:val="00344FDB"/>
    <w:rsid w:val="00345785"/>
    <w:rsid w:val="00345AA1"/>
    <w:rsid w:val="003460B1"/>
    <w:rsid w:val="003465C9"/>
    <w:rsid w:val="003466D5"/>
    <w:rsid w:val="0034675D"/>
    <w:rsid w:val="0034686B"/>
    <w:rsid w:val="00346A92"/>
    <w:rsid w:val="00346D2F"/>
    <w:rsid w:val="00347114"/>
    <w:rsid w:val="003477D3"/>
    <w:rsid w:val="00350399"/>
    <w:rsid w:val="003503D6"/>
    <w:rsid w:val="00350555"/>
    <w:rsid w:val="0035085A"/>
    <w:rsid w:val="00351E32"/>
    <w:rsid w:val="003523CA"/>
    <w:rsid w:val="00352A00"/>
    <w:rsid w:val="00352FE9"/>
    <w:rsid w:val="003531D7"/>
    <w:rsid w:val="00353850"/>
    <w:rsid w:val="003538B5"/>
    <w:rsid w:val="00354293"/>
    <w:rsid w:val="00354790"/>
    <w:rsid w:val="003547A0"/>
    <w:rsid w:val="003554D1"/>
    <w:rsid w:val="00355C5D"/>
    <w:rsid w:val="00355CA5"/>
    <w:rsid w:val="00356611"/>
    <w:rsid w:val="003574D8"/>
    <w:rsid w:val="00357976"/>
    <w:rsid w:val="00360995"/>
    <w:rsid w:val="00360BE5"/>
    <w:rsid w:val="00361725"/>
    <w:rsid w:val="00361BB3"/>
    <w:rsid w:val="00362490"/>
    <w:rsid w:val="003625A4"/>
    <w:rsid w:val="00362EEF"/>
    <w:rsid w:val="003633D4"/>
    <w:rsid w:val="00363BA1"/>
    <w:rsid w:val="00363BD6"/>
    <w:rsid w:val="00363D63"/>
    <w:rsid w:val="00363ED9"/>
    <w:rsid w:val="00363FFC"/>
    <w:rsid w:val="00364528"/>
    <w:rsid w:val="003655D3"/>
    <w:rsid w:val="0036564B"/>
    <w:rsid w:val="00365691"/>
    <w:rsid w:val="003656A0"/>
    <w:rsid w:val="003659AE"/>
    <w:rsid w:val="00365A39"/>
    <w:rsid w:val="00365ADF"/>
    <w:rsid w:val="00365F48"/>
    <w:rsid w:val="003664CD"/>
    <w:rsid w:val="00366B83"/>
    <w:rsid w:val="00366BE9"/>
    <w:rsid w:val="00367736"/>
    <w:rsid w:val="0036794D"/>
    <w:rsid w:val="00370045"/>
    <w:rsid w:val="00370DD0"/>
    <w:rsid w:val="0037121C"/>
    <w:rsid w:val="0037146F"/>
    <w:rsid w:val="00371637"/>
    <w:rsid w:val="00371675"/>
    <w:rsid w:val="00371AD0"/>
    <w:rsid w:val="00371D9E"/>
    <w:rsid w:val="003724C9"/>
    <w:rsid w:val="00372ACF"/>
    <w:rsid w:val="00372DD8"/>
    <w:rsid w:val="00372E88"/>
    <w:rsid w:val="00373165"/>
    <w:rsid w:val="00373583"/>
    <w:rsid w:val="0037365E"/>
    <w:rsid w:val="003736ED"/>
    <w:rsid w:val="00373CD7"/>
    <w:rsid w:val="00373FFD"/>
    <w:rsid w:val="00374606"/>
    <w:rsid w:val="003748A2"/>
    <w:rsid w:val="00375223"/>
    <w:rsid w:val="003757A6"/>
    <w:rsid w:val="00376AE8"/>
    <w:rsid w:val="00376D8B"/>
    <w:rsid w:val="0037783B"/>
    <w:rsid w:val="00380831"/>
    <w:rsid w:val="0038095E"/>
    <w:rsid w:val="00381321"/>
    <w:rsid w:val="003814B8"/>
    <w:rsid w:val="003816D0"/>
    <w:rsid w:val="0038188F"/>
    <w:rsid w:val="0038220D"/>
    <w:rsid w:val="00382469"/>
    <w:rsid w:val="00382965"/>
    <w:rsid w:val="00382AB3"/>
    <w:rsid w:val="003835E6"/>
    <w:rsid w:val="00383EE7"/>
    <w:rsid w:val="0038416D"/>
    <w:rsid w:val="003841C3"/>
    <w:rsid w:val="00384534"/>
    <w:rsid w:val="00385194"/>
    <w:rsid w:val="00385345"/>
    <w:rsid w:val="0038541B"/>
    <w:rsid w:val="00385FA4"/>
    <w:rsid w:val="00386569"/>
    <w:rsid w:val="00386B24"/>
    <w:rsid w:val="00386B36"/>
    <w:rsid w:val="00386EE8"/>
    <w:rsid w:val="00386F81"/>
    <w:rsid w:val="00387522"/>
    <w:rsid w:val="0038757A"/>
    <w:rsid w:val="003877A0"/>
    <w:rsid w:val="00387F1F"/>
    <w:rsid w:val="00390192"/>
    <w:rsid w:val="0039078A"/>
    <w:rsid w:val="003909F7"/>
    <w:rsid w:val="00390DD0"/>
    <w:rsid w:val="00390E28"/>
    <w:rsid w:val="00390F9A"/>
    <w:rsid w:val="003919A0"/>
    <w:rsid w:val="003919E3"/>
    <w:rsid w:val="00391B96"/>
    <w:rsid w:val="00391C39"/>
    <w:rsid w:val="00392EC8"/>
    <w:rsid w:val="00392FFE"/>
    <w:rsid w:val="003932FC"/>
    <w:rsid w:val="0039347E"/>
    <w:rsid w:val="00393BFD"/>
    <w:rsid w:val="00393D9C"/>
    <w:rsid w:val="00393EDC"/>
    <w:rsid w:val="003940FD"/>
    <w:rsid w:val="00394AC9"/>
    <w:rsid w:val="00394B94"/>
    <w:rsid w:val="00394C33"/>
    <w:rsid w:val="00395472"/>
    <w:rsid w:val="00395668"/>
    <w:rsid w:val="003957F7"/>
    <w:rsid w:val="00395BDD"/>
    <w:rsid w:val="00396143"/>
    <w:rsid w:val="00396358"/>
    <w:rsid w:val="00396692"/>
    <w:rsid w:val="00396876"/>
    <w:rsid w:val="00396B18"/>
    <w:rsid w:val="00396D30"/>
    <w:rsid w:val="00396D9F"/>
    <w:rsid w:val="003973DF"/>
    <w:rsid w:val="003A079A"/>
    <w:rsid w:val="003A1D2D"/>
    <w:rsid w:val="003A1E38"/>
    <w:rsid w:val="003A2376"/>
    <w:rsid w:val="003A36BD"/>
    <w:rsid w:val="003A3E1B"/>
    <w:rsid w:val="003A477C"/>
    <w:rsid w:val="003A4B89"/>
    <w:rsid w:val="003A4DC6"/>
    <w:rsid w:val="003A504E"/>
    <w:rsid w:val="003A53EA"/>
    <w:rsid w:val="003A57F2"/>
    <w:rsid w:val="003A5D5D"/>
    <w:rsid w:val="003A5EE1"/>
    <w:rsid w:val="003A63C8"/>
    <w:rsid w:val="003A6411"/>
    <w:rsid w:val="003A66A5"/>
    <w:rsid w:val="003A6DF0"/>
    <w:rsid w:val="003A70C1"/>
    <w:rsid w:val="003A7682"/>
    <w:rsid w:val="003B002F"/>
    <w:rsid w:val="003B00E1"/>
    <w:rsid w:val="003B0339"/>
    <w:rsid w:val="003B0632"/>
    <w:rsid w:val="003B08B3"/>
    <w:rsid w:val="003B0F94"/>
    <w:rsid w:val="003B110F"/>
    <w:rsid w:val="003B184B"/>
    <w:rsid w:val="003B1B27"/>
    <w:rsid w:val="003B1B41"/>
    <w:rsid w:val="003B21D2"/>
    <w:rsid w:val="003B2405"/>
    <w:rsid w:val="003B24E8"/>
    <w:rsid w:val="003B27AC"/>
    <w:rsid w:val="003B2A27"/>
    <w:rsid w:val="003B312D"/>
    <w:rsid w:val="003B3C76"/>
    <w:rsid w:val="003B42BA"/>
    <w:rsid w:val="003B46B6"/>
    <w:rsid w:val="003B4DED"/>
    <w:rsid w:val="003B5028"/>
    <w:rsid w:val="003B50E6"/>
    <w:rsid w:val="003B5510"/>
    <w:rsid w:val="003B59CE"/>
    <w:rsid w:val="003B5D51"/>
    <w:rsid w:val="003B63B4"/>
    <w:rsid w:val="003B677D"/>
    <w:rsid w:val="003B6890"/>
    <w:rsid w:val="003B72D2"/>
    <w:rsid w:val="003B73D5"/>
    <w:rsid w:val="003B7503"/>
    <w:rsid w:val="003B75B2"/>
    <w:rsid w:val="003B790D"/>
    <w:rsid w:val="003C0CA4"/>
    <w:rsid w:val="003C0E18"/>
    <w:rsid w:val="003C0F54"/>
    <w:rsid w:val="003C16E8"/>
    <w:rsid w:val="003C1DBD"/>
    <w:rsid w:val="003C20F5"/>
    <w:rsid w:val="003C24D5"/>
    <w:rsid w:val="003C26BF"/>
    <w:rsid w:val="003C2705"/>
    <w:rsid w:val="003C29BA"/>
    <w:rsid w:val="003C3190"/>
    <w:rsid w:val="003C3217"/>
    <w:rsid w:val="003C326C"/>
    <w:rsid w:val="003C3B8A"/>
    <w:rsid w:val="003C4066"/>
    <w:rsid w:val="003C429D"/>
    <w:rsid w:val="003C5305"/>
    <w:rsid w:val="003C5477"/>
    <w:rsid w:val="003C5F3B"/>
    <w:rsid w:val="003C60F9"/>
    <w:rsid w:val="003C63A4"/>
    <w:rsid w:val="003C643F"/>
    <w:rsid w:val="003C70F0"/>
    <w:rsid w:val="003C721E"/>
    <w:rsid w:val="003C72EE"/>
    <w:rsid w:val="003C734D"/>
    <w:rsid w:val="003C7372"/>
    <w:rsid w:val="003C7E47"/>
    <w:rsid w:val="003D0349"/>
    <w:rsid w:val="003D08AD"/>
    <w:rsid w:val="003D0C03"/>
    <w:rsid w:val="003D0E7B"/>
    <w:rsid w:val="003D1FC2"/>
    <w:rsid w:val="003D39B7"/>
    <w:rsid w:val="003D42AD"/>
    <w:rsid w:val="003D4CB9"/>
    <w:rsid w:val="003D5037"/>
    <w:rsid w:val="003D50FF"/>
    <w:rsid w:val="003D5B28"/>
    <w:rsid w:val="003D5CD4"/>
    <w:rsid w:val="003D5FCE"/>
    <w:rsid w:val="003D6411"/>
    <w:rsid w:val="003D6F1B"/>
    <w:rsid w:val="003D734B"/>
    <w:rsid w:val="003D7411"/>
    <w:rsid w:val="003D760C"/>
    <w:rsid w:val="003E034B"/>
    <w:rsid w:val="003E04BA"/>
    <w:rsid w:val="003E0C0A"/>
    <w:rsid w:val="003E114E"/>
    <w:rsid w:val="003E144F"/>
    <w:rsid w:val="003E18D6"/>
    <w:rsid w:val="003E19CC"/>
    <w:rsid w:val="003E1B29"/>
    <w:rsid w:val="003E1B97"/>
    <w:rsid w:val="003E1C97"/>
    <w:rsid w:val="003E1E19"/>
    <w:rsid w:val="003E1F95"/>
    <w:rsid w:val="003E1FAD"/>
    <w:rsid w:val="003E26CD"/>
    <w:rsid w:val="003E2A99"/>
    <w:rsid w:val="003E373A"/>
    <w:rsid w:val="003E39FA"/>
    <w:rsid w:val="003E3AD0"/>
    <w:rsid w:val="003E4001"/>
    <w:rsid w:val="003E4937"/>
    <w:rsid w:val="003E4A6D"/>
    <w:rsid w:val="003E4A73"/>
    <w:rsid w:val="003E4B78"/>
    <w:rsid w:val="003E5055"/>
    <w:rsid w:val="003E5435"/>
    <w:rsid w:val="003E5785"/>
    <w:rsid w:val="003E5B4E"/>
    <w:rsid w:val="003E66AF"/>
    <w:rsid w:val="003E687C"/>
    <w:rsid w:val="003E689B"/>
    <w:rsid w:val="003E6AF5"/>
    <w:rsid w:val="003E6BCF"/>
    <w:rsid w:val="003E70EE"/>
    <w:rsid w:val="003E72B6"/>
    <w:rsid w:val="003E7494"/>
    <w:rsid w:val="003E7581"/>
    <w:rsid w:val="003E78EC"/>
    <w:rsid w:val="003E7AA5"/>
    <w:rsid w:val="003E7FBF"/>
    <w:rsid w:val="003F01C2"/>
    <w:rsid w:val="003F0C22"/>
    <w:rsid w:val="003F0C29"/>
    <w:rsid w:val="003F1539"/>
    <w:rsid w:val="003F1766"/>
    <w:rsid w:val="003F2210"/>
    <w:rsid w:val="003F27A7"/>
    <w:rsid w:val="003F2895"/>
    <w:rsid w:val="003F2A44"/>
    <w:rsid w:val="003F2AF5"/>
    <w:rsid w:val="003F2D1D"/>
    <w:rsid w:val="003F2EEA"/>
    <w:rsid w:val="003F3010"/>
    <w:rsid w:val="003F3633"/>
    <w:rsid w:val="003F3704"/>
    <w:rsid w:val="003F3B79"/>
    <w:rsid w:val="003F3DF4"/>
    <w:rsid w:val="003F4745"/>
    <w:rsid w:val="003F4BD4"/>
    <w:rsid w:val="003F4E8F"/>
    <w:rsid w:val="003F51E3"/>
    <w:rsid w:val="003F5593"/>
    <w:rsid w:val="003F56AA"/>
    <w:rsid w:val="003F6040"/>
    <w:rsid w:val="003F65EF"/>
    <w:rsid w:val="003F6D1A"/>
    <w:rsid w:val="003F6E7C"/>
    <w:rsid w:val="003F70DA"/>
    <w:rsid w:val="003F7198"/>
    <w:rsid w:val="003F74CF"/>
    <w:rsid w:val="003F77D4"/>
    <w:rsid w:val="00400FFD"/>
    <w:rsid w:val="00401AF2"/>
    <w:rsid w:val="00401D48"/>
    <w:rsid w:val="00401E41"/>
    <w:rsid w:val="0040229E"/>
    <w:rsid w:val="00402A13"/>
    <w:rsid w:val="00402EA2"/>
    <w:rsid w:val="0040370F"/>
    <w:rsid w:val="004037B0"/>
    <w:rsid w:val="00403957"/>
    <w:rsid w:val="004039A3"/>
    <w:rsid w:val="004041F0"/>
    <w:rsid w:val="00404759"/>
    <w:rsid w:val="0040481F"/>
    <w:rsid w:val="00404A08"/>
    <w:rsid w:val="00405A62"/>
    <w:rsid w:val="00405C43"/>
    <w:rsid w:val="00405CC3"/>
    <w:rsid w:val="00405E7B"/>
    <w:rsid w:val="00406322"/>
    <w:rsid w:val="004065A6"/>
    <w:rsid w:val="00406C07"/>
    <w:rsid w:val="00406F6B"/>
    <w:rsid w:val="00407172"/>
    <w:rsid w:val="004074DD"/>
    <w:rsid w:val="00407C3E"/>
    <w:rsid w:val="00407DC1"/>
    <w:rsid w:val="004103A5"/>
    <w:rsid w:val="004104F4"/>
    <w:rsid w:val="004109EF"/>
    <w:rsid w:val="00410B2E"/>
    <w:rsid w:val="004110D8"/>
    <w:rsid w:val="00411366"/>
    <w:rsid w:val="00411429"/>
    <w:rsid w:val="0041186F"/>
    <w:rsid w:val="00411B31"/>
    <w:rsid w:val="00411DE8"/>
    <w:rsid w:val="004123BB"/>
    <w:rsid w:val="00412435"/>
    <w:rsid w:val="004128B0"/>
    <w:rsid w:val="00412D9E"/>
    <w:rsid w:val="00413B91"/>
    <w:rsid w:val="00413D7A"/>
    <w:rsid w:val="00413F77"/>
    <w:rsid w:val="004142C3"/>
    <w:rsid w:val="0041438E"/>
    <w:rsid w:val="00414765"/>
    <w:rsid w:val="004147D7"/>
    <w:rsid w:val="00415074"/>
    <w:rsid w:val="00415180"/>
    <w:rsid w:val="00415336"/>
    <w:rsid w:val="00415BF4"/>
    <w:rsid w:val="00415C9A"/>
    <w:rsid w:val="00415CD5"/>
    <w:rsid w:val="00415E13"/>
    <w:rsid w:val="00415EEC"/>
    <w:rsid w:val="0041600D"/>
    <w:rsid w:val="004163D5"/>
    <w:rsid w:val="00416A79"/>
    <w:rsid w:val="00416C91"/>
    <w:rsid w:val="0041700B"/>
    <w:rsid w:val="004174E0"/>
    <w:rsid w:val="0041752F"/>
    <w:rsid w:val="00417E24"/>
    <w:rsid w:val="00420255"/>
    <w:rsid w:val="004203D3"/>
    <w:rsid w:val="00420871"/>
    <w:rsid w:val="00420C5A"/>
    <w:rsid w:val="00420C88"/>
    <w:rsid w:val="00421281"/>
    <w:rsid w:val="004218E2"/>
    <w:rsid w:val="00421CBE"/>
    <w:rsid w:val="00421F13"/>
    <w:rsid w:val="00423426"/>
    <w:rsid w:val="00423606"/>
    <w:rsid w:val="004237A1"/>
    <w:rsid w:val="00423BF0"/>
    <w:rsid w:val="00424141"/>
    <w:rsid w:val="00424682"/>
    <w:rsid w:val="00424C82"/>
    <w:rsid w:val="00425C6F"/>
    <w:rsid w:val="00425DA1"/>
    <w:rsid w:val="00425DFE"/>
    <w:rsid w:val="00426433"/>
    <w:rsid w:val="004264E4"/>
    <w:rsid w:val="004265D7"/>
    <w:rsid w:val="00426E46"/>
    <w:rsid w:val="004274AF"/>
    <w:rsid w:val="00427807"/>
    <w:rsid w:val="0043054B"/>
    <w:rsid w:val="00430B6C"/>
    <w:rsid w:val="00430D2F"/>
    <w:rsid w:val="00430E15"/>
    <w:rsid w:val="004312EA"/>
    <w:rsid w:val="0043156E"/>
    <w:rsid w:val="004325A5"/>
    <w:rsid w:val="00432801"/>
    <w:rsid w:val="00432D4F"/>
    <w:rsid w:val="00432E9D"/>
    <w:rsid w:val="00433435"/>
    <w:rsid w:val="00433BD4"/>
    <w:rsid w:val="00434380"/>
    <w:rsid w:val="00434449"/>
    <w:rsid w:val="004346C9"/>
    <w:rsid w:val="004349C0"/>
    <w:rsid w:val="00434BD7"/>
    <w:rsid w:val="00434CA6"/>
    <w:rsid w:val="00434D0E"/>
    <w:rsid w:val="004358AD"/>
    <w:rsid w:val="0043618B"/>
    <w:rsid w:val="004370DE"/>
    <w:rsid w:val="0043748C"/>
    <w:rsid w:val="004376B7"/>
    <w:rsid w:val="00437CE7"/>
    <w:rsid w:val="00440046"/>
    <w:rsid w:val="00440382"/>
    <w:rsid w:val="004409B0"/>
    <w:rsid w:val="004409FD"/>
    <w:rsid w:val="00441492"/>
    <w:rsid w:val="004418FA"/>
    <w:rsid w:val="00441975"/>
    <w:rsid w:val="00441BF8"/>
    <w:rsid w:val="00442053"/>
    <w:rsid w:val="0044217E"/>
    <w:rsid w:val="00442F90"/>
    <w:rsid w:val="00444696"/>
    <w:rsid w:val="00444CDD"/>
    <w:rsid w:val="004453A6"/>
    <w:rsid w:val="004454A7"/>
    <w:rsid w:val="00445C36"/>
    <w:rsid w:val="00445EC3"/>
    <w:rsid w:val="00446000"/>
    <w:rsid w:val="00446334"/>
    <w:rsid w:val="0044657C"/>
    <w:rsid w:val="00447C60"/>
    <w:rsid w:val="00447FB9"/>
    <w:rsid w:val="00450247"/>
    <w:rsid w:val="00450D19"/>
    <w:rsid w:val="00451255"/>
    <w:rsid w:val="00451CA1"/>
    <w:rsid w:val="004525D2"/>
    <w:rsid w:val="00452DD2"/>
    <w:rsid w:val="0045313F"/>
    <w:rsid w:val="004531D6"/>
    <w:rsid w:val="004539E6"/>
    <w:rsid w:val="00453B7B"/>
    <w:rsid w:val="00453F87"/>
    <w:rsid w:val="00453FD2"/>
    <w:rsid w:val="0045429A"/>
    <w:rsid w:val="00454794"/>
    <w:rsid w:val="0045488B"/>
    <w:rsid w:val="004553B6"/>
    <w:rsid w:val="00455F9F"/>
    <w:rsid w:val="00455FF9"/>
    <w:rsid w:val="0045614C"/>
    <w:rsid w:val="00456216"/>
    <w:rsid w:val="0045650F"/>
    <w:rsid w:val="00456623"/>
    <w:rsid w:val="00456AFB"/>
    <w:rsid w:val="00456D2B"/>
    <w:rsid w:val="00456E4E"/>
    <w:rsid w:val="00457001"/>
    <w:rsid w:val="00457512"/>
    <w:rsid w:val="004575E2"/>
    <w:rsid w:val="00457F84"/>
    <w:rsid w:val="00460320"/>
    <w:rsid w:val="004603FE"/>
    <w:rsid w:val="00460B09"/>
    <w:rsid w:val="00461373"/>
    <w:rsid w:val="004623A8"/>
    <w:rsid w:val="0046249F"/>
    <w:rsid w:val="00462FCC"/>
    <w:rsid w:val="0046330C"/>
    <w:rsid w:val="004639BD"/>
    <w:rsid w:val="004639C2"/>
    <w:rsid w:val="004639E3"/>
    <w:rsid w:val="00463A89"/>
    <w:rsid w:val="00463CD2"/>
    <w:rsid w:val="0046430F"/>
    <w:rsid w:val="004647AE"/>
    <w:rsid w:val="00464C4A"/>
    <w:rsid w:val="00464CAC"/>
    <w:rsid w:val="00464F77"/>
    <w:rsid w:val="0046564C"/>
    <w:rsid w:val="00465954"/>
    <w:rsid w:val="00465CA0"/>
    <w:rsid w:val="00466934"/>
    <w:rsid w:val="00466E55"/>
    <w:rsid w:val="00467AAE"/>
    <w:rsid w:val="00467BD5"/>
    <w:rsid w:val="00467F12"/>
    <w:rsid w:val="0047033D"/>
    <w:rsid w:val="0047083F"/>
    <w:rsid w:val="00470C2E"/>
    <w:rsid w:val="00470C34"/>
    <w:rsid w:val="00471551"/>
    <w:rsid w:val="00471599"/>
    <w:rsid w:val="00471F86"/>
    <w:rsid w:val="00472DCC"/>
    <w:rsid w:val="00472F99"/>
    <w:rsid w:val="00473072"/>
    <w:rsid w:val="00473465"/>
    <w:rsid w:val="00473584"/>
    <w:rsid w:val="00473D2A"/>
    <w:rsid w:val="00474F6E"/>
    <w:rsid w:val="00475298"/>
    <w:rsid w:val="00475B9E"/>
    <w:rsid w:val="004762CD"/>
    <w:rsid w:val="0047660C"/>
    <w:rsid w:val="00476D3B"/>
    <w:rsid w:val="00476EA1"/>
    <w:rsid w:val="004779CA"/>
    <w:rsid w:val="004779F6"/>
    <w:rsid w:val="0048006F"/>
    <w:rsid w:val="00480116"/>
    <w:rsid w:val="00480308"/>
    <w:rsid w:val="00480ADA"/>
    <w:rsid w:val="00480B2D"/>
    <w:rsid w:val="00480B99"/>
    <w:rsid w:val="00480FD1"/>
    <w:rsid w:val="00481D35"/>
    <w:rsid w:val="00482615"/>
    <w:rsid w:val="00482E17"/>
    <w:rsid w:val="004830FA"/>
    <w:rsid w:val="004838C2"/>
    <w:rsid w:val="00484665"/>
    <w:rsid w:val="00484ACD"/>
    <w:rsid w:val="0048522E"/>
    <w:rsid w:val="00485244"/>
    <w:rsid w:val="0048551D"/>
    <w:rsid w:val="00485845"/>
    <w:rsid w:val="0048596C"/>
    <w:rsid w:val="00486477"/>
    <w:rsid w:val="004867A9"/>
    <w:rsid w:val="00486E79"/>
    <w:rsid w:val="00486F88"/>
    <w:rsid w:val="00487020"/>
    <w:rsid w:val="00490028"/>
    <w:rsid w:val="0049008C"/>
    <w:rsid w:val="0049026C"/>
    <w:rsid w:val="00490CEE"/>
    <w:rsid w:val="00490E70"/>
    <w:rsid w:val="004912FE"/>
    <w:rsid w:val="004913A9"/>
    <w:rsid w:val="004916D1"/>
    <w:rsid w:val="00491A0E"/>
    <w:rsid w:val="00491AFF"/>
    <w:rsid w:val="00491C21"/>
    <w:rsid w:val="00491CC9"/>
    <w:rsid w:val="00492003"/>
    <w:rsid w:val="004921BB"/>
    <w:rsid w:val="00492E6C"/>
    <w:rsid w:val="0049363C"/>
    <w:rsid w:val="004942D1"/>
    <w:rsid w:val="004946A4"/>
    <w:rsid w:val="0049486C"/>
    <w:rsid w:val="00494FF7"/>
    <w:rsid w:val="00495396"/>
    <w:rsid w:val="00495C89"/>
    <w:rsid w:val="004962B1"/>
    <w:rsid w:val="004966C3"/>
    <w:rsid w:val="0049674A"/>
    <w:rsid w:val="00496D8F"/>
    <w:rsid w:val="0049729F"/>
    <w:rsid w:val="00497377"/>
    <w:rsid w:val="0049740B"/>
    <w:rsid w:val="004974B2"/>
    <w:rsid w:val="00497889"/>
    <w:rsid w:val="00497F06"/>
    <w:rsid w:val="004A0456"/>
    <w:rsid w:val="004A08DC"/>
    <w:rsid w:val="004A0A60"/>
    <w:rsid w:val="004A0F69"/>
    <w:rsid w:val="004A113E"/>
    <w:rsid w:val="004A16B1"/>
    <w:rsid w:val="004A2174"/>
    <w:rsid w:val="004A2277"/>
    <w:rsid w:val="004A25E3"/>
    <w:rsid w:val="004A317A"/>
    <w:rsid w:val="004A34CD"/>
    <w:rsid w:val="004A375D"/>
    <w:rsid w:val="004A37DD"/>
    <w:rsid w:val="004A3829"/>
    <w:rsid w:val="004A3915"/>
    <w:rsid w:val="004A3949"/>
    <w:rsid w:val="004A3AA4"/>
    <w:rsid w:val="004A3B6D"/>
    <w:rsid w:val="004A4308"/>
    <w:rsid w:val="004A4568"/>
    <w:rsid w:val="004A46CA"/>
    <w:rsid w:val="004A477B"/>
    <w:rsid w:val="004A4B5C"/>
    <w:rsid w:val="004A5807"/>
    <w:rsid w:val="004A59E8"/>
    <w:rsid w:val="004A5CE0"/>
    <w:rsid w:val="004A5D42"/>
    <w:rsid w:val="004A6222"/>
    <w:rsid w:val="004A6247"/>
    <w:rsid w:val="004A69BC"/>
    <w:rsid w:val="004A6CBC"/>
    <w:rsid w:val="004A7382"/>
    <w:rsid w:val="004A76D6"/>
    <w:rsid w:val="004A7723"/>
    <w:rsid w:val="004A778B"/>
    <w:rsid w:val="004A7BD9"/>
    <w:rsid w:val="004B015A"/>
    <w:rsid w:val="004B038D"/>
    <w:rsid w:val="004B04E6"/>
    <w:rsid w:val="004B0AED"/>
    <w:rsid w:val="004B19E2"/>
    <w:rsid w:val="004B1C84"/>
    <w:rsid w:val="004B2167"/>
    <w:rsid w:val="004B2623"/>
    <w:rsid w:val="004B3533"/>
    <w:rsid w:val="004B3E1E"/>
    <w:rsid w:val="004B43C9"/>
    <w:rsid w:val="004B4A0E"/>
    <w:rsid w:val="004B4B51"/>
    <w:rsid w:val="004B541F"/>
    <w:rsid w:val="004B5660"/>
    <w:rsid w:val="004B6AE6"/>
    <w:rsid w:val="004B7636"/>
    <w:rsid w:val="004B7789"/>
    <w:rsid w:val="004C0296"/>
    <w:rsid w:val="004C060A"/>
    <w:rsid w:val="004C0806"/>
    <w:rsid w:val="004C0C42"/>
    <w:rsid w:val="004C0C65"/>
    <w:rsid w:val="004C0EEF"/>
    <w:rsid w:val="004C11BD"/>
    <w:rsid w:val="004C1223"/>
    <w:rsid w:val="004C122A"/>
    <w:rsid w:val="004C156A"/>
    <w:rsid w:val="004C1575"/>
    <w:rsid w:val="004C1CF6"/>
    <w:rsid w:val="004C1EBE"/>
    <w:rsid w:val="004C1F33"/>
    <w:rsid w:val="004C24D1"/>
    <w:rsid w:val="004C2FCD"/>
    <w:rsid w:val="004C35D5"/>
    <w:rsid w:val="004C3EA9"/>
    <w:rsid w:val="004C4288"/>
    <w:rsid w:val="004C4A73"/>
    <w:rsid w:val="004C5166"/>
    <w:rsid w:val="004C52B8"/>
    <w:rsid w:val="004C5344"/>
    <w:rsid w:val="004C5524"/>
    <w:rsid w:val="004C5AE6"/>
    <w:rsid w:val="004C5FAF"/>
    <w:rsid w:val="004C62C2"/>
    <w:rsid w:val="004C63A3"/>
    <w:rsid w:val="004C6717"/>
    <w:rsid w:val="004C6CA9"/>
    <w:rsid w:val="004C6E97"/>
    <w:rsid w:val="004C715C"/>
    <w:rsid w:val="004C732B"/>
    <w:rsid w:val="004C7818"/>
    <w:rsid w:val="004D06C5"/>
    <w:rsid w:val="004D0FCB"/>
    <w:rsid w:val="004D1245"/>
    <w:rsid w:val="004D150D"/>
    <w:rsid w:val="004D16AA"/>
    <w:rsid w:val="004D18B7"/>
    <w:rsid w:val="004D1AA7"/>
    <w:rsid w:val="004D1DB6"/>
    <w:rsid w:val="004D1F5F"/>
    <w:rsid w:val="004D245C"/>
    <w:rsid w:val="004D26F7"/>
    <w:rsid w:val="004D2765"/>
    <w:rsid w:val="004D312F"/>
    <w:rsid w:val="004D3130"/>
    <w:rsid w:val="004D3842"/>
    <w:rsid w:val="004D490A"/>
    <w:rsid w:val="004D54DA"/>
    <w:rsid w:val="004D563A"/>
    <w:rsid w:val="004D5A6C"/>
    <w:rsid w:val="004D5FC6"/>
    <w:rsid w:val="004D65A2"/>
    <w:rsid w:val="004D66A0"/>
    <w:rsid w:val="004D66AC"/>
    <w:rsid w:val="004D66D2"/>
    <w:rsid w:val="004D683D"/>
    <w:rsid w:val="004D6D14"/>
    <w:rsid w:val="004D705D"/>
    <w:rsid w:val="004D728E"/>
    <w:rsid w:val="004D72B6"/>
    <w:rsid w:val="004D798C"/>
    <w:rsid w:val="004D79D4"/>
    <w:rsid w:val="004D7A21"/>
    <w:rsid w:val="004D7A65"/>
    <w:rsid w:val="004D7B7A"/>
    <w:rsid w:val="004D7C84"/>
    <w:rsid w:val="004D7CEE"/>
    <w:rsid w:val="004E035C"/>
    <w:rsid w:val="004E0A3C"/>
    <w:rsid w:val="004E0CC8"/>
    <w:rsid w:val="004E0E9C"/>
    <w:rsid w:val="004E1146"/>
    <w:rsid w:val="004E11D2"/>
    <w:rsid w:val="004E1277"/>
    <w:rsid w:val="004E13C4"/>
    <w:rsid w:val="004E15E0"/>
    <w:rsid w:val="004E179A"/>
    <w:rsid w:val="004E199C"/>
    <w:rsid w:val="004E1E3B"/>
    <w:rsid w:val="004E234A"/>
    <w:rsid w:val="004E28C9"/>
    <w:rsid w:val="004E28F5"/>
    <w:rsid w:val="004E3584"/>
    <w:rsid w:val="004E35B0"/>
    <w:rsid w:val="004E3A81"/>
    <w:rsid w:val="004E3EBD"/>
    <w:rsid w:val="004E4F58"/>
    <w:rsid w:val="004E5205"/>
    <w:rsid w:val="004E5251"/>
    <w:rsid w:val="004E5918"/>
    <w:rsid w:val="004E5D23"/>
    <w:rsid w:val="004E5F45"/>
    <w:rsid w:val="004E633E"/>
    <w:rsid w:val="004E635A"/>
    <w:rsid w:val="004E6943"/>
    <w:rsid w:val="004E6E4B"/>
    <w:rsid w:val="004E6FC2"/>
    <w:rsid w:val="004E7670"/>
    <w:rsid w:val="004F1427"/>
    <w:rsid w:val="004F1DCF"/>
    <w:rsid w:val="004F20FB"/>
    <w:rsid w:val="004F2D83"/>
    <w:rsid w:val="004F34A7"/>
    <w:rsid w:val="004F3E13"/>
    <w:rsid w:val="004F3E27"/>
    <w:rsid w:val="004F4428"/>
    <w:rsid w:val="004F47CB"/>
    <w:rsid w:val="004F49AA"/>
    <w:rsid w:val="004F4AAA"/>
    <w:rsid w:val="004F4E54"/>
    <w:rsid w:val="004F51DE"/>
    <w:rsid w:val="004F567A"/>
    <w:rsid w:val="004F5F36"/>
    <w:rsid w:val="004F60D2"/>
    <w:rsid w:val="004F6358"/>
    <w:rsid w:val="004F6D1B"/>
    <w:rsid w:val="004F7165"/>
    <w:rsid w:val="0050011F"/>
    <w:rsid w:val="00500172"/>
    <w:rsid w:val="0050116D"/>
    <w:rsid w:val="00501272"/>
    <w:rsid w:val="00501548"/>
    <w:rsid w:val="00501838"/>
    <w:rsid w:val="0050192D"/>
    <w:rsid w:val="005024E0"/>
    <w:rsid w:val="00502629"/>
    <w:rsid w:val="005028DD"/>
    <w:rsid w:val="00502BFC"/>
    <w:rsid w:val="00502D16"/>
    <w:rsid w:val="00502DE2"/>
    <w:rsid w:val="005030DE"/>
    <w:rsid w:val="0050342A"/>
    <w:rsid w:val="00503656"/>
    <w:rsid w:val="0050374C"/>
    <w:rsid w:val="00503800"/>
    <w:rsid w:val="00503CDE"/>
    <w:rsid w:val="005041AA"/>
    <w:rsid w:val="00504475"/>
    <w:rsid w:val="00504583"/>
    <w:rsid w:val="005055BA"/>
    <w:rsid w:val="00505ED9"/>
    <w:rsid w:val="00506291"/>
    <w:rsid w:val="00506878"/>
    <w:rsid w:val="0050687D"/>
    <w:rsid w:val="005068E3"/>
    <w:rsid w:val="00507F6D"/>
    <w:rsid w:val="00510135"/>
    <w:rsid w:val="005106B9"/>
    <w:rsid w:val="005107B5"/>
    <w:rsid w:val="00510B0F"/>
    <w:rsid w:val="00510FA1"/>
    <w:rsid w:val="00510FD0"/>
    <w:rsid w:val="005112DA"/>
    <w:rsid w:val="005126E9"/>
    <w:rsid w:val="00512A26"/>
    <w:rsid w:val="00512A61"/>
    <w:rsid w:val="00512C79"/>
    <w:rsid w:val="00512E9C"/>
    <w:rsid w:val="005139D1"/>
    <w:rsid w:val="00513DEC"/>
    <w:rsid w:val="00513F5D"/>
    <w:rsid w:val="005141E0"/>
    <w:rsid w:val="0051434E"/>
    <w:rsid w:val="00514989"/>
    <w:rsid w:val="00514CC0"/>
    <w:rsid w:val="0051532E"/>
    <w:rsid w:val="0051535A"/>
    <w:rsid w:val="0051550C"/>
    <w:rsid w:val="005155C4"/>
    <w:rsid w:val="0051576D"/>
    <w:rsid w:val="00515887"/>
    <w:rsid w:val="00515B18"/>
    <w:rsid w:val="00516273"/>
    <w:rsid w:val="005163F7"/>
    <w:rsid w:val="0051651F"/>
    <w:rsid w:val="005167A2"/>
    <w:rsid w:val="00516919"/>
    <w:rsid w:val="00516A23"/>
    <w:rsid w:val="00516C16"/>
    <w:rsid w:val="0051707C"/>
    <w:rsid w:val="005170CD"/>
    <w:rsid w:val="00517340"/>
    <w:rsid w:val="00517549"/>
    <w:rsid w:val="0051759C"/>
    <w:rsid w:val="00517A77"/>
    <w:rsid w:val="00517B0B"/>
    <w:rsid w:val="00517BEA"/>
    <w:rsid w:val="00517D9A"/>
    <w:rsid w:val="005202A9"/>
    <w:rsid w:val="0052060C"/>
    <w:rsid w:val="00520B85"/>
    <w:rsid w:val="00520C8F"/>
    <w:rsid w:val="005214B6"/>
    <w:rsid w:val="0052223E"/>
    <w:rsid w:val="005227C6"/>
    <w:rsid w:val="00522B55"/>
    <w:rsid w:val="00522C95"/>
    <w:rsid w:val="0052362D"/>
    <w:rsid w:val="00523970"/>
    <w:rsid w:val="00524C49"/>
    <w:rsid w:val="00524CCF"/>
    <w:rsid w:val="00525318"/>
    <w:rsid w:val="0052667E"/>
    <w:rsid w:val="00526C5E"/>
    <w:rsid w:val="00527176"/>
    <w:rsid w:val="005273BB"/>
    <w:rsid w:val="00527410"/>
    <w:rsid w:val="005274A9"/>
    <w:rsid w:val="00527631"/>
    <w:rsid w:val="005279DA"/>
    <w:rsid w:val="00527EB8"/>
    <w:rsid w:val="00527EF6"/>
    <w:rsid w:val="00530043"/>
    <w:rsid w:val="005300E9"/>
    <w:rsid w:val="0053011C"/>
    <w:rsid w:val="00530830"/>
    <w:rsid w:val="00530872"/>
    <w:rsid w:val="005308EB"/>
    <w:rsid w:val="00531139"/>
    <w:rsid w:val="00531B27"/>
    <w:rsid w:val="00532171"/>
    <w:rsid w:val="005323A7"/>
    <w:rsid w:val="005328A4"/>
    <w:rsid w:val="00532F16"/>
    <w:rsid w:val="00532F29"/>
    <w:rsid w:val="00533C1D"/>
    <w:rsid w:val="005345F2"/>
    <w:rsid w:val="00535E70"/>
    <w:rsid w:val="00536812"/>
    <w:rsid w:val="005404D7"/>
    <w:rsid w:val="0054086C"/>
    <w:rsid w:val="00540DC9"/>
    <w:rsid w:val="00540E27"/>
    <w:rsid w:val="00541916"/>
    <w:rsid w:val="00541A84"/>
    <w:rsid w:val="0054276C"/>
    <w:rsid w:val="00542F41"/>
    <w:rsid w:val="00543617"/>
    <w:rsid w:val="005440EA"/>
    <w:rsid w:val="005449DD"/>
    <w:rsid w:val="00544B58"/>
    <w:rsid w:val="00544D75"/>
    <w:rsid w:val="00545125"/>
    <w:rsid w:val="00545A18"/>
    <w:rsid w:val="00545D5B"/>
    <w:rsid w:val="00546597"/>
    <w:rsid w:val="0054673A"/>
    <w:rsid w:val="005469A4"/>
    <w:rsid w:val="00547608"/>
    <w:rsid w:val="00547788"/>
    <w:rsid w:val="00547A0C"/>
    <w:rsid w:val="005508A0"/>
    <w:rsid w:val="00550A7B"/>
    <w:rsid w:val="0055189A"/>
    <w:rsid w:val="00551F17"/>
    <w:rsid w:val="0055221F"/>
    <w:rsid w:val="0055233B"/>
    <w:rsid w:val="00552E9F"/>
    <w:rsid w:val="0055329E"/>
    <w:rsid w:val="00554605"/>
    <w:rsid w:val="00554B17"/>
    <w:rsid w:val="00554C79"/>
    <w:rsid w:val="0055543D"/>
    <w:rsid w:val="00555992"/>
    <w:rsid w:val="00555EA8"/>
    <w:rsid w:val="00555F5A"/>
    <w:rsid w:val="005564EF"/>
    <w:rsid w:val="00556E1A"/>
    <w:rsid w:val="00556F9A"/>
    <w:rsid w:val="00557654"/>
    <w:rsid w:val="005603E2"/>
    <w:rsid w:val="00560E2A"/>
    <w:rsid w:val="005612F0"/>
    <w:rsid w:val="0056159A"/>
    <w:rsid w:val="00561606"/>
    <w:rsid w:val="00561807"/>
    <w:rsid w:val="00561A8B"/>
    <w:rsid w:val="00561C03"/>
    <w:rsid w:val="00562055"/>
    <w:rsid w:val="0056225A"/>
    <w:rsid w:val="005623C1"/>
    <w:rsid w:val="00563895"/>
    <w:rsid w:val="005639AD"/>
    <w:rsid w:val="00563C17"/>
    <w:rsid w:val="00563FA0"/>
    <w:rsid w:val="00564093"/>
    <w:rsid w:val="00564323"/>
    <w:rsid w:val="005645F7"/>
    <w:rsid w:val="00564C70"/>
    <w:rsid w:val="00564F62"/>
    <w:rsid w:val="0056557C"/>
    <w:rsid w:val="0056568B"/>
    <w:rsid w:val="00565928"/>
    <w:rsid w:val="00565E13"/>
    <w:rsid w:val="00565E8A"/>
    <w:rsid w:val="00566036"/>
    <w:rsid w:val="0056673C"/>
    <w:rsid w:val="005667F3"/>
    <w:rsid w:val="00566931"/>
    <w:rsid w:val="00567F30"/>
    <w:rsid w:val="00567F6F"/>
    <w:rsid w:val="0057016D"/>
    <w:rsid w:val="005704BD"/>
    <w:rsid w:val="00570699"/>
    <w:rsid w:val="00570903"/>
    <w:rsid w:val="00570C11"/>
    <w:rsid w:val="00570F33"/>
    <w:rsid w:val="00571DE8"/>
    <w:rsid w:val="00572F20"/>
    <w:rsid w:val="00573237"/>
    <w:rsid w:val="00573632"/>
    <w:rsid w:val="005737B8"/>
    <w:rsid w:val="00573A21"/>
    <w:rsid w:val="00573A9E"/>
    <w:rsid w:val="00573B2A"/>
    <w:rsid w:val="00573FCF"/>
    <w:rsid w:val="005741A4"/>
    <w:rsid w:val="005745AF"/>
    <w:rsid w:val="005746BF"/>
    <w:rsid w:val="00574731"/>
    <w:rsid w:val="0057474B"/>
    <w:rsid w:val="00575085"/>
    <w:rsid w:val="005752BE"/>
    <w:rsid w:val="00575522"/>
    <w:rsid w:val="00575B62"/>
    <w:rsid w:val="00576939"/>
    <w:rsid w:val="00576AE6"/>
    <w:rsid w:val="00576F2C"/>
    <w:rsid w:val="005776A7"/>
    <w:rsid w:val="005778EE"/>
    <w:rsid w:val="0057791C"/>
    <w:rsid w:val="005801C4"/>
    <w:rsid w:val="005803DD"/>
    <w:rsid w:val="00580FDF"/>
    <w:rsid w:val="00581A66"/>
    <w:rsid w:val="00581DEB"/>
    <w:rsid w:val="00583589"/>
    <w:rsid w:val="0058373A"/>
    <w:rsid w:val="00583F0E"/>
    <w:rsid w:val="00583F7A"/>
    <w:rsid w:val="005840A0"/>
    <w:rsid w:val="00584363"/>
    <w:rsid w:val="00584461"/>
    <w:rsid w:val="00584A7B"/>
    <w:rsid w:val="00584B1C"/>
    <w:rsid w:val="00584BD8"/>
    <w:rsid w:val="00585151"/>
    <w:rsid w:val="00585213"/>
    <w:rsid w:val="005853DD"/>
    <w:rsid w:val="005856E6"/>
    <w:rsid w:val="00585755"/>
    <w:rsid w:val="00585C2D"/>
    <w:rsid w:val="00586184"/>
    <w:rsid w:val="005861C0"/>
    <w:rsid w:val="00587080"/>
    <w:rsid w:val="00587102"/>
    <w:rsid w:val="0058769F"/>
    <w:rsid w:val="00587F18"/>
    <w:rsid w:val="00590368"/>
    <w:rsid w:val="0059075E"/>
    <w:rsid w:val="0059087C"/>
    <w:rsid w:val="00590DCA"/>
    <w:rsid w:val="00591264"/>
    <w:rsid w:val="0059171E"/>
    <w:rsid w:val="005918E2"/>
    <w:rsid w:val="00591A99"/>
    <w:rsid w:val="00592A19"/>
    <w:rsid w:val="00592B7B"/>
    <w:rsid w:val="00593219"/>
    <w:rsid w:val="005932C4"/>
    <w:rsid w:val="00593AD4"/>
    <w:rsid w:val="00593E9F"/>
    <w:rsid w:val="00593F5D"/>
    <w:rsid w:val="00594F08"/>
    <w:rsid w:val="00595140"/>
    <w:rsid w:val="005952FA"/>
    <w:rsid w:val="00595B17"/>
    <w:rsid w:val="00596005"/>
    <w:rsid w:val="00596CF4"/>
    <w:rsid w:val="00597779"/>
    <w:rsid w:val="0059792E"/>
    <w:rsid w:val="00597ED0"/>
    <w:rsid w:val="005A0380"/>
    <w:rsid w:val="005A0501"/>
    <w:rsid w:val="005A0807"/>
    <w:rsid w:val="005A0841"/>
    <w:rsid w:val="005A0E70"/>
    <w:rsid w:val="005A123F"/>
    <w:rsid w:val="005A1426"/>
    <w:rsid w:val="005A1DC0"/>
    <w:rsid w:val="005A1E91"/>
    <w:rsid w:val="005A2819"/>
    <w:rsid w:val="005A29D3"/>
    <w:rsid w:val="005A2AC1"/>
    <w:rsid w:val="005A2D1B"/>
    <w:rsid w:val="005A2EE7"/>
    <w:rsid w:val="005A3143"/>
    <w:rsid w:val="005A31DA"/>
    <w:rsid w:val="005A3C92"/>
    <w:rsid w:val="005A4023"/>
    <w:rsid w:val="005A44C9"/>
    <w:rsid w:val="005A4576"/>
    <w:rsid w:val="005A48F6"/>
    <w:rsid w:val="005A4A26"/>
    <w:rsid w:val="005A4A9D"/>
    <w:rsid w:val="005A5D8C"/>
    <w:rsid w:val="005A5FCB"/>
    <w:rsid w:val="005A653C"/>
    <w:rsid w:val="005A694F"/>
    <w:rsid w:val="005A784B"/>
    <w:rsid w:val="005A7A6C"/>
    <w:rsid w:val="005A7D0E"/>
    <w:rsid w:val="005A7D81"/>
    <w:rsid w:val="005B051A"/>
    <w:rsid w:val="005B070A"/>
    <w:rsid w:val="005B0827"/>
    <w:rsid w:val="005B09DA"/>
    <w:rsid w:val="005B0E6B"/>
    <w:rsid w:val="005B1AE4"/>
    <w:rsid w:val="005B1F50"/>
    <w:rsid w:val="005B22AA"/>
    <w:rsid w:val="005B26CB"/>
    <w:rsid w:val="005B2834"/>
    <w:rsid w:val="005B2AD7"/>
    <w:rsid w:val="005B2C5B"/>
    <w:rsid w:val="005B3339"/>
    <w:rsid w:val="005B37AE"/>
    <w:rsid w:val="005B37FD"/>
    <w:rsid w:val="005B3844"/>
    <w:rsid w:val="005B3B5A"/>
    <w:rsid w:val="005B3E0E"/>
    <w:rsid w:val="005B4033"/>
    <w:rsid w:val="005B41DD"/>
    <w:rsid w:val="005B4534"/>
    <w:rsid w:val="005B4CFC"/>
    <w:rsid w:val="005B4E9A"/>
    <w:rsid w:val="005B5224"/>
    <w:rsid w:val="005B5640"/>
    <w:rsid w:val="005B56E4"/>
    <w:rsid w:val="005B6232"/>
    <w:rsid w:val="005B6CC3"/>
    <w:rsid w:val="005B72B6"/>
    <w:rsid w:val="005B7317"/>
    <w:rsid w:val="005B796D"/>
    <w:rsid w:val="005B7A68"/>
    <w:rsid w:val="005B7AD7"/>
    <w:rsid w:val="005C02AE"/>
    <w:rsid w:val="005C0512"/>
    <w:rsid w:val="005C05AA"/>
    <w:rsid w:val="005C0AF2"/>
    <w:rsid w:val="005C13AE"/>
    <w:rsid w:val="005C1A2E"/>
    <w:rsid w:val="005C1F68"/>
    <w:rsid w:val="005C211A"/>
    <w:rsid w:val="005C21C7"/>
    <w:rsid w:val="005C2292"/>
    <w:rsid w:val="005C2489"/>
    <w:rsid w:val="005C24DC"/>
    <w:rsid w:val="005C2957"/>
    <w:rsid w:val="005C2C69"/>
    <w:rsid w:val="005C2F19"/>
    <w:rsid w:val="005C2FF2"/>
    <w:rsid w:val="005C36B6"/>
    <w:rsid w:val="005C389C"/>
    <w:rsid w:val="005C3F77"/>
    <w:rsid w:val="005C491C"/>
    <w:rsid w:val="005C4E9C"/>
    <w:rsid w:val="005C5A0C"/>
    <w:rsid w:val="005C5B62"/>
    <w:rsid w:val="005C5CDC"/>
    <w:rsid w:val="005C622C"/>
    <w:rsid w:val="005C6238"/>
    <w:rsid w:val="005C6553"/>
    <w:rsid w:val="005C6B2B"/>
    <w:rsid w:val="005C6CD2"/>
    <w:rsid w:val="005C7053"/>
    <w:rsid w:val="005C705B"/>
    <w:rsid w:val="005C7823"/>
    <w:rsid w:val="005C7DCC"/>
    <w:rsid w:val="005D0A93"/>
    <w:rsid w:val="005D0FB8"/>
    <w:rsid w:val="005D1314"/>
    <w:rsid w:val="005D18A6"/>
    <w:rsid w:val="005D18F9"/>
    <w:rsid w:val="005D1CBF"/>
    <w:rsid w:val="005D1FC2"/>
    <w:rsid w:val="005D2064"/>
    <w:rsid w:val="005D2079"/>
    <w:rsid w:val="005D2164"/>
    <w:rsid w:val="005D2444"/>
    <w:rsid w:val="005D25EC"/>
    <w:rsid w:val="005D2CCE"/>
    <w:rsid w:val="005D2E90"/>
    <w:rsid w:val="005D3011"/>
    <w:rsid w:val="005D3099"/>
    <w:rsid w:val="005D355E"/>
    <w:rsid w:val="005D3893"/>
    <w:rsid w:val="005D3CBA"/>
    <w:rsid w:val="005D3D03"/>
    <w:rsid w:val="005D4300"/>
    <w:rsid w:val="005D446F"/>
    <w:rsid w:val="005D469F"/>
    <w:rsid w:val="005D46CC"/>
    <w:rsid w:val="005D47B9"/>
    <w:rsid w:val="005D48F8"/>
    <w:rsid w:val="005D49ED"/>
    <w:rsid w:val="005D4EC9"/>
    <w:rsid w:val="005D4F0F"/>
    <w:rsid w:val="005D51CB"/>
    <w:rsid w:val="005D5830"/>
    <w:rsid w:val="005D5C5A"/>
    <w:rsid w:val="005D5E39"/>
    <w:rsid w:val="005D5E3B"/>
    <w:rsid w:val="005D5F00"/>
    <w:rsid w:val="005D65BA"/>
    <w:rsid w:val="005D698F"/>
    <w:rsid w:val="005D6A73"/>
    <w:rsid w:val="005D6E43"/>
    <w:rsid w:val="005D70FE"/>
    <w:rsid w:val="005D75B2"/>
    <w:rsid w:val="005D778B"/>
    <w:rsid w:val="005E01E9"/>
    <w:rsid w:val="005E0B78"/>
    <w:rsid w:val="005E15FB"/>
    <w:rsid w:val="005E31E1"/>
    <w:rsid w:val="005E3383"/>
    <w:rsid w:val="005E36BA"/>
    <w:rsid w:val="005E38DE"/>
    <w:rsid w:val="005E3962"/>
    <w:rsid w:val="005E3995"/>
    <w:rsid w:val="005E3C9F"/>
    <w:rsid w:val="005E4194"/>
    <w:rsid w:val="005E41BF"/>
    <w:rsid w:val="005E45D2"/>
    <w:rsid w:val="005E4778"/>
    <w:rsid w:val="005E4AD3"/>
    <w:rsid w:val="005E519D"/>
    <w:rsid w:val="005E55AA"/>
    <w:rsid w:val="005E689C"/>
    <w:rsid w:val="005E6EC6"/>
    <w:rsid w:val="005E7112"/>
    <w:rsid w:val="005E746A"/>
    <w:rsid w:val="005F00D8"/>
    <w:rsid w:val="005F04D9"/>
    <w:rsid w:val="005F1098"/>
    <w:rsid w:val="005F1BA6"/>
    <w:rsid w:val="005F2182"/>
    <w:rsid w:val="005F2A46"/>
    <w:rsid w:val="005F2FD6"/>
    <w:rsid w:val="005F3001"/>
    <w:rsid w:val="005F349B"/>
    <w:rsid w:val="005F35D1"/>
    <w:rsid w:val="005F3704"/>
    <w:rsid w:val="005F3B12"/>
    <w:rsid w:val="005F3C4F"/>
    <w:rsid w:val="005F3F00"/>
    <w:rsid w:val="005F4DB3"/>
    <w:rsid w:val="005F4DD6"/>
    <w:rsid w:val="005F4E5D"/>
    <w:rsid w:val="005F4E67"/>
    <w:rsid w:val="005F5D07"/>
    <w:rsid w:val="005F5DD8"/>
    <w:rsid w:val="005F63FA"/>
    <w:rsid w:val="005F6702"/>
    <w:rsid w:val="005F6BAA"/>
    <w:rsid w:val="005F6BD5"/>
    <w:rsid w:val="005F6DD4"/>
    <w:rsid w:val="005F723F"/>
    <w:rsid w:val="005F78ED"/>
    <w:rsid w:val="005F7E19"/>
    <w:rsid w:val="005F7EB3"/>
    <w:rsid w:val="00600364"/>
    <w:rsid w:val="006005B1"/>
    <w:rsid w:val="0060067A"/>
    <w:rsid w:val="006007E7"/>
    <w:rsid w:val="00600AB1"/>
    <w:rsid w:val="006010B2"/>
    <w:rsid w:val="006015B7"/>
    <w:rsid w:val="006016B4"/>
    <w:rsid w:val="00601865"/>
    <w:rsid w:val="006019A9"/>
    <w:rsid w:val="00601BBD"/>
    <w:rsid w:val="00601FAB"/>
    <w:rsid w:val="00602D2E"/>
    <w:rsid w:val="00602E23"/>
    <w:rsid w:val="00603415"/>
    <w:rsid w:val="00603597"/>
    <w:rsid w:val="0060368C"/>
    <w:rsid w:val="00603AC3"/>
    <w:rsid w:val="006040FE"/>
    <w:rsid w:val="00604E6F"/>
    <w:rsid w:val="00605166"/>
    <w:rsid w:val="0060578D"/>
    <w:rsid w:val="006058C1"/>
    <w:rsid w:val="0060592C"/>
    <w:rsid w:val="00605932"/>
    <w:rsid w:val="00605E4C"/>
    <w:rsid w:val="00606459"/>
    <w:rsid w:val="00606D2F"/>
    <w:rsid w:val="00607058"/>
    <w:rsid w:val="006073E3"/>
    <w:rsid w:val="006075D5"/>
    <w:rsid w:val="00607738"/>
    <w:rsid w:val="0060773A"/>
    <w:rsid w:val="00607BC5"/>
    <w:rsid w:val="0061050D"/>
    <w:rsid w:val="006109BA"/>
    <w:rsid w:val="00610DD2"/>
    <w:rsid w:val="00610F95"/>
    <w:rsid w:val="00611011"/>
    <w:rsid w:val="006111EA"/>
    <w:rsid w:val="00611297"/>
    <w:rsid w:val="00611731"/>
    <w:rsid w:val="00611BD6"/>
    <w:rsid w:val="006133FA"/>
    <w:rsid w:val="00613525"/>
    <w:rsid w:val="00613F77"/>
    <w:rsid w:val="006140A8"/>
    <w:rsid w:val="00614509"/>
    <w:rsid w:val="006146F0"/>
    <w:rsid w:val="006147EB"/>
    <w:rsid w:val="0061514C"/>
    <w:rsid w:val="00615257"/>
    <w:rsid w:val="00615474"/>
    <w:rsid w:val="006157D6"/>
    <w:rsid w:val="00616044"/>
    <w:rsid w:val="006162E6"/>
    <w:rsid w:val="00616312"/>
    <w:rsid w:val="00616620"/>
    <w:rsid w:val="006173C4"/>
    <w:rsid w:val="00617D08"/>
    <w:rsid w:val="00620339"/>
    <w:rsid w:val="00620C6F"/>
    <w:rsid w:val="0062167D"/>
    <w:rsid w:val="00622001"/>
    <w:rsid w:val="006224F9"/>
    <w:rsid w:val="006227BB"/>
    <w:rsid w:val="00622C02"/>
    <w:rsid w:val="00622DA7"/>
    <w:rsid w:val="0062332E"/>
    <w:rsid w:val="006239DE"/>
    <w:rsid w:val="00623A1B"/>
    <w:rsid w:val="00623E5E"/>
    <w:rsid w:val="00624311"/>
    <w:rsid w:val="0062494A"/>
    <w:rsid w:val="006252D6"/>
    <w:rsid w:val="006253EE"/>
    <w:rsid w:val="00625D0A"/>
    <w:rsid w:val="006260C6"/>
    <w:rsid w:val="006261CF"/>
    <w:rsid w:val="006262B9"/>
    <w:rsid w:val="00626C54"/>
    <w:rsid w:val="00626CA0"/>
    <w:rsid w:val="00626DBC"/>
    <w:rsid w:val="00626ED5"/>
    <w:rsid w:val="006277FC"/>
    <w:rsid w:val="00627B8C"/>
    <w:rsid w:val="00627E6C"/>
    <w:rsid w:val="00630804"/>
    <w:rsid w:val="00630878"/>
    <w:rsid w:val="00630C14"/>
    <w:rsid w:val="00630D59"/>
    <w:rsid w:val="00631047"/>
    <w:rsid w:val="006312B1"/>
    <w:rsid w:val="006314C7"/>
    <w:rsid w:val="006315C2"/>
    <w:rsid w:val="006323A8"/>
    <w:rsid w:val="006324AB"/>
    <w:rsid w:val="00632A41"/>
    <w:rsid w:val="00632CC4"/>
    <w:rsid w:val="0063308D"/>
    <w:rsid w:val="006330F9"/>
    <w:rsid w:val="00633F1A"/>
    <w:rsid w:val="00634098"/>
    <w:rsid w:val="006347B4"/>
    <w:rsid w:val="00634969"/>
    <w:rsid w:val="006349B5"/>
    <w:rsid w:val="00634DC2"/>
    <w:rsid w:val="00634FA9"/>
    <w:rsid w:val="006356A3"/>
    <w:rsid w:val="006356D2"/>
    <w:rsid w:val="0063631D"/>
    <w:rsid w:val="00636E51"/>
    <w:rsid w:val="00636EF1"/>
    <w:rsid w:val="0063718B"/>
    <w:rsid w:val="00637653"/>
    <w:rsid w:val="00637A48"/>
    <w:rsid w:val="00637CA5"/>
    <w:rsid w:val="00637D44"/>
    <w:rsid w:val="00637DC1"/>
    <w:rsid w:val="0064001B"/>
    <w:rsid w:val="0064051F"/>
    <w:rsid w:val="006405BE"/>
    <w:rsid w:val="0064073D"/>
    <w:rsid w:val="00640C73"/>
    <w:rsid w:val="00640C82"/>
    <w:rsid w:val="00641634"/>
    <w:rsid w:val="0064185C"/>
    <w:rsid w:val="00641B48"/>
    <w:rsid w:val="00641DAF"/>
    <w:rsid w:val="00641E02"/>
    <w:rsid w:val="006421A2"/>
    <w:rsid w:val="006427DB"/>
    <w:rsid w:val="006427EE"/>
    <w:rsid w:val="00642D35"/>
    <w:rsid w:val="00643046"/>
    <w:rsid w:val="00643F7E"/>
    <w:rsid w:val="0064463B"/>
    <w:rsid w:val="00644DF1"/>
    <w:rsid w:val="00644ECD"/>
    <w:rsid w:val="0064526B"/>
    <w:rsid w:val="00645B1B"/>
    <w:rsid w:val="006460F2"/>
    <w:rsid w:val="006464A8"/>
    <w:rsid w:val="00646E32"/>
    <w:rsid w:val="0064759B"/>
    <w:rsid w:val="006477C4"/>
    <w:rsid w:val="00647A43"/>
    <w:rsid w:val="00647BCD"/>
    <w:rsid w:val="00647CE7"/>
    <w:rsid w:val="006503C2"/>
    <w:rsid w:val="00650556"/>
    <w:rsid w:val="006512DD"/>
    <w:rsid w:val="00651A07"/>
    <w:rsid w:val="00651A79"/>
    <w:rsid w:val="006520D0"/>
    <w:rsid w:val="006521F5"/>
    <w:rsid w:val="00652613"/>
    <w:rsid w:val="00652698"/>
    <w:rsid w:val="00652932"/>
    <w:rsid w:val="00652AB3"/>
    <w:rsid w:val="00652B5D"/>
    <w:rsid w:val="00653464"/>
    <w:rsid w:val="00653942"/>
    <w:rsid w:val="00653DF0"/>
    <w:rsid w:val="00653E56"/>
    <w:rsid w:val="00654162"/>
    <w:rsid w:val="0065435D"/>
    <w:rsid w:val="006545D3"/>
    <w:rsid w:val="006547F5"/>
    <w:rsid w:val="006547FE"/>
    <w:rsid w:val="0065495C"/>
    <w:rsid w:val="0065520C"/>
    <w:rsid w:val="00655F4B"/>
    <w:rsid w:val="00656794"/>
    <w:rsid w:val="0065717B"/>
    <w:rsid w:val="006576F7"/>
    <w:rsid w:val="00657943"/>
    <w:rsid w:val="00657BF6"/>
    <w:rsid w:val="0066100C"/>
    <w:rsid w:val="0066145A"/>
    <w:rsid w:val="006617A7"/>
    <w:rsid w:val="006619F9"/>
    <w:rsid w:val="00662B5D"/>
    <w:rsid w:val="0066304B"/>
    <w:rsid w:val="00663110"/>
    <w:rsid w:val="00663478"/>
    <w:rsid w:val="00663EDC"/>
    <w:rsid w:val="006642FC"/>
    <w:rsid w:val="006647ED"/>
    <w:rsid w:val="00664BED"/>
    <w:rsid w:val="00664FE0"/>
    <w:rsid w:val="006650B0"/>
    <w:rsid w:val="0066538F"/>
    <w:rsid w:val="006656A8"/>
    <w:rsid w:val="00665D64"/>
    <w:rsid w:val="00666154"/>
    <w:rsid w:val="0066634E"/>
    <w:rsid w:val="00667210"/>
    <w:rsid w:val="006672D4"/>
    <w:rsid w:val="00667D59"/>
    <w:rsid w:val="0067019B"/>
    <w:rsid w:val="0067088D"/>
    <w:rsid w:val="00670CD9"/>
    <w:rsid w:val="006714C4"/>
    <w:rsid w:val="00671A0D"/>
    <w:rsid w:val="00671AE5"/>
    <w:rsid w:val="00671B6B"/>
    <w:rsid w:val="00671BE5"/>
    <w:rsid w:val="00671E4E"/>
    <w:rsid w:val="00671FA6"/>
    <w:rsid w:val="00672FDB"/>
    <w:rsid w:val="006730BC"/>
    <w:rsid w:val="006733C8"/>
    <w:rsid w:val="00673538"/>
    <w:rsid w:val="00673A1A"/>
    <w:rsid w:val="00673AFE"/>
    <w:rsid w:val="00673FEC"/>
    <w:rsid w:val="006748BB"/>
    <w:rsid w:val="00674F75"/>
    <w:rsid w:val="00675195"/>
    <w:rsid w:val="0067553F"/>
    <w:rsid w:val="006756B7"/>
    <w:rsid w:val="00675BFF"/>
    <w:rsid w:val="00675C9A"/>
    <w:rsid w:val="00675F8A"/>
    <w:rsid w:val="006765BC"/>
    <w:rsid w:val="0067670D"/>
    <w:rsid w:val="00676754"/>
    <w:rsid w:val="00676AF5"/>
    <w:rsid w:val="00676C39"/>
    <w:rsid w:val="00676E2E"/>
    <w:rsid w:val="00676EEF"/>
    <w:rsid w:val="00676F7C"/>
    <w:rsid w:val="006770CB"/>
    <w:rsid w:val="0067723C"/>
    <w:rsid w:val="006774F7"/>
    <w:rsid w:val="00677B7F"/>
    <w:rsid w:val="00677DCE"/>
    <w:rsid w:val="006804E0"/>
    <w:rsid w:val="006807B6"/>
    <w:rsid w:val="006807E1"/>
    <w:rsid w:val="00680FC0"/>
    <w:rsid w:val="0068137A"/>
    <w:rsid w:val="006817F4"/>
    <w:rsid w:val="00681C47"/>
    <w:rsid w:val="00681DAA"/>
    <w:rsid w:val="00681F96"/>
    <w:rsid w:val="00682633"/>
    <w:rsid w:val="006826E3"/>
    <w:rsid w:val="00682730"/>
    <w:rsid w:val="0068342C"/>
    <w:rsid w:val="00683B39"/>
    <w:rsid w:val="00683B7D"/>
    <w:rsid w:val="00683C4C"/>
    <w:rsid w:val="006842D9"/>
    <w:rsid w:val="0068434C"/>
    <w:rsid w:val="006843CB"/>
    <w:rsid w:val="00684CD9"/>
    <w:rsid w:val="00684E6B"/>
    <w:rsid w:val="00685389"/>
    <w:rsid w:val="00685434"/>
    <w:rsid w:val="00685C79"/>
    <w:rsid w:val="00686144"/>
    <w:rsid w:val="006869F7"/>
    <w:rsid w:val="00686FDA"/>
    <w:rsid w:val="0068754B"/>
    <w:rsid w:val="00687A4F"/>
    <w:rsid w:val="006907A7"/>
    <w:rsid w:val="006907D0"/>
    <w:rsid w:val="006909A8"/>
    <w:rsid w:val="00690E20"/>
    <w:rsid w:val="006910AC"/>
    <w:rsid w:val="006914F4"/>
    <w:rsid w:val="00691D33"/>
    <w:rsid w:val="006922BE"/>
    <w:rsid w:val="006927BE"/>
    <w:rsid w:val="0069351A"/>
    <w:rsid w:val="00693983"/>
    <w:rsid w:val="00693CCA"/>
    <w:rsid w:val="00693DB5"/>
    <w:rsid w:val="006942A6"/>
    <w:rsid w:val="00694847"/>
    <w:rsid w:val="00694B48"/>
    <w:rsid w:val="00694C92"/>
    <w:rsid w:val="00694D0F"/>
    <w:rsid w:val="00695538"/>
    <w:rsid w:val="00695732"/>
    <w:rsid w:val="006958BF"/>
    <w:rsid w:val="00695B6D"/>
    <w:rsid w:val="00696009"/>
    <w:rsid w:val="00696249"/>
    <w:rsid w:val="006962C7"/>
    <w:rsid w:val="0069635E"/>
    <w:rsid w:val="006963D5"/>
    <w:rsid w:val="0069647D"/>
    <w:rsid w:val="00696958"/>
    <w:rsid w:val="00697D98"/>
    <w:rsid w:val="00697DE5"/>
    <w:rsid w:val="00697F02"/>
    <w:rsid w:val="006A01AA"/>
    <w:rsid w:val="006A01D7"/>
    <w:rsid w:val="006A0354"/>
    <w:rsid w:val="006A03CC"/>
    <w:rsid w:val="006A18FB"/>
    <w:rsid w:val="006A1989"/>
    <w:rsid w:val="006A1D5A"/>
    <w:rsid w:val="006A200E"/>
    <w:rsid w:val="006A2221"/>
    <w:rsid w:val="006A22EC"/>
    <w:rsid w:val="006A27E8"/>
    <w:rsid w:val="006A2ADE"/>
    <w:rsid w:val="006A2E64"/>
    <w:rsid w:val="006A2FB0"/>
    <w:rsid w:val="006A3830"/>
    <w:rsid w:val="006A3E14"/>
    <w:rsid w:val="006A4A24"/>
    <w:rsid w:val="006A52A3"/>
    <w:rsid w:val="006A5473"/>
    <w:rsid w:val="006A5A3B"/>
    <w:rsid w:val="006A5B39"/>
    <w:rsid w:val="006A5B6C"/>
    <w:rsid w:val="006A5C4B"/>
    <w:rsid w:val="006A6632"/>
    <w:rsid w:val="006A6CC5"/>
    <w:rsid w:val="006A7093"/>
    <w:rsid w:val="006A7628"/>
    <w:rsid w:val="006A7926"/>
    <w:rsid w:val="006B05A7"/>
    <w:rsid w:val="006B0704"/>
    <w:rsid w:val="006B08EE"/>
    <w:rsid w:val="006B0BDF"/>
    <w:rsid w:val="006B1023"/>
    <w:rsid w:val="006B15FD"/>
    <w:rsid w:val="006B1661"/>
    <w:rsid w:val="006B16A8"/>
    <w:rsid w:val="006B21E5"/>
    <w:rsid w:val="006B23B7"/>
    <w:rsid w:val="006B2771"/>
    <w:rsid w:val="006B27C1"/>
    <w:rsid w:val="006B2E46"/>
    <w:rsid w:val="006B305D"/>
    <w:rsid w:val="006B36ED"/>
    <w:rsid w:val="006B377E"/>
    <w:rsid w:val="006B39E1"/>
    <w:rsid w:val="006B3A56"/>
    <w:rsid w:val="006B42C1"/>
    <w:rsid w:val="006B4306"/>
    <w:rsid w:val="006B433B"/>
    <w:rsid w:val="006B4BC0"/>
    <w:rsid w:val="006B4F90"/>
    <w:rsid w:val="006B55AD"/>
    <w:rsid w:val="006B5868"/>
    <w:rsid w:val="006B62F3"/>
    <w:rsid w:val="006B6302"/>
    <w:rsid w:val="006B64C5"/>
    <w:rsid w:val="006B6D14"/>
    <w:rsid w:val="006B706C"/>
    <w:rsid w:val="006B71B3"/>
    <w:rsid w:val="006B73F7"/>
    <w:rsid w:val="006B77D7"/>
    <w:rsid w:val="006B7EFB"/>
    <w:rsid w:val="006B7F3F"/>
    <w:rsid w:val="006C0784"/>
    <w:rsid w:val="006C1300"/>
    <w:rsid w:val="006C1383"/>
    <w:rsid w:val="006C153C"/>
    <w:rsid w:val="006C17CC"/>
    <w:rsid w:val="006C1BDB"/>
    <w:rsid w:val="006C1DA9"/>
    <w:rsid w:val="006C229C"/>
    <w:rsid w:val="006C354B"/>
    <w:rsid w:val="006C35A6"/>
    <w:rsid w:val="006C401D"/>
    <w:rsid w:val="006C425A"/>
    <w:rsid w:val="006C4AF7"/>
    <w:rsid w:val="006C4EBA"/>
    <w:rsid w:val="006C529A"/>
    <w:rsid w:val="006C576B"/>
    <w:rsid w:val="006C7575"/>
    <w:rsid w:val="006C7E68"/>
    <w:rsid w:val="006D0C26"/>
    <w:rsid w:val="006D0D89"/>
    <w:rsid w:val="006D0D91"/>
    <w:rsid w:val="006D11DC"/>
    <w:rsid w:val="006D13AC"/>
    <w:rsid w:val="006D1DCC"/>
    <w:rsid w:val="006D317B"/>
    <w:rsid w:val="006D3473"/>
    <w:rsid w:val="006D3548"/>
    <w:rsid w:val="006D39AD"/>
    <w:rsid w:val="006D3B89"/>
    <w:rsid w:val="006D3DA2"/>
    <w:rsid w:val="006D41E2"/>
    <w:rsid w:val="006D447A"/>
    <w:rsid w:val="006D482D"/>
    <w:rsid w:val="006D4C31"/>
    <w:rsid w:val="006D5A36"/>
    <w:rsid w:val="006D5CD5"/>
    <w:rsid w:val="006D6439"/>
    <w:rsid w:val="006D6865"/>
    <w:rsid w:val="006D6BD2"/>
    <w:rsid w:val="006D6C2F"/>
    <w:rsid w:val="006D6FF9"/>
    <w:rsid w:val="006D72C3"/>
    <w:rsid w:val="006D7736"/>
    <w:rsid w:val="006D7821"/>
    <w:rsid w:val="006D7B0F"/>
    <w:rsid w:val="006D7C36"/>
    <w:rsid w:val="006D7CA6"/>
    <w:rsid w:val="006D7EF7"/>
    <w:rsid w:val="006E00AE"/>
    <w:rsid w:val="006E041A"/>
    <w:rsid w:val="006E08CA"/>
    <w:rsid w:val="006E0CD6"/>
    <w:rsid w:val="006E1519"/>
    <w:rsid w:val="006E2210"/>
    <w:rsid w:val="006E2373"/>
    <w:rsid w:val="006E2610"/>
    <w:rsid w:val="006E3109"/>
    <w:rsid w:val="006E399B"/>
    <w:rsid w:val="006E4EFA"/>
    <w:rsid w:val="006E503C"/>
    <w:rsid w:val="006E52DD"/>
    <w:rsid w:val="006E5867"/>
    <w:rsid w:val="006E5B33"/>
    <w:rsid w:val="006E5E92"/>
    <w:rsid w:val="006E5EB1"/>
    <w:rsid w:val="006E61F4"/>
    <w:rsid w:val="006E6398"/>
    <w:rsid w:val="006E6449"/>
    <w:rsid w:val="006E72FB"/>
    <w:rsid w:val="006E77A3"/>
    <w:rsid w:val="006F031E"/>
    <w:rsid w:val="006F072A"/>
    <w:rsid w:val="006F10C3"/>
    <w:rsid w:val="006F11B4"/>
    <w:rsid w:val="006F178C"/>
    <w:rsid w:val="006F18B0"/>
    <w:rsid w:val="006F1C86"/>
    <w:rsid w:val="006F248E"/>
    <w:rsid w:val="006F25A6"/>
    <w:rsid w:val="006F2A44"/>
    <w:rsid w:val="006F3191"/>
    <w:rsid w:val="006F35B8"/>
    <w:rsid w:val="006F35BA"/>
    <w:rsid w:val="006F37A8"/>
    <w:rsid w:val="006F3C5E"/>
    <w:rsid w:val="006F45CB"/>
    <w:rsid w:val="006F4D19"/>
    <w:rsid w:val="006F51C2"/>
    <w:rsid w:val="006F5278"/>
    <w:rsid w:val="006F540F"/>
    <w:rsid w:val="006F5507"/>
    <w:rsid w:val="006F5617"/>
    <w:rsid w:val="006F6019"/>
    <w:rsid w:val="006F61E6"/>
    <w:rsid w:val="006F688B"/>
    <w:rsid w:val="006F69A9"/>
    <w:rsid w:val="006F6F52"/>
    <w:rsid w:val="006F747D"/>
    <w:rsid w:val="006F7533"/>
    <w:rsid w:val="006F7743"/>
    <w:rsid w:val="006F7B8E"/>
    <w:rsid w:val="006F7DC3"/>
    <w:rsid w:val="00700A25"/>
    <w:rsid w:val="00700B80"/>
    <w:rsid w:val="00700C21"/>
    <w:rsid w:val="00700C33"/>
    <w:rsid w:val="0070108B"/>
    <w:rsid w:val="007017AC"/>
    <w:rsid w:val="00701949"/>
    <w:rsid w:val="00701AB6"/>
    <w:rsid w:val="0070229E"/>
    <w:rsid w:val="0070275F"/>
    <w:rsid w:val="007027FC"/>
    <w:rsid w:val="007028F4"/>
    <w:rsid w:val="00703704"/>
    <w:rsid w:val="00703EB3"/>
    <w:rsid w:val="0070408D"/>
    <w:rsid w:val="00704120"/>
    <w:rsid w:val="00704156"/>
    <w:rsid w:val="007041E6"/>
    <w:rsid w:val="00704B17"/>
    <w:rsid w:val="00704FC7"/>
    <w:rsid w:val="00705041"/>
    <w:rsid w:val="007051C3"/>
    <w:rsid w:val="00705BDF"/>
    <w:rsid w:val="00705C35"/>
    <w:rsid w:val="00706909"/>
    <w:rsid w:val="007079E0"/>
    <w:rsid w:val="00710535"/>
    <w:rsid w:val="007106CF"/>
    <w:rsid w:val="00710926"/>
    <w:rsid w:val="00710F1A"/>
    <w:rsid w:val="00711386"/>
    <w:rsid w:val="00711470"/>
    <w:rsid w:val="0071185A"/>
    <w:rsid w:val="00711F3D"/>
    <w:rsid w:val="007126C9"/>
    <w:rsid w:val="007129B8"/>
    <w:rsid w:val="00714138"/>
    <w:rsid w:val="007141A3"/>
    <w:rsid w:val="00714255"/>
    <w:rsid w:val="007143D5"/>
    <w:rsid w:val="007148EB"/>
    <w:rsid w:val="0071493B"/>
    <w:rsid w:val="00714FAB"/>
    <w:rsid w:val="0071547D"/>
    <w:rsid w:val="00715DB7"/>
    <w:rsid w:val="00715E8E"/>
    <w:rsid w:val="00716560"/>
    <w:rsid w:val="00716A31"/>
    <w:rsid w:val="00716ED6"/>
    <w:rsid w:val="007173C4"/>
    <w:rsid w:val="00717E0B"/>
    <w:rsid w:val="0072028F"/>
    <w:rsid w:val="007202E2"/>
    <w:rsid w:val="0072041C"/>
    <w:rsid w:val="00720A99"/>
    <w:rsid w:val="007212E1"/>
    <w:rsid w:val="007217A6"/>
    <w:rsid w:val="007218BE"/>
    <w:rsid w:val="0072198B"/>
    <w:rsid w:val="00721AEF"/>
    <w:rsid w:val="00722A6A"/>
    <w:rsid w:val="00722BD5"/>
    <w:rsid w:val="00722D46"/>
    <w:rsid w:val="00723690"/>
    <w:rsid w:val="00723C20"/>
    <w:rsid w:val="00724129"/>
    <w:rsid w:val="00724557"/>
    <w:rsid w:val="00724D90"/>
    <w:rsid w:val="007251FD"/>
    <w:rsid w:val="00725F02"/>
    <w:rsid w:val="007261AD"/>
    <w:rsid w:val="0072675E"/>
    <w:rsid w:val="00726E86"/>
    <w:rsid w:val="00726F16"/>
    <w:rsid w:val="0072740D"/>
    <w:rsid w:val="007274B2"/>
    <w:rsid w:val="00727C88"/>
    <w:rsid w:val="00727E18"/>
    <w:rsid w:val="00727F5C"/>
    <w:rsid w:val="00730D5C"/>
    <w:rsid w:val="00730E71"/>
    <w:rsid w:val="0073178F"/>
    <w:rsid w:val="00731866"/>
    <w:rsid w:val="00731F32"/>
    <w:rsid w:val="00732051"/>
    <w:rsid w:val="007324B9"/>
    <w:rsid w:val="0073267B"/>
    <w:rsid w:val="0073298A"/>
    <w:rsid w:val="00733017"/>
    <w:rsid w:val="00733506"/>
    <w:rsid w:val="00733A8A"/>
    <w:rsid w:val="00733E56"/>
    <w:rsid w:val="0073453C"/>
    <w:rsid w:val="007348E2"/>
    <w:rsid w:val="00735150"/>
    <w:rsid w:val="00735696"/>
    <w:rsid w:val="0073587D"/>
    <w:rsid w:val="00735E51"/>
    <w:rsid w:val="007360A8"/>
    <w:rsid w:val="00736345"/>
    <w:rsid w:val="0073664D"/>
    <w:rsid w:val="00736A6B"/>
    <w:rsid w:val="00736E58"/>
    <w:rsid w:val="007377DC"/>
    <w:rsid w:val="0073791A"/>
    <w:rsid w:val="00737965"/>
    <w:rsid w:val="00737AE3"/>
    <w:rsid w:val="00740536"/>
    <w:rsid w:val="00740A83"/>
    <w:rsid w:val="00740D60"/>
    <w:rsid w:val="00741397"/>
    <w:rsid w:val="00741B40"/>
    <w:rsid w:val="00741D36"/>
    <w:rsid w:val="00741E2D"/>
    <w:rsid w:val="00741E37"/>
    <w:rsid w:val="007422F8"/>
    <w:rsid w:val="0074296E"/>
    <w:rsid w:val="00742B77"/>
    <w:rsid w:val="00742F1A"/>
    <w:rsid w:val="00743D0A"/>
    <w:rsid w:val="00743D73"/>
    <w:rsid w:val="00743EBE"/>
    <w:rsid w:val="00744A69"/>
    <w:rsid w:val="00744F5B"/>
    <w:rsid w:val="00745050"/>
    <w:rsid w:val="00745557"/>
    <w:rsid w:val="0074569E"/>
    <w:rsid w:val="007458CB"/>
    <w:rsid w:val="0074595C"/>
    <w:rsid w:val="00745A21"/>
    <w:rsid w:val="00745CC0"/>
    <w:rsid w:val="0074622F"/>
    <w:rsid w:val="007467D7"/>
    <w:rsid w:val="00746A00"/>
    <w:rsid w:val="0074709B"/>
    <w:rsid w:val="007476AC"/>
    <w:rsid w:val="00747B07"/>
    <w:rsid w:val="007501D6"/>
    <w:rsid w:val="007504D1"/>
    <w:rsid w:val="007505D7"/>
    <w:rsid w:val="00750823"/>
    <w:rsid w:val="00750B26"/>
    <w:rsid w:val="007521E1"/>
    <w:rsid w:val="0075228A"/>
    <w:rsid w:val="00752D07"/>
    <w:rsid w:val="007538A2"/>
    <w:rsid w:val="00754427"/>
    <w:rsid w:val="00754777"/>
    <w:rsid w:val="0075486C"/>
    <w:rsid w:val="00755421"/>
    <w:rsid w:val="007555C0"/>
    <w:rsid w:val="00755676"/>
    <w:rsid w:val="007559B0"/>
    <w:rsid w:val="007559CC"/>
    <w:rsid w:val="007562EB"/>
    <w:rsid w:val="00756391"/>
    <w:rsid w:val="0075699C"/>
    <w:rsid w:val="00756EB4"/>
    <w:rsid w:val="0075716C"/>
    <w:rsid w:val="0075770D"/>
    <w:rsid w:val="00757871"/>
    <w:rsid w:val="00757A98"/>
    <w:rsid w:val="00757D71"/>
    <w:rsid w:val="00757DFB"/>
    <w:rsid w:val="00757F8D"/>
    <w:rsid w:val="0076162D"/>
    <w:rsid w:val="00762B64"/>
    <w:rsid w:val="00762D33"/>
    <w:rsid w:val="00763644"/>
    <w:rsid w:val="00763ECB"/>
    <w:rsid w:val="00764006"/>
    <w:rsid w:val="00764998"/>
    <w:rsid w:val="00764CE0"/>
    <w:rsid w:val="00764E41"/>
    <w:rsid w:val="00764F79"/>
    <w:rsid w:val="00765BD2"/>
    <w:rsid w:val="00765C12"/>
    <w:rsid w:val="00765D5D"/>
    <w:rsid w:val="00765EFA"/>
    <w:rsid w:val="00765F33"/>
    <w:rsid w:val="00766178"/>
    <w:rsid w:val="007661B1"/>
    <w:rsid w:val="007668B0"/>
    <w:rsid w:val="00767183"/>
    <w:rsid w:val="00767335"/>
    <w:rsid w:val="00767769"/>
    <w:rsid w:val="00767A91"/>
    <w:rsid w:val="00767B16"/>
    <w:rsid w:val="00767BFD"/>
    <w:rsid w:val="00767D4C"/>
    <w:rsid w:val="007702D0"/>
    <w:rsid w:val="00770C37"/>
    <w:rsid w:val="00771453"/>
    <w:rsid w:val="00771B06"/>
    <w:rsid w:val="00771CC4"/>
    <w:rsid w:val="00771E72"/>
    <w:rsid w:val="0077243B"/>
    <w:rsid w:val="00772485"/>
    <w:rsid w:val="0077261A"/>
    <w:rsid w:val="00772CE1"/>
    <w:rsid w:val="007731D4"/>
    <w:rsid w:val="007732A3"/>
    <w:rsid w:val="0077388A"/>
    <w:rsid w:val="00773E52"/>
    <w:rsid w:val="00773FF7"/>
    <w:rsid w:val="0077489E"/>
    <w:rsid w:val="00774AAB"/>
    <w:rsid w:val="00774B6C"/>
    <w:rsid w:val="007752EB"/>
    <w:rsid w:val="0077554C"/>
    <w:rsid w:val="00775AF2"/>
    <w:rsid w:val="00775E25"/>
    <w:rsid w:val="0077638F"/>
    <w:rsid w:val="007765E4"/>
    <w:rsid w:val="0077749F"/>
    <w:rsid w:val="0077773B"/>
    <w:rsid w:val="00777A38"/>
    <w:rsid w:val="00777AB5"/>
    <w:rsid w:val="00777DD3"/>
    <w:rsid w:val="00777ECB"/>
    <w:rsid w:val="00780045"/>
    <w:rsid w:val="0078004E"/>
    <w:rsid w:val="00780D84"/>
    <w:rsid w:val="00780E36"/>
    <w:rsid w:val="00780E89"/>
    <w:rsid w:val="00780E94"/>
    <w:rsid w:val="00781722"/>
    <w:rsid w:val="00781DF7"/>
    <w:rsid w:val="00782189"/>
    <w:rsid w:val="00782DB3"/>
    <w:rsid w:val="00782E87"/>
    <w:rsid w:val="0078320D"/>
    <w:rsid w:val="007835EC"/>
    <w:rsid w:val="00783A68"/>
    <w:rsid w:val="00783E0E"/>
    <w:rsid w:val="00783E8E"/>
    <w:rsid w:val="007840D3"/>
    <w:rsid w:val="00784C3A"/>
    <w:rsid w:val="00784CA8"/>
    <w:rsid w:val="00785AF7"/>
    <w:rsid w:val="007860A8"/>
    <w:rsid w:val="007861F1"/>
    <w:rsid w:val="00786933"/>
    <w:rsid w:val="007869C1"/>
    <w:rsid w:val="00786BB4"/>
    <w:rsid w:val="00786FBA"/>
    <w:rsid w:val="007876E0"/>
    <w:rsid w:val="00787AF1"/>
    <w:rsid w:val="00787B08"/>
    <w:rsid w:val="00787B4B"/>
    <w:rsid w:val="007901AC"/>
    <w:rsid w:val="007908F7"/>
    <w:rsid w:val="00791409"/>
    <w:rsid w:val="007914F1"/>
    <w:rsid w:val="00791767"/>
    <w:rsid w:val="00791774"/>
    <w:rsid w:val="00791CB2"/>
    <w:rsid w:val="007921B7"/>
    <w:rsid w:val="0079241F"/>
    <w:rsid w:val="0079265A"/>
    <w:rsid w:val="00792681"/>
    <w:rsid w:val="00792B3D"/>
    <w:rsid w:val="00792D79"/>
    <w:rsid w:val="00793128"/>
    <w:rsid w:val="007937C0"/>
    <w:rsid w:val="007939A9"/>
    <w:rsid w:val="00793B15"/>
    <w:rsid w:val="00793E15"/>
    <w:rsid w:val="007946BB"/>
    <w:rsid w:val="007946BE"/>
    <w:rsid w:val="00795068"/>
    <w:rsid w:val="00795085"/>
    <w:rsid w:val="0079541C"/>
    <w:rsid w:val="007956C1"/>
    <w:rsid w:val="007957AF"/>
    <w:rsid w:val="00795B91"/>
    <w:rsid w:val="0079622D"/>
    <w:rsid w:val="0079659B"/>
    <w:rsid w:val="00796F9A"/>
    <w:rsid w:val="00797024"/>
    <w:rsid w:val="00797087"/>
    <w:rsid w:val="0079787F"/>
    <w:rsid w:val="007A0383"/>
    <w:rsid w:val="007A0673"/>
    <w:rsid w:val="007A0B3B"/>
    <w:rsid w:val="007A0CF6"/>
    <w:rsid w:val="007A0F6B"/>
    <w:rsid w:val="007A11D1"/>
    <w:rsid w:val="007A17B4"/>
    <w:rsid w:val="007A188A"/>
    <w:rsid w:val="007A1C69"/>
    <w:rsid w:val="007A1E3E"/>
    <w:rsid w:val="007A27C1"/>
    <w:rsid w:val="007A2BC7"/>
    <w:rsid w:val="007A31DC"/>
    <w:rsid w:val="007A397F"/>
    <w:rsid w:val="007A405A"/>
    <w:rsid w:val="007A48CF"/>
    <w:rsid w:val="007A4DED"/>
    <w:rsid w:val="007A4DF3"/>
    <w:rsid w:val="007A538C"/>
    <w:rsid w:val="007A560B"/>
    <w:rsid w:val="007A58CC"/>
    <w:rsid w:val="007A6186"/>
    <w:rsid w:val="007A65C7"/>
    <w:rsid w:val="007A6866"/>
    <w:rsid w:val="007A6F48"/>
    <w:rsid w:val="007A70F4"/>
    <w:rsid w:val="007A72B9"/>
    <w:rsid w:val="007A7363"/>
    <w:rsid w:val="007A73BC"/>
    <w:rsid w:val="007A7507"/>
    <w:rsid w:val="007A7BDE"/>
    <w:rsid w:val="007B0334"/>
    <w:rsid w:val="007B05A1"/>
    <w:rsid w:val="007B0916"/>
    <w:rsid w:val="007B0A8A"/>
    <w:rsid w:val="007B0C49"/>
    <w:rsid w:val="007B0EBB"/>
    <w:rsid w:val="007B1083"/>
    <w:rsid w:val="007B17C4"/>
    <w:rsid w:val="007B184C"/>
    <w:rsid w:val="007B19A1"/>
    <w:rsid w:val="007B19A3"/>
    <w:rsid w:val="007B19BD"/>
    <w:rsid w:val="007B1C85"/>
    <w:rsid w:val="007B1FBA"/>
    <w:rsid w:val="007B22E9"/>
    <w:rsid w:val="007B2410"/>
    <w:rsid w:val="007B28CB"/>
    <w:rsid w:val="007B33A3"/>
    <w:rsid w:val="007B3E33"/>
    <w:rsid w:val="007B4784"/>
    <w:rsid w:val="007B49BA"/>
    <w:rsid w:val="007B4E11"/>
    <w:rsid w:val="007B4EA3"/>
    <w:rsid w:val="007B4EE7"/>
    <w:rsid w:val="007B57D3"/>
    <w:rsid w:val="007B668C"/>
    <w:rsid w:val="007B6760"/>
    <w:rsid w:val="007B6C6D"/>
    <w:rsid w:val="007B6D5A"/>
    <w:rsid w:val="007B72EF"/>
    <w:rsid w:val="007B7606"/>
    <w:rsid w:val="007B7CB4"/>
    <w:rsid w:val="007C0C07"/>
    <w:rsid w:val="007C0F30"/>
    <w:rsid w:val="007C1022"/>
    <w:rsid w:val="007C1110"/>
    <w:rsid w:val="007C1252"/>
    <w:rsid w:val="007C143B"/>
    <w:rsid w:val="007C15EE"/>
    <w:rsid w:val="007C1B70"/>
    <w:rsid w:val="007C1E20"/>
    <w:rsid w:val="007C2A2C"/>
    <w:rsid w:val="007C2F77"/>
    <w:rsid w:val="007C2FA0"/>
    <w:rsid w:val="007C32C6"/>
    <w:rsid w:val="007C3388"/>
    <w:rsid w:val="007C3480"/>
    <w:rsid w:val="007C36BC"/>
    <w:rsid w:val="007C3CE4"/>
    <w:rsid w:val="007C452E"/>
    <w:rsid w:val="007C4AEC"/>
    <w:rsid w:val="007C4E38"/>
    <w:rsid w:val="007C51FC"/>
    <w:rsid w:val="007C547C"/>
    <w:rsid w:val="007C574A"/>
    <w:rsid w:val="007C5840"/>
    <w:rsid w:val="007C5CF2"/>
    <w:rsid w:val="007C7578"/>
    <w:rsid w:val="007C7899"/>
    <w:rsid w:val="007D0126"/>
    <w:rsid w:val="007D01AF"/>
    <w:rsid w:val="007D0592"/>
    <w:rsid w:val="007D0744"/>
    <w:rsid w:val="007D1024"/>
    <w:rsid w:val="007D20A4"/>
    <w:rsid w:val="007D2E3C"/>
    <w:rsid w:val="007D3227"/>
    <w:rsid w:val="007D363E"/>
    <w:rsid w:val="007D37B4"/>
    <w:rsid w:val="007D4499"/>
    <w:rsid w:val="007D452A"/>
    <w:rsid w:val="007D4C16"/>
    <w:rsid w:val="007D4D4A"/>
    <w:rsid w:val="007D557E"/>
    <w:rsid w:val="007D5E51"/>
    <w:rsid w:val="007D5ED1"/>
    <w:rsid w:val="007D60E4"/>
    <w:rsid w:val="007D60FB"/>
    <w:rsid w:val="007D635E"/>
    <w:rsid w:val="007D6565"/>
    <w:rsid w:val="007D6F67"/>
    <w:rsid w:val="007D7443"/>
    <w:rsid w:val="007D7490"/>
    <w:rsid w:val="007D76F3"/>
    <w:rsid w:val="007D78AE"/>
    <w:rsid w:val="007E006C"/>
    <w:rsid w:val="007E0372"/>
    <w:rsid w:val="007E0412"/>
    <w:rsid w:val="007E1498"/>
    <w:rsid w:val="007E2553"/>
    <w:rsid w:val="007E2C3F"/>
    <w:rsid w:val="007E2D5E"/>
    <w:rsid w:val="007E2E9F"/>
    <w:rsid w:val="007E3009"/>
    <w:rsid w:val="007E3176"/>
    <w:rsid w:val="007E3786"/>
    <w:rsid w:val="007E3A78"/>
    <w:rsid w:val="007E3ACA"/>
    <w:rsid w:val="007E3C02"/>
    <w:rsid w:val="007E3FC4"/>
    <w:rsid w:val="007E3FE2"/>
    <w:rsid w:val="007E425A"/>
    <w:rsid w:val="007E4744"/>
    <w:rsid w:val="007E480B"/>
    <w:rsid w:val="007E4886"/>
    <w:rsid w:val="007E4CBD"/>
    <w:rsid w:val="007E4E5A"/>
    <w:rsid w:val="007E53AA"/>
    <w:rsid w:val="007E5A58"/>
    <w:rsid w:val="007E6234"/>
    <w:rsid w:val="007E62DA"/>
    <w:rsid w:val="007E6C4D"/>
    <w:rsid w:val="007E73BF"/>
    <w:rsid w:val="007E7BA1"/>
    <w:rsid w:val="007F00EE"/>
    <w:rsid w:val="007F0577"/>
    <w:rsid w:val="007F06E5"/>
    <w:rsid w:val="007F0FCF"/>
    <w:rsid w:val="007F1261"/>
    <w:rsid w:val="007F13E3"/>
    <w:rsid w:val="007F14A2"/>
    <w:rsid w:val="007F1AC6"/>
    <w:rsid w:val="007F2528"/>
    <w:rsid w:val="007F2849"/>
    <w:rsid w:val="007F29CA"/>
    <w:rsid w:val="007F2F33"/>
    <w:rsid w:val="007F32CA"/>
    <w:rsid w:val="007F33B6"/>
    <w:rsid w:val="007F345F"/>
    <w:rsid w:val="007F3944"/>
    <w:rsid w:val="007F39B2"/>
    <w:rsid w:val="007F405E"/>
    <w:rsid w:val="007F4271"/>
    <w:rsid w:val="007F44F6"/>
    <w:rsid w:val="007F4966"/>
    <w:rsid w:val="007F5032"/>
    <w:rsid w:val="007F5059"/>
    <w:rsid w:val="007F505B"/>
    <w:rsid w:val="007F5458"/>
    <w:rsid w:val="007F5574"/>
    <w:rsid w:val="007F5D56"/>
    <w:rsid w:val="007F5E75"/>
    <w:rsid w:val="007F64EB"/>
    <w:rsid w:val="007F6C8E"/>
    <w:rsid w:val="007F74AD"/>
    <w:rsid w:val="007F7916"/>
    <w:rsid w:val="007F7E11"/>
    <w:rsid w:val="008006A8"/>
    <w:rsid w:val="008015F0"/>
    <w:rsid w:val="008018E4"/>
    <w:rsid w:val="00801A59"/>
    <w:rsid w:val="00801C65"/>
    <w:rsid w:val="00802115"/>
    <w:rsid w:val="00802756"/>
    <w:rsid w:val="00802B36"/>
    <w:rsid w:val="0080364F"/>
    <w:rsid w:val="008038C2"/>
    <w:rsid w:val="0080416A"/>
    <w:rsid w:val="00804504"/>
    <w:rsid w:val="00804599"/>
    <w:rsid w:val="008045AF"/>
    <w:rsid w:val="0080481D"/>
    <w:rsid w:val="00804AC1"/>
    <w:rsid w:val="00804D81"/>
    <w:rsid w:val="00805B49"/>
    <w:rsid w:val="00805BB6"/>
    <w:rsid w:val="008061F2"/>
    <w:rsid w:val="00806573"/>
    <w:rsid w:val="00806C27"/>
    <w:rsid w:val="00806C9C"/>
    <w:rsid w:val="00806F16"/>
    <w:rsid w:val="00807158"/>
    <w:rsid w:val="008076A6"/>
    <w:rsid w:val="0080789D"/>
    <w:rsid w:val="008078A0"/>
    <w:rsid w:val="00807CA6"/>
    <w:rsid w:val="00810BEC"/>
    <w:rsid w:val="00810CF1"/>
    <w:rsid w:val="00811AC1"/>
    <w:rsid w:val="00811D3B"/>
    <w:rsid w:val="00811DCD"/>
    <w:rsid w:val="008123B0"/>
    <w:rsid w:val="00812B4C"/>
    <w:rsid w:val="00812F21"/>
    <w:rsid w:val="0081355D"/>
    <w:rsid w:val="008137FB"/>
    <w:rsid w:val="00813AAB"/>
    <w:rsid w:val="00813C02"/>
    <w:rsid w:val="00814021"/>
    <w:rsid w:val="0081425E"/>
    <w:rsid w:val="00814323"/>
    <w:rsid w:val="008143BE"/>
    <w:rsid w:val="0081479F"/>
    <w:rsid w:val="00814A60"/>
    <w:rsid w:val="008156D5"/>
    <w:rsid w:val="0081588F"/>
    <w:rsid w:val="00815F48"/>
    <w:rsid w:val="00815FEA"/>
    <w:rsid w:val="008160C9"/>
    <w:rsid w:val="00816593"/>
    <w:rsid w:val="00816BB0"/>
    <w:rsid w:val="00816C7F"/>
    <w:rsid w:val="00816DC4"/>
    <w:rsid w:val="008171E0"/>
    <w:rsid w:val="00817299"/>
    <w:rsid w:val="00820725"/>
    <w:rsid w:val="00820A30"/>
    <w:rsid w:val="00820B63"/>
    <w:rsid w:val="00820FFC"/>
    <w:rsid w:val="008215E4"/>
    <w:rsid w:val="00821D5E"/>
    <w:rsid w:val="00822177"/>
    <w:rsid w:val="0082223C"/>
    <w:rsid w:val="00822538"/>
    <w:rsid w:val="008225BC"/>
    <w:rsid w:val="00822795"/>
    <w:rsid w:val="008229FE"/>
    <w:rsid w:val="00822C64"/>
    <w:rsid w:val="00822D27"/>
    <w:rsid w:val="00822F27"/>
    <w:rsid w:val="00823D8E"/>
    <w:rsid w:val="0082455B"/>
    <w:rsid w:val="00824561"/>
    <w:rsid w:val="00824623"/>
    <w:rsid w:val="0082466F"/>
    <w:rsid w:val="008248D3"/>
    <w:rsid w:val="00825272"/>
    <w:rsid w:val="008258C3"/>
    <w:rsid w:val="00825B71"/>
    <w:rsid w:val="00825BB7"/>
    <w:rsid w:val="00825CC6"/>
    <w:rsid w:val="00826892"/>
    <w:rsid w:val="00827B80"/>
    <w:rsid w:val="00827D59"/>
    <w:rsid w:val="008305CB"/>
    <w:rsid w:val="008307A9"/>
    <w:rsid w:val="00830E2B"/>
    <w:rsid w:val="008313BC"/>
    <w:rsid w:val="00832994"/>
    <w:rsid w:val="00832F70"/>
    <w:rsid w:val="008330F1"/>
    <w:rsid w:val="00833577"/>
    <w:rsid w:val="00833B08"/>
    <w:rsid w:val="00833E93"/>
    <w:rsid w:val="00833F41"/>
    <w:rsid w:val="00834653"/>
    <w:rsid w:val="008349C4"/>
    <w:rsid w:val="00834C0D"/>
    <w:rsid w:val="00834EED"/>
    <w:rsid w:val="00835045"/>
    <w:rsid w:val="00835215"/>
    <w:rsid w:val="008353B7"/>
    <w:rsid w:val="00835692"/>
    <w:rsid w:val="0083574E"/>
    <w:rsid w:val="008359E1"/>
    <w:rsid w:val="00836CD5"/>
    <w:rsid w:val="00836DD5"/>
    <w:rsid w:val="008373AA"/>
    <w:rsid w:val="008375FB"/>
    <w:rsid w:val="00837E46"/>
    <w:rsid w:val="00840351"/>
    <w:rsid w:val="00840734"/>
    <w:rsid w:val="00841246"/>
    <w:rsid w:val="008412AD"/>
    <w:rsid w:val="008417FB"/>
    <w:rsid w:val="00841C79"/>
    <w:rsid w:val="00841EF8"/>
    <w:rsid w:val="008426CE"/>
    <w:rsid w:val="008427B2"/>
    <w:rsid w:val="00842B56"/>
    <w:rsid w:val="00842BE9"/>
    <w:rsid w:val="008430A6"/>
    <w:rsid w:val="0084361B"/>
    <w:rsid w:val="008437BB"/>
    <w:rsid w:val="00843EF3"/>
    <w:rsid w:val="00843FE7"/>
    <w:rsid w:val="00844797"/>
    <w:rsid w:val="008450ED"/>
    <w:rsid w:val="008455AD"/>
    <w:rsid w:val="00845668"/>
    <w:rsid w:val="00845690"/>
    <w:rsid w:val="00845C40"/>
    <w:rsid w:val="0084621B"/>
    <w:rsid w:val="00847233"/>
    <w:rsid w:val="0084745E"/>
    <w:rsid w:val="00847669"/>
    <w:rsid w:val="008479A1"/>
    <w:rsid w:val="00847F60"/>
    <w:rsid w:val="008504E2"/>
    <w:rsid w:val="00850937"/>
    <w:rsid w:val="0085097D"/>
    <w:rsid w:val="00850C94"/>
    <w:rsid w:val="00850F4A"/>
    <w:rsid w:val="008510F6"/>
    <w:rsid w:val="00851846"/>
    <w:rsid w:val="008518D6"/>
    <w:rsid w:val="00851C97"/>
    <w:rsid w:val="00852125"/>
    <w:rsid w:val="008523A0"/>
    <w:rsid w:val="00852623"/>
    <w:rsid w:val="00852A3F"/>
    <w:rsid w:val="00852DF6"/>
    <w:rsid w:val="00852FE9"/>
    <w:rsid w:val="00852FEE"/>
    <w:rsid w:val="008531AE"/>
    <w:rsid w:val="008532D3"/>
    <w:rsid w:val="00854A57"/>
    <w:rsid w:val="00855042"/>
    <w:rsid w:val="00855530"/>
    <w:rsid w:val="00855E47"/>
    <w:rsid w:val="00855F25"/>
    <w:rsid w:val="00856524"/>
    <w:rsid w:val="008567D8"/>
    <w:rsid w:val="0085683F"/>
    <w:rsid w:val="00856A2C"/>
    <w:rsid w:val="00857136"/>
    <w:rsid w:val="00857362"/>
    <w:rsid w:val="00857A89"/>
    <w:rsid w:val="00857DC5"/>
    <w:rsid w:val="008602B2"/>
    <w:rsid w:val="00860E4A"/>
    <w:rsid w:val="00860E66"/>
    <w:rsid w:val="00860F44"/>
    <w:rsid w:val="00861097"/>
    <w:rsid w:val="00861340"/>
    <w:rsid w:val="00861789"/>
    <w:rsid w:val="00861AE8"/>
    <w:rsid w:val="00862013"/>
    <w:rsid w:val="00862142"/>
    <w:rsid w:val="0086278C"/>
    <w:rsid w:val="00862D2D"/>
    <w:rsid w:val="00863306"/>
    <w:rsid w:val="00863A4E"/>
    <w:rsid w:val="00863F88"/>
    <w:rsid w:val="00864032"/>
    <w:rsid w:val="00864498"/>
    <w:rsid w:val="00864BA6"/>
    <w:rsid w:val="00864BCD"/>
    <w:rsid w:val="00864EF0"/>
    <w:rsid w:val="00865DF9"/>
    <w:rsid w:val="008665FB"/>
    <w:rsid w:val="00866D88"/>
    <w:rsid w:val="00867486"/>
    <w:rsid w:val="008674C1"/>
    <w:rsid w:val="00867714"/>
    <w:rsid w:val="00870136"/>
    <w:rsid w:val="008703F1"/>
    <w:rsid w:val="00871DB6"/>
    <w:rsid w:val="008725E9"/>
    <w:rsid w:val="00872D5A"/>
    <w:rsid w:val="008736EF"/>
    <w:rsid w:val="008741D6"/>
    <w:rsid w:val="00874BD8"/>
    <w:rsid w:val="00874DE5"/>
    <w:rsid w:val="00874EF1"/>
    <w:rsid w:val="00875286"/>
    <w:rsid w:val="00875DA6"/>
    <w:rsid w:val="00875F50"/>
    <w:rsid w:val="0087625A"/>
    <w:rsid w:val="00876617"/>
    <w:rsid w:val="00876634"/>
    <w:rsid w:val="00876672"/>
    <w:rsid w:val="00876E54"/>
    <w:rsid w:val="0087703B"/>
    <w:rsid w:val="008772B1"/>
    <w:rsid w:val="0087731C"/>
    <w:rsid w:val="008774E6"/>
    <w:rsid w:val="008776D6"/>
    <w:rsid w:val="00877B2E"/>
    <w:rsid w:val="00877E3B"/>
    <w:rsid w:val="00877FBE"/>
    <w:rsid w:val="0088015F"/>
    <w:rsid w:val="00880405"/>
    <w:rsid w:val="00880833"/>
    <w:rsid w:val="008809B0"/>
    <w:rsid w:val="00880CC6"/>
    <w:rsid w:val="00880DBB"/>
    <w:rsid w:val="00881266"/>
    <w:rsid w:val="008813FB"/>
    <w:rsid w:val="0088172B"/>
    <w:rsid w:val="00881821"/>
    <w:rsid w:val="00881D2E"/>
    <w:rsid w:val="00881EE3"/>
    <w:rsid w:val="00882755"/>
    <w:rsid w:val="00882BDA"/>
    <w:rsid w:val="00883285"/>
    <w:rsid w:val="00883659"/>
    <w:rsid w:val="008836E6"/>
    <w:rsid w:val="0088379E"/>
    <w:rsid w:val="008840B4"/>
    <w:rsid w:val="0088477E"/>
    <w:rsid w:val="00884CD0"/>
    <w:rsid w:val="00885874"/>
    <w:rsid w:val="00885A6D"/>
    <w:rsid w:val="00885FB0"/>
    <w:rsid w:val="00886B78"/>
    <w:rsid w:val="00886BDE"/>
    <w:rsid w:val="00886CA0"/>
    <w:rsid w:val="00886E7D"/>
    <w:rsid w:val="00886EA6"/>
    <w:rsid w:val="00886FBE"/>
    <w:rsid w:val="008875E0"/>
    <w:rsid w:val="00887803"/>
    <w:rsid w:val="0089004B"/>
    <w:rsid w:val="00890327"/>
    <w:rsid w:val="008903B8"/>
    <w:rsid w:val="008909C8"/>
    <w:rsid w:val="00890AB5"/>
    <w:rsid w:val="0089131E"/>
    <w:rsid w:val="0089146B"/>
    <w:rsid w:val="00891FF2"/>
    <w:rsid w:val="00892179"/>
    <w:rsid w:val="00892939"/>
    <w:rsid w:val="00892ED8"/>
    <w:rsid w:val="008938C3"/>
    <w:rsid w:val="00893EE6"/>
    <w:rsid w:val="008944EE"/>
    <w:rsid w:val="00894542"/>
    <w:rsid w:val="00895193"/>
    <w:rsid w:val="0089596C"/>
    <w:rsid w:val="00895EC0"/>
    <w:rsid w:val="0089643A"/>
    <w:rsid w:val="00896469"/>
    <w:rsid w:val="0089653B"/>
    <w:rsid w:val="00896ECB"/>
    <w:rsid w:val="00897114"/>
    <w:rsid w:val="0089771E"/>
    <w:rsid w:val="00897A94"/>
    <w:rsid w:val="00897D6F"/>
    <w:rsid w:val="008A0544"/>
    <w:rsid w:val="008A0829"/>
    <w:rsid w:val="008A0C2E"/>
    <w:rsid w:val="008A1054"/>
    <w:rsid w:val="008A113B"/>
    <w:rsid w:val="008A1AFC"/>
    <w:rsid w:val="008A1E49"/>
    <w:rsid w:val="008A1F2F"/>
    <w:rsid w:val="008A1FB2"/>
    <w:rsid w:val="008A2F47"/>
    <w:rsid w:val="008A342D"/>
    <w:rsid w:val="008A3478"/>
    <w:rsid w:val="008A3595"/>
    <w:rsid w:val="008A38E1"/>
    <w:rsid w:val="008A3DD0"/>
    <w:rsid w:val="008A4881"/>
    <w:rsid w:val="008A49D9"/>
    <w:rsid w:val="008A4F58"/>
    <w:rsid w:val="008A4FE4"/>
    <w:rsid w:val="008A51B4"/>
    <w:rsid w:val="008A52A4"/>
    <w:rsid w:val="008A530E"/>
    <w:rsid w:val="008A5602"/>
    <w:rsid w:val="008A5AC7"/>
    <w:rsid w:val="008A63E3"/>
    <w:rsid w:val="008A6A1E"/>
    <w:rsid w:val="008A6B56"/>
    <w:rsid w:val="008A7358"/>
    <w:rsid w:val="008A7503"/>
    <w:rsid w:val="008A79A5"/>
    <w:rsid w:val="008A79B2"/>
    <w:rsid w:val="008A7D86"/>
    <w:rsid w:val="008A7DCB"/>
    <w:rsid w:val="008B028E"/>
    <w:rsid w:val="008B14E7"/>
    <w:rsid w:val="008B1E5F"/>
    <w:rsid w:val="008B1F82"/>
    <w:rsid w:val="008B2246"/>
    <w:rsid w:val="008B22EE"/>
    <w:rsid w:val="008B33FF"/>
    <w:rsid w:val="008B3531"/>
    <w:rsid w:val="008B39B9"/>
    <w:rsid w:val="008B43C0"/>
    <w:rsid w:val="008B4A2F"/>
    <w:rsid w:val="008B4D2D"/>
    <w:rsid w:val="008B5039"/>
    <w:rsid w:val="008B548C"/>
    <w:rsid w:val="008B54B2"/>
    <w:rsid w:val="008B56DF"/>
    <w:rsid w:val="008B5ACC"/>
    <w:rsid w:val="008B5C36"/>
    <w:rsid w:val="008B5C51"/>
    <w:rsid w:val="008B5E39"/>
    <w:rsid w:val="008B5E50"/>
    <w:rsid w:val="008B5E96"/>
    <w:rsid w:val="008B5F80"/>
    <w:rsid w:val="008B664C"/>
    <w:rsid w:val="008B6677"/>
    <w:rsid w:val="008B6ED3"/>
    <w:rsid w:val="008B7FF3"/>
    <w:rsid w:val="008C0164"/>
    <w:rsid w:val="008C0E2A"/>
    <w:rsid w:val="008C0F5E"/>
    <w:rsid w:val="008C1761"/>
    <w:rsid w:val="008C18AB"/>
    <w:rsid w:val="008C1A5E"/>
    <w:rsid w:val="008C1CB2"/>
    <w:rsid w:val="008C22A0"/>
    <w:rsid w:val="008C2500"/>
    <w:rsid w:val="008C325B"/>
    <w:rsid w:val="008C3350"/>
    <w:rsid w:val="008C34E2"/>
    <w:rsid w:val="008C3730"/>
    <w:rsid w:val="008C3FB2"/>
    <w:rsid w:val="008C438B"/>
    <w:rsid w:val="008C4451"/>
    <w:rsid w:val="008C4853"/>
    <w:rsid w:val="008C4E58"/>
    <w:rsid w:val="008C58B9"/>
    <w:rsid w:val="008C5C20"/>
    <w:rsid w:val="008C604E"/>
    <w:rsid w:val="008C63EF"/>
    <w:rsid w:val="008C6890"/>
    <w:rsid w:val="008C6D07"/>
    <w:rsid w:val="008C6EBC"/>
    <w:rsid w:val="008C75E9"/>
    <w:rsid w:val="008C78B6"/>
    <w:rsid w:val="008C7F88"/>
    <w:rsid w:val="008D0044"/>
    <w:rsid w:val="008D0307"/>
    <w:rsid w:val="008D0548"/>
    <w:rsid w:val="008D07D0"/>
    <w:rsid w:val="008D1259"/>
    <w:rsid w:val="008D14B9"/>
    <w:rsid w:val="008D15C0"/>
    <w:rsid w:val="008D239E"/>
    <w:rsid w:val="008D2793"/>
    <w:rsid w:val="008D2885"/>
    <w:rsid w:val="008D3330"/>
    <w:rsid w:val="008D40BF"/>
    <w:rsid w:val="008D4514"/>
    <w:rsid w:val="008D4528"/>
    <w:rsid w:val="008D4813"/>
    <w:rsid w:val="008D51A2"/>
    <w:rsid w:val="008D5429"/>
    <w:rsid w:val="008D5461"/>
    <w:rsid w:val="008D55E6"/>
    <w:rsid w:val="008D5811"/>
    <w:rsid w:val="008D5CC9"/>
    <w:rsid w:val="008D6B56"/>
    <w:rsid w:val="008D6FE4"/>
    <w:rsid w:val="008D717B"/>
    <w:rsid w:val="008D751E"/>
    <w:rsid w:val="008D78E3"/>
    <w:rsid w:val="008D7918"/>
    <w:rsid w:val="008D7C83"/>
    <w:rsid w:val="008D7CBF"/>
    <w:rsid w:val="008D7E53"/>
    <w:rsid w:val="008E000E"/>
    <w:rsid w:val="008E0A9D"/>
    <w:rsid w:val="008E137D"/>
    <w:rsid w:val="008E170B"/>
    <w:rsid w:val="008E1A57"/>
    <w:rsid w:val="008E1ECD"/>
    <w:rsid w:val="008E24BD"/>
    <w:rsid w:val="008E2C76"/>
    <w:rsid w:val="008E35FC"/>
    <w:rsid w:val="008E370E"/>
    <w:rsid w:val="008E3AE8"/>
    <w:rsid w:val="008E3E6E"/>
    <w:rsid w:val="008E3EC3"/>
    <w:rsid w:val="008E3F99"/>
    <w:rsid w:val="008E41DF"/>
    <w:rsid w:val="008E4451"/>
    <w:rsid w:val="008E4D2D"/>
    <w:rsid w:val="008E4DE6"/>
    <w:rsid w:val="008E4F7F"/>
    <w:rsid w:val="008E5320"/>
    <w:rsid w:val="008E548C"/>
    <w:rsid w:val="008E5686"/>
    <w:rsid w:val="008E56CD"/>
    <w:rsid w:val="008E613C"/>
    <w:rsid w:val="008E6596"/>
    <w:rsid w:val="008E6912"/>
    <w:rsid w:val="008E6A18"/>
    <w:rsid w:val="008E6D2E"/>
    <w:rsid w:val="008E71B0"/>
    <w:rsid w:val="008F0229"/>
    <w:rsid w:val="008F023A"/>
    <w:rsid w:val="008F0F1F"/>
    <w:rsid w:val="008F12F7"/>
    <w:rsid w:val="008F13FF"/>
    <w:rsid w:val="008F1A7A"/>
    <w:rsid w:val="008F1E46"/>
    <w:rsid w:val="008F2543"/>
    <w:rsid w:val="008F2741"/>
    <w:rsid w:val="008F3B15"/>
    <w:rsid w:val="008F4274"/>
    <w:rsid w:val="008F5C62"/>
    <w:rsid w:val="008F5E6A"/>
    <w:rsid w:val="008F61D4"/>
    <w:rsid w:val="008F631A"/>
    <w:rsid w:val="008F657C"/>
    <w:rsid w:val="008F65CC"/>
    <w:rsid w:val="008F72C7"/>
    <w:rsid w:val="008F7743"/>
    <w:rsid w:val="00900605"/>
    <w:rsid w:val="00900E37"/>
    <w:rsid w:val="0090130A"/>
    <w:rsid w:val="0090151C"/>
    <w:rsid w:val="0090199A"/>
    <w:rsid w:val="00901BE5"/>
    <w:rsid w:val="00901E0B"/>
    <w:rsid w:val="00902039"/>
    <w:rsid w:val="0090222D"/>
    <w:rsid w:val="00904037"/>
    <w:rsid w:val="00904D6A"/>
    <w:rsid w:val="00904F06"/>
    <w:rsid w:val="00905016"/>
    <w:rsid w:val="00905161"/>
    <w:rsid w:val="009058AC"/>
    <w:rsid w:val="009059E0"/>
    <w:rsid w:val="00905D69"/>
    <w:rsid w:val="00905FCA"/>
    <w:rsid w:val="00906310"/>
    <w:rsid w:val="009066F5"/>
    <w:rsid w:val="00906CB3"/>
    <w:rsid w:val="00907015"/>
    <w:rsid w:val="009070A9"/>
    <w:rsid w:val="00907159"/>
    <w:rsid w:val="009078F0"/>
    <w:rsid w:val="00907F9D"/>
    <w:rsid w:val="00910281"/>
    <w:rsid w:val="0091055E"/>
    <w:rsid w:val="00911197"/>
    <w:rsid w:val="009111C9"/>
    <w:rsid w:val="00911442"/>
    <w:rsid w:val="00911660"/>
    <w:rsid w:val="00911C6A"/>
    <w:rsid w:val="009121F2"/>
    <w:rsid w:val="009123DE"/>
    <w:rsid w:val="00912C03"/>
    <w:rsid w:val="009133F3"/>
    <w:rsid w:val="0091361F"/>
    <w:rsid w:val="009138B2"/>
    <w:rsid w:val="00913AB5"/>
    <w:rsid w:val="00913D63"/>
    <w:rsid w:val="00914003"/>
    <w:rsid w:val="0091416A"/>
    <w:rsid w:val="00914414"/>
    <w:rsid w:val="0091443E"/>
    <w:rsid w:val="00914618"/>
    <w:rsid w:val="009149D9"/>
    <w:rsid w:val="00914CB6"/>
    <w:rsid w:val="00915143"/>
    <w:rsid w:val="009155AA"/>
    <w:rsid w:val="009157FE"/>
    <w:rsid w:val="00915ABC"/>
    <w:rsid w:val="00915DD4"/>
    <w:rsid w:val="00916CBC"/>
    <w:rsid w:val="009171C8"/>
    <w:rsid w:val="00917210"/>
    <w:rsid w:val="00917523"/>
    <w:rsid w:val="00917806"/>
    <w:rsid w:val="00917B1E"/>
    <w:rsid w:val="00917E55"/>
    <w:rsid w:val="0092001E"/>
    <w:rsid w:val="0092042E"/>
    <w:rsid w:val="00920B0C"/>
    <w:rsid w:val="00920DCD"/>
    <w:rsid w:val="00920F06"/>
    <w:rsid w:val="00920F0E"/>
    <w:rsid w:val="00921F4F"/>
    <w:rsid w:val="00922629"/>
    <w:rsid w:val="00922692"/>
    <w:rsid w:val="0092317F"/>
    <w:rsid w:val="00923630"/>
    <w:rsid w:val="00923944"/>
    <w:rsid w:val="00923CAE"/>
    <w:rsid w:val="00923E97"/>
    <w:rsid w:val="00923F47"/>
    <w:rsid w:val="00924040"/>
    <w:rsid w:val="009247F7"/>
    <w:rsid w:val="0092517F"/>
    <w:rsid w:val="00925242"/>
    <w:rsid w:val="00925BDF"/>
    <w:rsid w:val="009260D0"/>
    <w:rsid w:val="00926324"/>
    <w:rsid w:val="009263DB"/>
    <w:rsid w:val="00926AB0"/>
    <w:rsid w:val="00926C18"/>
    <w:rsid w:val="00927252"/>
    <w:rsid w:val="0092732B"/>
    <w:rsid w:val="009274F6"/>
    <w:rsid w:val="00927528"/>
    <w:rsid w:val="0092787F"/>
    <w:rsid w:val="009279C5"/>
    <w:rsid w:val="009307A8"/>
    <w:rsid w:val="009307C6"/>
    <w:rsid w:val="0093095D"/>
    <w:rsid w:val="00930CA4"/>
    <w:rsid w:val="00930E73"/>
    <w:rsid w:val="00930FBF"/>
    <w:rsid w:val="00931397"/>
    <w:rsid w:val="00931A0E"/>
    <w:rsid w:val="00931CF7"/>
    <w:rsid w:val="00931E98"/>
    <w:rsid w:val="00931F31"/>
    <w:rsid w:val="00931FCB"/>
    <w:rsid w:val="00932193"/>
    <w:rsid w:val="009325CB"/>
    <w:rsid w:val="009327BF"/>
    <w:rsid w:val="00932F43"/>
    <w:rsid w:val="00933EA6"/>
    <w:rsid w:val="009344C4"/>
    <w:rsid w:val="00934578"/>
    <w:rsid w:val="009347A1"/>
    <w:rsid w:val="00934BB0"/>
    <w:rsid w:val="00934F83"/>
    <w:rsid w:val="00935638"/>
    <w:rsid w:val="00935C11"/>
    <w:rsid w:val="00936569"/>
    <w:rsid w:val="00936B41"/>
    <w:rsid w:val="00937495"/>
    <w:rsid w:val="0093756E"/>
    <w:rsid w:val="009375F5"/>
    <w:rsid w:val="0093778F"/>
    <w:rsid w:val="009378A1"/>
    <w:rsid w:val="009378E6"/>
    <w:rsid w:val="00937CF3"/>
    <w:rsid w:val="00937F47"/>
    <w:rsid w:val="009402C5"/>
    <w:rsid w:val="00940D38"/>
    <w:rsid w:val="009410DE"/>
    <w:rsid w:val="0094210D"/>
    <w:rsid w:val="009427E5"/>
    <w:rsid w:val="0094297B"/>
    <w:rsid w:val="00942A28"/>
    <w:rsid w:val="00942E9B"/>
    <w:rsid w:val="0094323D"/>
    <w:rsid w:val="009432F6"/>
    <w:rsid w:val="00943333"/>
    <w:rsid w:val="00943489"/>
    <w:rsid w:val="00943E8A"/>
    <w:rsid w:val="009445B5"/>
    <w:rsid w:val="0094463C"/>
    <w:rsid w:val="00945603"/>
    <w:rsid w:val="009458EC"/>
    <w:rsid w:val="00945A6B"/>
    <w:rsid w:val="00945B34"/>
    <w:rsid w:val="00946ADA"/>
    <w:rsid w:val="00946F3D"/>
    <w:rsid w:val="0094725A"/>
    <w:rsid w:val="0094726C"/>
    <w:rsid w:val="00947F4B"/>
    <w:rsid w:val="009503C5"/>
    <w:rsid w:val="00950907"/>
    <w:rsid w:val="00950964"/>
    <w:rsid w:val="00950A10"/>
    <w:rsid w:val="00950F41"/>
    <w:rsid w:val="00951237"/>
    <w:rsid w:val="00951F45"/>
    <w:rsid w:val="0095253B"/>
    <w:rsid w:val="0095283D"/>
    <w:rsid w:val="00952DDB"/>
    <w:rsid w:val="009530EE"/>
    <w:rsid w:val="009535F1"/>
    <w:rsid w:val="009546ED"/>
    <w:rsid w:val="009554F4"/>
    <w:rsid w:val="00955727"/>
    <w:rsid w:val="009559D3"/>
    <w:rsid w:val="00955CFF"/>
    <w:rsid w:val="00955D4A"/>
    <w:rsid w:val="00955E7F"/>
    <w:rsid w:val="009563B4"/>
    <w:rsid w:val="00956A87"/>
    <w:rsid w:val="00956D1A"/>
    <w:rsid w:val="0095726D"/>
    <w:rsid w:val="00960537"/>
    <w:rsid w:val="0096063B"/>
    <w:rsid w:val="0096071C"/>
    <w:rsid w:val="00960AA5"/>
    <w:rsid w:val="00960FC0"/>
    <w:rsid w:val="00960FF8"/>
    <w:rsid w:val="009614CA"/>
    <w:rsid w:val="00961B36"/>
    <w:rsid w:val="00961D8D"/>
    <w:rsid w:val="00961FBE"/>
    <w:rsid w:val="00962036"/>
    <w:rsid w:val="00962245"/>
    <w:rsid w:val="009622DB"/>
    <w:rsid w:val="00962320"/>
    <w:rsid w:val="00962379"/>
    <w:rsid w:val="00962CB4"/>
    <w:rsid w:val="00962DD0"/>
    <w:rsid w:val="00962EA0"/>
    <w:rsid w:val="009631C8"/>
    <w:rsid w:val="0096325A"/>
    <w:rsid w:val="00963269"/>
    <w:rsid w:val="00963C73"/>
    <w:rsid w:val="00963F4A"/>
    <w:rsid w:val="00963F5D"/>
    <w:rsid w:val="009641ED"/>
    <w:rsid w:val="00964309"/>
    <w:rsid w:val="00964AB9"/>
    <w:rsid w:val="0096558B"/>
    <w:rsid w:val="00966509"/>
    <w:rsid w:val="00966679"/>
    <w:rsid w:val="0096684B"/>
    <w:rsid w:val="00966948"/>
    <w:rsid w:val="00966C44"/>
    <w:rsid w:val="00966F6C"/>
    <w:rsid w:val="00967340"/>
    <w:rsid w:val="009673D4"/>
    <w:rsid w:val="009675C0"/>
    <w:rsid w:val="00967622"/>
    <w:rsid w:val="0096788D"/>
    <w:rsid w:val="009700AD"/>
    <w:rsid w:val="0097065E"/>
    <w:rsid w:val="00970B9B"/>
    <w:rsid w:val="00970D09"/>
    <w:rsid w:val="00971182"/>
    <w:rsid w:val="009717D1"/>
    <w:rsid w:val="00971958"/>
    <w:rsid w:val="00971DBF"/>
    <w:rsid w:val="00972689"/>
    <w:rsid w:val="00972A9A"/>
    <w:rsid w:val="00972AF1"/>
    <w:rsid w:val="00973198"/>
    <w:rsid w:val="009733DC"/>
    <w:rsid w:val="00973503"/>
    <w:rsid w:val="00973FDC"/>
    <w:rsid w:val="0097437D"/>
    <w:rsid w:val="00974613"/>
    <w:rsid w:val="00974843"/>
    <w:rsid w:val="00974ABA"/>
    <w:rsid w:val="009750BE"/>
    <w:rsid w:val="009751D4"/>
    <w:rsid w:val="009752BA"/>
    <w:rsid w:val="009754D7"/>
    <w:rsid w:val="00975540"/>
    <w:rsid w:val="00976090"/>
    <w:rsid w:val="009760DA"/>
    <w:rsid w:val="0097690E"/>
    <w:rsid w:val="00976916"/>
    <w:rsid w:val="00976BFD"/>
    <w:rsid w:val="00976F28"/>
    <w:rsid w:val="0097782C"/>
    <w:rsid w:val="00977912"/>
    <w:rsid w:val="00977917"/>
    <w:rsid w:val="00977A66"/>
    <w:rsid w:val="009804EE"/>
    <w:rsid w:val="00980F4E"/>
    <w:rsid w:val="009814D9"/>
    <w:rsid w:val="00981A48"/>
    <w:rsid w:val="00981B50"/>
    <w:rsid w:val="00981F7F"/>
    <w:rsid w:val="009821BC"/>
    <w:rsid w:val="009822D2"/>
    <w:rsid w:val="00982563"/>
    <w:rsid w:val="009827B1"/>
    <w:rsid w:val="009827E9"/>
    <w:rsid w:val="00982AFF"/>
    <w:rsid w:val="0098317F"/>
    <w:rsid w:val="0098342E"/>
    <w:rsid w:val="0098355F"/>
    <w:rsid w:val="00983BCD"/>
    <w:rsid w:val="00983F13"/>
    <w:rsid w:val="009844FB"/>
    <w:rsid w:val="00984902"/>
    <w:rsid w:val="00984B02"/>
    <w:rsid w:val="00985681"/>
    <w:rsid w:val="00986258"/>
    <w:rsid w:val="00986519"/>
    <w:rsid w:val="009867C4"/>
    <w:rsid w:val="00986FED"/>
    <w:rsid w:val="0098709C"/>
    <w:rsid w:val="00987507"/>
    <w:rsid w:val="00987780"/>
    <w:rsid w:val="00987A92"/>
    <w:rsid w:val="009905BE"/>
    <w:rsid w:val="00991160"/>
    <w:rsid w:val="00991B4F"/>
    <w:rsid w:val="0099262B"/>
    <w:rsid w:val="0099268C"/>
    <w:rsid w:val="009928E0"/>
    <w:rsid w:val="00992F5E"/>
    <w:rsid w:val="009934F9"/>
    <w:rsid w:val="00993587"/>
    <w:rsid w:val="00993970"/>
    <w:rsid w:val="00993E7D"/>
    <w:rsid w:val="00994243"/>
    <w:rsid w:val="00994869"/>
    <w:rsid w:val="009948FD"/>
    <w:rsid w:val="00995129"/>
    <w:rsid w:val="00995224"/>
    <w:rsid w:val="00995493"/>
    <w:rsid w:val="00995597"/>
    <w:rsid w:val="00996486"/>
    <w:rsid w:val="00996C31"/>
    <w:rsid w:val="0099706B"/>
    <w:rsid w:val="009977FF"/>
    <w:rsid w:val="009978C8"/>
    <w:rsid w:val="009A01E5"/>
    <w:rsid w:val="009A0370"/>
    <w:rsid w:val="009A0773"/>
    <w:rsid w:val="009A097C"/>
    <w:rsid w:val="009A0C17"/>
    <w:rsid w:val="009A0ED6"/>
    <w:rsid w:val="009A0F5F"/>
    <w:rsid w:val="009A14D9"/>
    <w:rsid w:val="009A21EB"/>
    <w:rsid w:val="009A24D5"/>
    <w:rsid w:val="009A282C"/>
    <w:rsid w:val="009A2EB7"/>
    <w:rsid w:val="009A341A"/>
    <w:rsid w:val="009A47DF"/>
    <w:rsid w:val="009A5056"/>
    <w:rsid w:val="009A5541"/>
    <w:rsid w:val="009A55C9"/>
    <w:rsid w:val="009A6516"/>
    <w:rsid w:val="009A6FE2"/>
    <w:rsid w:val="009A7371"/>
    <w:rsid w:val="009A7AC9"/>
    <w:rsid w:val="009A7DAA"/>
    <w:rsid w:val="009A7DF1"/>
    <w:rsid w:val="009B00EB"/>
    <w:rsid w:val="009B0109"/>
    <w:rsid w:val="009B0265"/>
    <w:rsid w:val="009B08C7"/>
    <w:rsid w:val="009B0BC6"/>
    <w:rsid w:val="009B0E3E"/>
    <w:rsid w:val="009B1790"/>
    <w:rsid w:val="009B1893"/>
    <w:rsid w:val="009B24B6"/>
    <w:rsid w:val="009B297A"/>
    <w:rsid w:val="009B2A71"/>
    <w:rsid w:val="009B2B2A"/>
    <w:rsid w:val="009B2D1B"/>
    <w:rsid w:val="009B2D22"/>
    <w:rsid w:val="009B2E4C"/>
    <w:rsid w:val="009B2F03"/>
    <w:rsid w:val="009B3E7D"/>
    <w:rsid w:val="009B4224"/>
    <w:rsid w:val="009B427A"/>
    <w:rsid w:val="009B4773"/>
    <w:rsid w:val="009B4C27"/>
    <w:rsid w:val="009B4CB4"/>
    <w:rsid w:val="009B4F55"/>
    <w:rsid w:val="009B5722"/>
    <w:rsid w:val="009B57F8"/>
    <w:rsid w:val="009B6403"/>
    <w:rsid w:val="009B68CA"/>
    <w:rsid w:val="009B6A46"/>
    <w:rsid w:val="009B6FEB"/>
    <w:rsid w:val="009C01C1"/>
    <w:rsid w:val="009C138F"/>
    <w:rsid w:val="009C13CA"/>
    <w:rsid w:val="009C1DEB"/>
    <w:rsid w:val="009C1FCD"/>
    <w:rsid w:val="009C209A"/>
    <w:rsid w:val="009C23D3"/>
    <w:rsid w:val="009C261E"/>
    <w:rsid w:val="009C262D"/>
    <w:rsid w:val="009C2B21"/>
    <w:rsid w:val="009C2BEC"/>
    <w:rsid w:val="009C2D84"/>
    <w:rsid w:val="009C3D8C"/>
    <w:rsid w:val="009C3E7B"/>
    <w:rsid w:val="009C4788"/>
    <w:rsid w:val="009C4995"/>
    <w:rsid w:val="009C4B5B"/>
    <w:rsid w:val="009C4E3C"/>
    <w:rsid w:val="009C5A69"/>
    <w:rsid w:val="009C5AA4"/>
    <w:rsid w:val="009C5ABB"/>
    <w:rsid w:val="009C5D6D"/>
    <w:rsid w:val="009C60E9"/>
    <w:rsid w:val="009C62B1"/>
    <w:rsid w:val="009C6D9D"/>
    <w:rsid w:val="009C6F8A"/>
    <w:rsid w:val="009C7595"/>
    <w:rsid w:val="009C75C6"/>
    <w:rsid w:val="009C7610"/>
    <w:rsid w:val="009D0171"/>
    <w:rsid w:val="009D0A38"/>
    <w:rsid w:val="009D0CD9"/>
    <w:rsid w:val="009D0E0E"/>
    <w:rsid w:val="009D0F1C"/>
    <w:rsid w:val="009D1039"/>
    <w:rsid w:val="009D111D"/>
    <w:rsid w:val="009D1320"/>
    <w:rsid w:val="009D1587"/>
    <w:rsid w:val="009D1932"/>
    <w:rsid w:val="009D1CD3"/>
    <w:rsid w:val="009D1E35"/>
    <w:rsid w:val="009D1F35"/>
    <w:rsid w:val="009D2315"/>
    <w:rsid w:val="009D252E"/>
    <w:rsid w:val="009D2DA9"/>
    <w:rsid w:val="009D3C1B"/>
    <w:rsid w:val="009D4CBD"/>
    <w:rsid w:val="009D4DDD"/>
    <w:rsid w:val="009D4F57"/>
    <w:rsid w:val="009D5879"/>
    <w:rsid w:val="009D70A8"/>
    <w:rsid w:val="009D76F7"/>
    <w:rsid w:val="009D7F1F"/>
    <w:rsid w:val="009E0A51"/>
    <w:rsid w:val="009E0D99"/>
    <w:rsid w:val="009E156D"/>
    <w:rsid w:val="009E1982"/>
    <w:rsid w:val="009E2016"/>
    <w:rsid w:val="009E27A2"/>
    <w:rsid w:val="009E27B6"/>
    <w:rsid w:val="009E2EDA"/>
    <w:rsid w:val="009E35A7"/>
    <w:rsid w:val="009E3979"/>
    <w:rsid w:val="009E399C"/>
    <w:rsid w:val="009E3F5B"/>
    <w:rsid w:val="009E41E3"/>
    <w:rsid w:val="009E5040"/>
    <w:rsid w:val="009E5047"/>
    <w:rsid w:val="009E50CF"/>
    <w:rsid w:val="009E52F0"/>
    <w:rsid w:val="009E5601"/>
    <w:rsid w:val="009E574F"/>
    <w:rsid w:val="009E5C7C"/>
    <w:rsid w:val="009E5EFC"/>
    <w:rsid w:val="009E6742"/>
    <w:rsid w:val="009E67E2"/>
    <w:rsid w:val="009E7676"/>
    <w:rsid w:val="009E7A1F"/>
    <w:rsid w:val="009E7E23"/>
    <w:rsid w:val="009E7EE4"/>
    <w:rsid w:val="009F0A25"/>
    <w:rsid w:val="009F0F2B"/>
    <w:rsid w:val="009F10B1"/>
    <w:rsid w:val="009F11BF"/>
    <w:rsid w:val="009F1828"/>
    <w:rsid w:val="009F192A"/>
    <w:rsid w:val="009F1A0B"/>
    <w:rsid w:val="009F1A6D"/>
    <w:rsid w:val="009F1FF6"/>
    <w:rsid w:val="009F2C0D"/>
    <w:rsid w:val="009F2ED2"/>
    <w:rsid w:val="009F2F29"/>
    <w:rsid w:val="009F2F44"/>
    <w:rsid w:val="009F3B95"/>
    <w:rsid w:val="009F40B9"/>
    <w:rsid w:val="009F4157"/>
    <w:rsid w:val="009F45F8"/>
    <w:rsid w:val="009F49F8"/>
    <w:rsid w:val="009F4AB2"/>
    <w:rsid w:val="009F4AFA"/>
    <w:rsid w:val="009F4DA6"/>
    <w:rsid w:val="009F5564"/>
    <w:rsid w:val="009F558F"/>
    <w:rsid w:val="009F59A4"/>
    <w:rsid w:val="009F5C37"/>
    <w:rsid w:val="009F5DB6"/>
    <w:rsid w:val="009F7A6C"/>
    <w:rsid w:val="009F7AA9"/>
    <w:rsid w:val="009F7F0C"/>
    <w:rsid w:val="00A001DF"/>
    <w:rsid w:val="00A005F7"/>
    <w:rsid w:val="00A00910"/>
    <w:rsid w:val="00A00E02"/>
    <w:rsid w:val="00A01206"/>
    <w:rsid w:val="00A0149B"/>
    <w:rsid w:val="00A014FB"/>
    <w:rsid w:val="00A01602"/>
    <w:rsid w:val="00A016FA"/>
    <w:rsid w:val="00A01951"/>
    <w:rsid w:val="00A019AD"/>
    <w:rsid w:val="00A01C3E"/>
    <w:rsid w:val="00A01CBD"/>
    <w:rsid w:val="00A01F16"/>
    <w:rsid w:val="00A03052"/>
    <w:rsid w:val="00A03108"/>
    <w:rsid w:val="00A0312C"/>
    <w:rsid w:val="00A037F1"/>
    <w:rsid w:val="00A03F5F"/>
    <w:rsid w:val="00A0421E"/>
    <w:rsid w:val="00A049A5"/>
    <w:rsid w:val="00A04B3F"/>
    <w:rsid w:val="00A056C3"/>
    <w:rsid w:val="00A05DAB"/>
    <w:rsid w:val="00A05E76"/>
    <w:rsid w:val="00A06C8B"/>
    <w:rsid w:val="00A077B4"/>
    <w:rsid w:val="00A10138"/>
    <w:rsid w:val="00A104D9"/>
    <w:rsid w:val="00A10ADE"/>
    <w:rsid w:val="00A11047"/>
    <w:rsid w:val="00A11082"/>
    <w:rsid w:val="00A113D0"/>
    <w:rsid w:val="00A114D9"/>
    <w:rsid w:val="00A1189B"/>
    <w:rsid w:val="00A118C3"/>
    <w:rsid w:val="00A1249E"/>
    <w:rsid w:val="00A13A0C"/>
    <w:rsid w:val="00A13D1A"/>
    <w:rsid w:val="00A14763"/>
    <w:rsid w:val="00A14C68"/>
    <w:rsid w:val="00A15033"/>
    <w:rsid w:val="00A150FF"/>
    <w:rsid w:val="00A15286"/>
    <w:rsid w:val="00A152E7"/>
    <w:rsid w:val="00A1550A"/>
    <w:rsid w:val="00A158E5"/>
    <w:rsid w:val="00A15969"/>
    <w:rsid w:val="00A15EFD"/>
    <w:rsid w:val="00A15F56"/>
    <w:rsid w:val="00A16181"/>
    <w:rsid w:val="00A16275"/>
    <w:rsid w:val="00A16531"/>
    <w:rsid w:val="00A1672D"/>
    <w:rsid w:val="00A16819"/>
    <w:rsid w:val="00A201A9"/>
    <w:rsid w:val="00A20389"/>
    <w:rsid w:val="00A203B7"/>
    <w:rsid w:val="00A2060A"/>
    <w:rsid w:val="00A21080"/>
    <w:rsid w:val="00A222CB"/>
    <w:rsid w:val="00A22583"/>
    <w:rsid w:val="00A22C18"/>
    <w:rsid w:val="00A22FA7"/>
    <w:rsid w:val="00A235CD"/>
    <w:rsid w:val="00A236AF"/>
    <w:rsid w:val="00A249D0"/>
    <w:rsid w:val="00A24BA7"/>
    <w:rsid w:val="00A24DB4"/>
    <w:rsid w:val="00A25793"/>
    <w:rsid w:val="00A2627D"/>
    <w:rsid w:val="00A26563"/>
    <w:rsid w:val="00A2685B"/>
    <w:rsid w:val="00A26917"/>
    <w:rsid w:val="00A26945"/>
    <w:rsid w:val="00A26FDD"/>
    <w:rsid w:val="00A2753E"/>
    <w:rsid w:val="00A300AB"/>
    <w:rsid w:val="00A30B28"/>
    <w:rsid w:val="00A30E02"/>
    <w:rsid w:val="00A3142C"/>
    <w:rsid w:val="00A31676"/>
    <w:rsid w:val="00A3180A"/>
    <w:rsid w:val="00A31A84"/>
    <w:rsid w:val="00A31ED1"/>
    <w:rsid w:val="00A32277"/>
    <w:rsid w:val="00A324FE"/>
    <w:rsid w:val="00A32DE4"/>
    <w:rsid w:val="00A335A8"/>
    <w:rsid w:val="00A33B4F"/>
    <w:rsid w:val="00A33B5C"/>
    <w:rsid w:val="00A34858"/>
    <w:rsid w:val="00A34A39"/>
    <w:rsid w:val="00A350B5"/>
    <w:rsid w:val="00A36380"/>
    <w:rsid w:val="00A3638D"/>
    <w:rsid w:val="00A36F56"/>
    <w:rsid w:val="00A3704C"/>
    <w:rsid w:val="00A371CB"/>
    <w:rsid w:val="00A37D0E"/>
    <w:rsid w:val="00A4058B"/>
    <w:rsid w:val="00A40775"/>
    <w:rsid w:val="00A4090F"/>
    <w:rsid w:val="00A413B5"/>
    <w:rsid w:val="00A41739"/>
    <w:rsid w:val="00A423F4"/>
    <w:rsid w:val="00A426E5"/>
    <w:rsid w:val="00A42A0B"/>
    <w:rsid w:val="00A441BA"/>
    <w:rsid w:val="00A44605"/>
    <w:rsid w:val="00A44677"/>
    <w:rsid w:val="00A44704"/>
    <w:rsid w:val="00A453F2"/>
    <w:rsid w:val="00A45408"/>
    <w:rsid w:val="00A4601B"/>
    <w:rsid w:val="00A46457"/>
    <w:rsid w:val="00A4696E"/>
    <w:rsid w:val="00A474CB"/>
    <w:rsid w:val="00A47694"/>
    <w:rsid w:val="00A47AF9"/>
    <w:rsid w:val="00A47B45"/>
    <w:rsid w:val="00A47B4D"/>
    <w:rsid w:val="00A50273"/>
    <w:rsid w:val="00A50312"/>
    <w:rsid w:val="00A509D6"/>
    <w:rsid w:val="00A51C6D"/>
    <w:rsid w:val="00A51D76"/>
    <w:rsid w:val="00A51E3A"/>
    <w:rsid w:val="00A525E1"/>
    <w:rsid w:val="00A532DF"/>
    <w:rsid w:val="00A53616"/>
    <w:rsid w:val="00A53995"/>
    <w:rsid w:val="00A5444D"/>
    <w:rsid w:val="00A5450E"/>
    <w:rsid w:val="00A546F1"/>
    <w:rsid w:val="00A54DC9"/>
    <w:rsid w:val="00A54E29"/>
    <w:rsid w:val="00A5508F"/>
    <w:rsid w:val="00A55892"/>
    <w:rsid w:val="00A55979"/>
    <w:rsid w:val="00A55C17"/>
    <w:rsid w:val="00A55D00"/>
    <w:rsid w:val="00A566AB"/>
    <w:rsid w:val="00A566BA"/>
    <w:rsid w:val="00A5688D"/>
    <w:rsid w:val="00A56A92"/>
    <w:rsid w:val="00A56C93"/>
    <w:rsid w:val="00A57049"/>
    <w:rsid w:val="00A573F4"/>
    <w:rsid w:val="00A57556"/>
    <w:rsid w:val="00A60391"/>
    <w:rsid w:val="00A60456"/>
    <w:rsid w:val="00A60E15"/>
    <w:rsid w:val="00A6146A"/>
    <w:rsid w:val="00A61941"/>
    <w:rsid w:val="00A61E88"/>
    <w:rsid w:val="00A621E8"/>
    <w:rsid w:val="00A625C7"/>
    <w:rsid w:val="00A62C21"/>
    <w:rsid w:val="00A62C4A"/>
    <w:rsid w:val="00A62FDA"/>
    <w:rsid w:val="00A63096"/>
    <w:rsid w:val="00A63404"/>
    <w:rsid w:val="00A63442"/>
    <w:rsid w:val="00A63F09"/>
    <w:rsid w:val="00A640F6"/>
    <w:rsid w:val="00A64534"/>
    <w:rsid w:val="00A6472A"/>
    <w:rsid w:val="00A647CE"/>
    <w:rsid w:val="00A64F40"/>
    <w:rsid w:val="00A655BC"/>
    <w:rsid w:val="00A65DAA"/>
    <w:rsid w:val="00A6698B"/>
    <w:rsid w:val="00A669DA"/>
    <w:rsid w:val="00A66A00"/>
    <w:rsid w:val="00A66C4C"/>
    <w:rsid w:val="00A670FF"/>
    <w:rsid w:val="00A67243"/>
    <w:rsid w:val="00A675CB"/>
    <w:rsid w:val="00A6768B"/>
    <w:rsid w:val="00A678B2"/>
    <w:rsid w:val="00A7010A"/>
    <w:rsid w:val="00A7029B"/>
    <w:rsid w:val="00A70876"/>
    <w:rsid w:val="00A70C33"/>
    <w:rsid w:val="00A70D62"/>
    <w:rsid w:val="00A70EB7"/>
    <w:rsid w:val="00A7100E"/>
    <w:rsid w:val="00A711C5"/>
    <w:rsid w:val="00A71346"/>
    <w:rsid w:val="00A714AE"/>
    <w:rsid w:val="00A714E1"/>
    <w:rsid w:val="00A718A6"/>
    <w:rsid w:val="00A71D02"/>
    <w:rsid w:val="00A722C6"/>
    <w:rsid w:val="00A725F3"/>
    <w:rsid w:val="00A7316E"/>
    <w:rsid w:val="00A7326D"/>
    <w:rsid w:val="00A73A87"/>
    <w:rsid w:val="00A74EDF"/>
    <w:rsid w:val="00A75657"/>
    <w:rsid w:val="00A756B5"/>
    <w:rsid w:val="00A75A2C"/>
    <w:rsid w:val="00A76188"/>
    <w:rsid w:val="00A769DF"/>
    <w:rsid w:val="00A76AE1"/>
    <w:rsid w:val="00A76C48"/>
    <w:rsid w:val="00A76EEA"/>
    <w:rsid w:val="00A76FA5"/>
    <w:rsid w:val="00A76FED"/>
    <w:rsid w:val="00A77548"/>
    <w:rsid w:val="00A77B13"/>
    <w:rsid w:val="00A802AB"/>
    <w:rsid w:val="00A80500"/>
    <w:rsid w:val="00A80605"/>
    <w:rsid w:val="00A80704"/>
    <w:rsid w:val="00A80AE8"/>
    <w:rsid w:val="00A80F6C"/>
    <w:rsid w:val="00A812A2"/>
    <w:rsid w:val="00A81A39"/>
    <w:rsid w:val="00A82661"/>
    <w:rsid w:val="00A82D31"/>
    <w:rsid w:val="00A83479"/>
    <w:rsid w:val="00A83597"/>
    <w:rsid w:val="00A836B7"/>
    <w:rsid w:val="00A836EC"/>
    <w:rsid w:val="00A8370A"/>
    <w:rsid w:val="00A83B22"/>
    <w:rsid w:val="00A83B4F"/>
    <w:rsid w:val="00A84180"/>
    <w:rsid w:val="00A842CB"/>
    <w:rsid w:val="00A842ED"/>
    <w:rsid w:val="00A84D96"/>
    <w:rsid w:val="00A85146"/>
    <w:rsid w:val="00A85349"/>
    <w:rsid w:val="00A8568D"/>
    <w:rsid w:val="00A85B7B"/>
    <w:rsid w:val="00A85F01"/>
    <w:rsid w:val="00A86A37"/>
    <w:rsid w:val="00A8713D"/>
    <w:rsid w:val="00A87561"/>
    <w:rsid w:val="00A87716"/>
    <w:rsid w:val="00A87AFE"/>
    <w:rsid w:val="00A87C54"/>
    <w:rsid w:val="00A87FB2"/>
    <w:rsid w:val="00A90359"/>
    <w:rsid w:val="00A9040D"/>
    <w:rsid w:val="00A906DA"/>
    <w:rsid w:val="00A90B09"/>
    <w:rsid w:val="00A9110F"/>
    <w:rsid w:val="00A9208E"/>
    <w:rsid w:val="00A922B5"/>
    <w:rsid w:val="00A925F0"/>
    <w:rsid w:val="00A92D13"/>
    <w:rsid w:val="00A930DC"/>
    <w:rsid w:val="00A9326D"/>
    <w:rsid w:val="00A93595"/>
    <w:rsid w:val="00A936BD"/>
    <w:rsid w:val="00A93F51"/>
    <w:rsid w:val="00A9413D"/>
    <w:rsid w:val="00A9423B"/>
    <w:rsid w:val="00A94708"/>
    <w:rsid w:val="00A95159"/>
    <w:rsid w:val="00A953F8"/>
    <w:rsid w:val="00A97545"/>
    <w:rsid w:val="00A97C9A"/>
    <w:rsid w:val="00A97E1F"/>
    <w:rsid w:val="00A97E7C"/>
    <w:rsid w:val="00AA0185"/>
    <w:rsid w:val="00AA03BD"/>
    <w:rsid w:val="00AA0DB0"/>
    <w:rsid w:val="00AA19F3"/>
    <w:rsid w:val="00AA23B4"/>
    <w:rsid w:val="00AA2BD3"/>
    <w:rsid w:val="00AA2EB3"/>
    <w:rsid w:val="00AA3449"/>
    <w:rsid w:val="00AA3641"/>
    <w:rsid w:val="00AA3F41"/>
    <w:rsid w:val="00AA408D"/>
    <w:rsid w:val="00AA499A"/>
    <w:rsid w:val="00AA4CB7"/>
    <w:rsid w:val="00AA4D93"/>
    <w:rsid w:val="00AA4F0A"/>
    <w:rsid w:val="00AA4F51"/>
    <w:rsid w:val="00AA5654"/>
    <w:rsid w:val="00AA5781"/>
    <w:rsid w:val="00AA5A27"/>
    <w:rsid w:val="00AA5EA9"/>
    <w:rsid w:val="00AA604F"/>
    <w:rsid w:val="00AA60ED"/>
    <w:rsid w:val="00AA668D"/>
    <w:rsid w:val="00AA6825"/>
    <w:rsid w:val="00AA68B8"/>
    <w:rsid w:val="00AA744D"/>
    <w:rsid w:val="00AA748B"/>
    <w:rsid w:val="00AA752A"/>
    <w:rsid w:val="00AA7713"/>
    <w:rsid w:val="00AA7CB8"/>
    <w:rsid w:val="00AB03CF"/>
    <w:rsid w:val="00AB092E"/>
    <w:rsid w:val="00AB0CBD"/>
    <w:rsid w:val="00AB0F1B"/>
    <w:rsid w:val="00AB1B43"/>
    <w:rsid w:val="00AB1EE1"/>
    <w:rsid w:val="00AB2107"/>
    <w:rsid w:val="00AB24E6"/>
    <w:rsid w:val="00AB2BE1"/>
    <w:rsid w:val="00AB3532"/>
    <w:rsid w:val="00AB3C28"/>
    <w:rsid w:val="00AB4415"/>
    <w:rsid w:val="00AB4713"/>
    <w:rsid w:val="00AB4AAA"/>
    <w:rsid w:val="00AB4EEB"/>
    <w:rsid w:val="00AB5384"/>
    <w:rsid w:val="00AB5E72"/>
    <w:rsid w:val="00AB5F21"/>
    <w:rsid w:val="00AB607E"/>
    <w:rsid w:val="00AB6A90"/>
    <w:rsid w:val="00AB6CEE"/>
    <w:rsid w:val="00AB6E7B"/>
    <w:rsid w:val="00AB6EAC"/>
    <w:rsid w:val="00AB6F27"/>
    <w:rsid w:val="00AB7B01"/>
    <w:rsid w:val="00AB7CD9"/>
    <w:rsid w:val="00AB7D48"/>
    <w:rsid w:val="00AC084F"/>
    <w:rsid w:val="00AC09B1"/>
    <w:rsid w:val="00AC0ADE"/>
    <w:rsid w:val="00AC0CFD"/>
    <w:rsid w:val="00AC1015"/>
    <w:rsid w:val="00AC11B5"/>
    <w:rsid w:val="00AC11D2"/>
    <w:rsid w:val="00AC1205"/>
    <w:rsid w:val="00AC1553"/>
    <w:rsid w:val="00AC256D"/>
    <w:rsid w:val="00AC273F"/>
    <w:rsid w:val="00AC3333"/>
    <w:rsid w:val="00AC3528"/>
    <w:rsid w:val="00AC3BA0"/>
    <w:rsid w:val="00AC3EBD"/>
    <w:rsid w:val="00AC412A"/>
    <w:rsid w:val="00AC43BF"/>
    <w:rsid w:val="00AC4A09"/>
    <w:rsid w:val="00AC4BD8"/>
    <w:rsid w:val="00AC4C12"/>
    <w:rsid w:val="00AC559B"/>
    <w:rsid w:val="00AC5D39"/>
    <w:rsid w:val="00AC5DCE"/>
    <w:rsid w:val="00AC6B5A"/>
    <w:rsid w:val="00AC77CB"/>
    <w:rsid w:val="00AC77F3"/>
    <w:rsid w:val="00AC7878"/>
    <w:rsid w:val="00AD0107"/>
    <w:rsid w:val="00AD0809"/>
    <w:rsid w:val="00AD08A8"/>
    <w:rsid w:val="00AD0CC6"/>
    <w:rsid w:val="00AD0CFF"/>
    <w:rsid w:val="00AD126F"/>
    <w:rsid w:val="00AD1821"/>
    <w:rsid w:val="00AD1A97"/>
    <w:rsid w:val="00AD1C60"/>
    <w:rsid w:val="00AD23D6"/>
    <w:rsid w:val="00AD270E"/>
    <w:rsid w:val="00AD2719"/>
    <w:rsid w:val="00AD2B18"/>
    <w:rsid w:val="00AD442C"/>
    <w:rsid w:val="00AD45E3"/>
    <w:rsid w:val="00AD49B8"/>
    <w:rsid w:val="00AD4DD0"/>
    <w:rsid w:val="00AD540D"/>
    <w:rsid w:val="00AD574F"/>
    <w:rsid w:val="00AD5B1B"/>
    <w:rsid w:val="00AD5E5C"/>
    <w:rsid w:val="00AD5F5E"/>
    <w:rsid w:val="00AD622A"/>
    <w:rsid w:val="00AD639E"/>
    <w:rsid w:val="00AD6996"/>
    <w:rsid w:val="00AD6D27"/>
    <w:rsid w:val="00AD6F67"/>
    <w:rsid w:val="00AD75BE"/>
    <w:rsid w:val="00AD7FDA"/>
    <w:rsid w:val="00AE040F"/>
    <w:rsid w:val="00AE0495"/>
    <w:rsid w:val="00AE12CC"/>
    <w:rsid w:val="00AE1D15"/>
    <w:rsid w:val="00AE2D44"/>
    <w:rsid w:val="00AE31A5"/>
    <w:rsid w:val="00AE3B67"/>
    <w:rsid w:val="00AE3FF4"/>
    <w:rsid w:val="00AE51D3"/>
    <w:rsid w:val="00AE52EF"/>
    <w:rsid w:val="00AE55CC"/>
    <w:rsid w:val="00AE58AB"/>
    <w:rsid w:val="00AE5AAD"/>
    <w:rsid w:val="00AE6C71"/>
    <w:rsid w:val="00AE6F7B"/>
    <w:rsid w:val="00AE6F87"/>
    <w:rsid w:val="00AE7313"/>
    <w:rsid w:val="00AE7A96"/>
    <w:rsid w:val="00AF020B"/>
    <w:rsid w:val="00AF0840"/>
    <w:rsid w:val="00AF09C1"/>
    <w:rsid w:val="00AF0AE1"/>
    <w:rsid w:val="00AF0CE7"/>
    <w:rsid w:val="00AF1396"/>
    <w:rsid w:val="00AF13C9"/>
    <w:rsid w:val="00AF15EF"/>
    <w:rsid w:val="00AF1BCF"/>
    <w:rsid w:val="00AF1C78"/>
    <w:rsid w:val="00AF20F8"/>
    <w:rsid w:val="00AF2156"/>
    <w:rsid w:val="00AF2A84"/>
    <w:rsid w:val="00AF354E"/>
    <w:rsid w:val="00AF3868"/>
    <w:rsid w:val="00AF4654"/>
    <w:rsid w:val="00AF4A4A"/>
    <w:rsid w:val="00AF4F77"/>
    <w:rsid w:val="00AF5C9F"/>
    <w:rsid w:val="00AF6A87"/>
    <w:rsid w:val="00AF6C19"/>
    <w:rsid w:val="00AF7094"/>
    <w:rsid w:val="00AF71C7"/>
    <w:rsid w:val="00AF7959"/>
    <w:rsid w:val="00AF7AB8"/>
    <w:rsid w:val="00AF7D15"/>
    <w:rsid w:val="00AF7EBD"/>
    <w:rsid w:val="00AF7F9D"/>
    <w:rsid w:val="00B00116"/>
    <w:rsid w:val="00B0030C"/>
    <w:rsid w:val="00B00661"/>
    <w:rsid w:val="00B0091C"/>
    <w:rsid w:val="00B00B6C"/>
    <w:rsid w:val="00B00D9F"/>
    <w:rsid w:val="00B019DD"/>
    <w:rsid w:val="00B020CE"/>
    <w:rsid w:val="00B022B0"/>
    <w:rsid w:val="00B0252D"/>
    <w:rsid w:val="00B025C9"/>
    <w:rsid w:val="00B02A54"/>
    <w:rsid w:val="00B02AE6"/>
    <w:rsid w:val="00B02F1D"/>
    <w:rsid w:val="00B02FB6"/>
    <w:rsid w:val="00B0301A"/>
    <w:rsid w:val="00B03DC0"/>
    <w:rsid w:val="00B04252"/>
    <w:rsid w:val="00B049CE"/>
    <w:rsid w:val="00B04CD1"/>
    <w:rsid w:val="00B04E11"/>
    <w:rsid w:val="00B05155"/>
    <w:rsid w:val="00B0515C"/>
    <w:rsid w:val="00B0529A"/>
    <w:rsid w:val="00B06288"/>
    <w:rsid w:val="00B0694E"/>
    <w:rsid w:val="00B06A40"/>
    <w:rsid w:val="00B07442"/>
    <w:rsid w:val="00B07609"/>
    <w:rsid w:val="00B07961"/>
    <w:rsid w:val="00B07A2B"/>
    <w:rsid w:val="00B1037F"/>
    <w:rsid w:val="00B103EA"/>
    <w:rsid w:val="00B112CA"/>
    <w:rsid w:val="00B1166E"/>
    <w:rsid w:val="00B116EE"/>
    <w:rsid w:val="00B116FC"/>
    <w:rsid w:val="00B1176D"/>
    <w:rsid w:val="00B11A14"/>
    <w:rsid w:val="00B11F04"/>
    <w:rsid w:val="00B1213E"/>
    <w:rsid w:val="00B12D50"/>
    <w:rsid w:val="00B13300"/>
    <w:rsid w:val="00B13363"/>
    <w:rsid w:val="00B13563"/>
    <w:rsid w:val="00B13CD2"/>
    <w:rsid w:val="00B1444C"/>
    <w:rsid w:val="00B147EE"/>
    <w:rsid w:val="00B14A0A"/>
    <w:rsid w:val="00B14BA5"/>
    <w:rsid w:val="00B15227"/>
    <w:rsid w:val="00B157D1"/>
    <w:rsid w:val="00B159A1"/>
    <w:rsid w:val="00B164E6"/>
    <w:rsid w:val="00B16767"/>
    <w:rsid w:val="00B16A2F"/>
    <w:rsid w:val="00B16E14"/>
    <w:rsid w:val="00B16E81"/>
    <w:rsid w:val="00B17F61"/>
    <w:rsid w:val="00B20053"/>
    <w:rsid w:val="00B201FC"/>
    <w:rsid w:val="00B202F8"/>
    <w:rsid w:val="00B2064F"/>
    <w:rsid w:val="00B20F8B"/>
    <w:rsid w:val="00B21AB3"/>
    <w:rsid w:val="00B21D17"/>
    <w:rsid w:val="00B21D4A"/>
    <w:rsid w:val="00B21DD6"/>
    <w:rsid w:val="00B222D5"/>
    <w:rsid w:val="00B22811"/>
    <w:rsid w:val="00B228F6"/>
    <w:rsid w:val="00B22A69"/>
    <w:rsid w:val="00B23A46"/>
    <w:rsid w:val="00B23E6D"/>
    <w:rsid w:val="00B244BB"/>
    <w:rsid w:val="00B24BC7"/>
    <w:rsid w:val="00B25057"/>
    <w:rsid w:val="00B251D6"/>
    <w:rsid w:val="00B26204"/>
    <w:rsid w:val="00B26480"/>
    <w:rsid w:val="00B26ADA"/>
    <w:rsid w:val="00B26BAB"/>
    <w:rsid w:val="00B26D2B"/>
    <w:rsid w:val="00B27059"/>
    <w:rsid w:val="00B270F3"/>
    <w:rsid w:val="00B27231"/>
    <w:rsid w:val="00B27269"/>
    <w:rsid w:val="00B275EC"/>
    <w:rsid w:val="00B27829"/>
    <w:rsid w:val="00B27A82"/>
    <w:rsid w:val="00B27C64"/>
    <w:rsid w:val="00B27CEC"/>
    <w:rsid w:val="00B30146"/>
    <w:rsid w:val="00B3074B"/>
    <w:rsid w:val="00B31250"/>
    <w:rsid w:val="00B31F0F"/>
    <w:rsid w:val="00B32254"/>
    <w:rsid w:val="00B325FD"/>
    <w:rsid w:val="00B3282E"/>
    <w:rsid w:val="00B329B3"/>
    <w:rsid w:val="00B32EBF"/>
    <w:rsid w:val="00B32F93"/>
    <w:rsid w:val="00B33071"/>
    <w:rsid w:val="00B33E05"/>
    <w:rsid w:val="00B347A9"/>
    <w:rsid w:val="00B347C0"/>
    <w:rsid w:val="00B3485B"/>
    <w:rsid w:val="00B3498A"/>
    <w:rsid w:val="00B34AAC"/>
    <w:rsid w:val="00B34F20"/>
    <w:rsid w:val="00B3560D"/>
    <w:rsid w:val="00B35FE9"/>
    <w:rsid w:val="00B36AD4"/>
    <w:rsid w:val="00B36C18"/>
    <w:rsid w:val="00B378F9"/>
    <w:rsid w:val="00B37A7B"/>
    <w:rsid w:val="00B37B04"/>
    <w:rsid w:val="00B37B4A"/>
    <w:rsid w:val="00B4199E"/>
    <w:rsid w:val="00B41AFE"/>
    <w:rsid w:val="00B41B20"/>
    <w:rsid w:val="00B41E42"/>
    <w:rsid w:val="00B423FF"/>
    <w:rsid w:val="00B42EA3"/>
    <w:rsid w:val="00B43018"/>
    <w:rsid w:val="00B43027"/>
    <w:rsid w:val="00B439A9"/>
    <w:rsid w:val="00B43A79"/>
    <w:rsid w:val="00B43A89"/>
    <w:rsid w:val="00B43E4F"/>
    <w:rsid w:val="00B444A5"/>
    <w:rsid w:val="00B44F99"/>
    <w:rsid w:val="00B45132"/>
    <w:rsid w:val="00B45296"/>
    <w:rsid w:val="00B45316"/>
    <w:rsid w:val="00B45636"/>
    <w:rsid w:val="00B456DC"/>
    <w:rsid w:val="00B45E48"/>
    <w:rsid w:val="00B461DE"/>
    <w:rsid w:val="00B467F8"/>
    <w:rsid w:val="00B46A3C"/>
    <w:rsid w:val="00B46AB7"/>
    <w:rsid w:val="00B4706F"/>
    <w:rsid w:val="00B47703"/>
    <w:rsid w:val="00B47F9D"/>
    <w:rsid w:val="00B50121"/>
    <w:rsid w:val="00B501CD"/>
    <w:rsid w:val="00B50A4F"/>
    <w:rsid w:val="00B50AAA"/>
    <w:rsid w:val="00B50BCE"/>
    <w:rsid w:val="00B50E26"/>
    <w:rsid w:val="00B50F00"/>
    <w:rsid w:val="00B50FFE"/>
    <w:rsid w:val="00B51616"/>
    <w:rsid w:val="00B5199C"/>
    <w:rsid w:val="00B51AED"/>
    <w:rsid w:val="00B51EB5"/>
    <w:rsid w:val="00B5217D"/>
    <w:rsid w:val="00B5226F"/>
    <w:rsid w:val="00B5249A"/>
    <w:rsid w:val="00B524ED"/>
    <w:rsid w:val="00B525E0"/>
    <w:rsid w:val="00B52E80"/>
    <w:rsid w:val="00B534A6"/>
    <w:rsid w:val="00B53BEF"/>
    <w:rsid w:val="00B53EB0"/>
    <w:rsid w:val="00B53EE4"/>
    <w:rsid w:val="00B54505"/>
    <w:rsid w:val="00B559B2"/>
    <w:rsid w:val="00B55C0B"/>
    <w:rsid w:val="00B55E77"/>
    <w:rsid w:val="00B56A06"/>
    <w:rsid w:val="00B56B65"/>
    <w:rsid w:val="00B5780D"/>
    <w:rsid w:val="00B578AB"/>
    <w:rsid w:val="00B57A61"/>
    <w:rsid w:val="00B605F5"/>
    <w:rsid w:val="00B609CD"/>
    <w:rsid w:val="00B61CFF"/>
    <w:rsid w:val="00B61EA3"/>
    <w:rsid w:val="00B625EE"/>
    <w:rsid w:val="00B62EF5"/>
    <w:rsid w:val="00B62F3E"/>
    <w:rsid w:val="00B63C06"/>
    <w:rsid w:val="00B64215"/>
    <w:rsid w:val="00B6444C"/>
    <w:rsid w:val="00B648C1"/>
    <w:rsid w:val="00B64D83"/>
    <w:rsid w:val="00B64EC0"/>
    <w:rsid w:val="00B6570C"/>
    <w:rsid w:val="00B65FD0"/>
    <w:rsid w:val="00B6645F"/>
    <w:rsid w:val="00B664AD"/>
    <w:rsid w:val="00B666B3"/>
    <w:rsid w:val="00B66BE0"/>
    <w:rsid w:val="00B66C39"/>
    <w:rsid w:val="00B66DA9"/>
    <w:rsid w:val="00B6722B"/>
    <w:rsid w:val="00B67DA6"/>
    <w:rsid w:val="00B700C4"/>
    <w:rsid w:val="00B70F13"/>
    <w:rsid w:val="00B7126A"/>
    <w:rsid w:val="00B71B0F"/>
    <w:rsid w:val="00B72D13"/>
    <w:rsid w:val="00B72E99"/>
    <w:rsid w:val="00B72F97"/>
    <w:rsid w:val="00B7312E"/>
    <w:rsid w:val="00B732AE"/>
    <w:rsid w:val="00B73778"/>
    <w:rsid w:val="00B73FC8"/>
    <w:rsid w:val="00B743DC"/>
    <w:rsid w:val="00B74E90"/>
    <w:rsid w:val="00B74F64"/>
    <w:rsid w:val="00B74FF9"/>
    <w:rsid w:val="00B7622F"/>
    <w:rsid w:val="00B76287"/>
    <w:rsid w:val="00B76580"/>
    <w:rsid w:val="00B76F43"/>
    <w:rsid w:val="00B7701C"/>
    <w:rsid w:val="00B77768"/>
    <w:rsid w:val="00B777B9"/>
    <w:rsid w:val="00B779EB"/>
    <w:rsid w:val="00B77E47"/>
    <w:rsid w:val="00B77E53"/>
    <w:rsid w:val="00B800A0"/>
    <w:rsid w:val="00B807EE"/>
    <w:rsid w:val="00B8083E"/>
    <w:rsid w:val="00B80BEE"/>
    <w:rsid w:val="00B80D56"/>
    <w:rsid w:val="00B80E5F"/>
    <w:rsid w:val="00B8113E"/>
    <w:rsid w:val="00B8183B"/>
    <w:rsid w:val="00B8184C"/>
    <w:rsid w:val="00B81E31"/>
    <w:rsid w:val="00B82035"/>
    <w:rsid w:val="00B82C56"/>
    <w:rsid w:val="00B83595"/>
    <w:rsid w:val="00B835E8"/>
    <w:rsid w:val="00B83EF0"/>
    <w:rsid w:val="00B84439"/>
    <w:rsid w:val="00B84AFA"/>
    <w:rsid w:val="00B84ED9"/>
    <w:rsid w:val="00B85367"/>
    <w:rsid w:val="00B853C3"/>
    <w:rsid w:val="00B85578"/>
    <w:rsid w:val="00B85CAE"/>
    <w:rsid w:val="00B85DFC"/>
    <w:rsid w:val="00B86476"/>
    <w:rsid w:val="00B86702"/>
    <w:rsid w:val="00B86754"/>
    <w:rsid w:val="00B867A2"/>
    <w:rsid w:val="00B87840"/>
    <w:rsid w:val="00B9152E"/>
    <w:rsid w:val="00B91816"/>
    <w:rsid w:val="00B919E9"/>
    <w:rsid w:val="00B91B47"/>
    <w:rsid w:val="00B91D26"/>
    <w:rsid w:val="00B92038"/>
    <w:rsid w:val="00B92478"/>
    <w:rsid w:val="00B92DAD"/>
    <w:rsid w:val="00B933A1"/>
    <w:rsid w:val="00B936CF"/>
    <w:rsid w:val="00B93BE0"/>
    <w:rsid w:val="00B940CF"/>
    <w:rsid w:val="00B94115"/>
    <w:rsid w:val="00B94120"/>
    <w:rsid w:val="00B943E9"/>
    <w:rsid w:val="00B94BCF"/>
    <w:rsid w:val="00B94C06"/>
    <w:rsid w:val="00B94C85"/>
    <w:rsid w:val="00B966E8"/>
    <w:rsid w:val="00B96ACE"/>
    <w:rsid w:val="00B96D5E"/>
    <w:rsid w:val="00B9704F"/>
    <w:rsid w:val="00B97075"/>
    <w:rsid w:val="00B975C4"/>
    <w:rsid w:val="00B9789E"/>
    <w:rsid w:val="00B97A46"/>
    <w:rsid w:val="00BA01DA"/>
    <w:rsid w:val="00BA02E0"/>
    <w:rsid w:val="00BA0508"/>
    <w:rsid w:val="00BA05C8"/>
    <w:rsid w:val="00BA22AE"/>
    <w:rsid w:val="00BA2A96"/>
    <w:rsid w:val="00BA2B01"/>
    <w:rsid w:val="00BA2BE9"/>
    <w:rsid w:val="00BA2C75"/>
    <w:rsid w:val="00BA2F57"/>
    <w:rsid w:val="00BA31DD"/>
    <w:rsid w:val="00BA36CC"/>
    <w:rsid w:val="00BA3A1F"/>
    <w:rsid w:val="00BA4418"/>
    <w:rsid w:val="00BA50AA"/>
    <w:rsid w:val="00BA51C5"/>
    <w:rsid w:val="00BA625F"/>
    <w:rsid w:val="00BA6630"/>
    <w:rsid w:val="00BA681B"/>
    <w:rsid w:val="00BA6994"/>
    <w:rsid w:val="00BA7263"/>
    <w:rsid w:val="00BA79D5"/>
    <w:rsid w:val="00BA7B72"/>
    <w:rsid w:val="00BA7BF6"/>
    <w:rsid w:val="00BB06C8"/>
    <w:rsid w:val="00BB0BB6"/>
    <w:rsid w:val="00BB0EA6"/>
    <w:rsid w:val="00BB1400"/>
    <w:rsid w:val="00BB149C"/>
    <w:rsid w:val="00BB1AE8"/>
    <w:rsid w:val="00BB1EB0"/>
    <w:rsid w:val="00BB1FDA"/>
    <w:rsid w:val="00BB2224"/>
    <w:rsid w:val="00BB23CF"/>
    <w:rsid w:val="00BB266B"/>
    <w:rsid w:val="00BB2701"/>
    <w:rsid w:val="00BB27A1"/>
    <w:rsid w:val="00BB2942"/>
    <w:rsid w:val="00BB2A3E"/>
    <w:rsid w:val="00BB2E32"/>
    <w:rsid w:val="00BB2E42"/>
    <w:rsid w:val="00BB2F49"/>
    <w:rsid w:val="00BB2F8C"/>
    <w:rsid w:val="00BB32C0"/>
    <w:rsid w:val="00BB3399"/>
    <w:rsid w:val="00BB3508"/>
    <w:rsid w:val="00BB361C"/>
    <w:rsid w:val="00BB372B"/>
    <w:rsid w:val="00BB3C48"/>
    <w:rsid w:val="00BB3C8C"/>
    <w:rsid w:val="00BB3D86"/>
    <w:rsid w:val="00BB405A"/>
    <w:rsid w:val="00BB442A"/>
    <w:rsid w:val="00BB4523"/>
    <w:rsid w:val="00BB48C1"/>
    <w:rsid w:val="00BB49D4"/>
    <w:rsid w:val="00BB570A"/>
    <w:rsid w:val="00BB5AE5"/>
    <w:rsid w:val="00BB5C43"/>
    <w:rsid w:val="00BB6010"/>
    <w:rsid w:val="00BB6113"/>
    <w:rsid w:val="00BB61B8"/>
    <w:rsid w:val="00BB6C7F"/>
    <w:rsid w:val="00BB781A"/>
    <w:rsid w:val="00BB7D78"/>
    <w:rsid w:val="00BC0ADD"/>
    <w:rsid w:val="00BC0C69"/>
    <w:rsid w:val="00BC147C"/>
    <w:rsid w:val="00BC1677"/>
    <w:rsid w:val="00BC2C33"/>
    <w:rsid w:val="00BC33AD"/>
    <w:rsid w:val="00BC363A"/>
    <w:rsid w:val="00BC36B2"/>
    <w:rsid w:val="00BC44CF"/>
    <w:rsid w:val="00BC48D9"/>
    <w:rsid w:val="00BC4C12"/>
    <w:rsid w:val="00BC527D"/>
    <w:rsid w:val="00BC5591"/>
    <w:rsid w:val="00BC55EC"/>
    <w:rsid w:val="00BC57F7"/>
    <w:rsid w:val="00BC59D3"/>
    <w:rsid w:val="00BC635C"/>
    <w:rsid w:val="00BC64A4"/>
    <w:rsid w:val="00BC6656"/>
    <w:rsid w:val="00BC6D12"/>
    <w:rsid w:val="00BC6DCA"/>
    <w:rsid w:val="00BC7059"/>
    <w:rsid w:val="00BC76D4"/>
    <w:rsid w:val="00BC7A01"/>
    <w:rsid w:val="00BC7D05"/>
    <w:rsid w:val="00BC7ED2"/>
    <w:rsid w:val="00BD02E1"/>
    <w:rsid w:val="00BD0414"/>
    <w:rsid w:val="00BD06A2"/>
    <w:rsid w:val="00BD06EE"/>
    <w:rsid w:val="00BD0D8C"/>
    <w:rsid w:val="00BD13AA"/>
    <w:rsid w:val="00BD1C5C"/>
    <w:rsid w:val="00BD1D3C"/>
    <w:rsid w:val="00BD20B7"/>
    <w:rsid w:val="00BD23E3"/>
    <w:rsid w:val="00BD2509"/>
    <w:rsid w:val="00BD259A"/>
    <w:rsid w:val="00BD27AD"/>
    <w:rsid w:val="00BD27D9"/>
    <w:rsid w:val="00BD29D6"/>
    <w:rsid w:val="00BD2B70"/>
    <w:rsid w:val="00BD2B9A"/>
    <w:rsid w:val="00BD3161"/>
    <w:rsid w:val="00BD409D"/>
    <w:rsid w:val="00BD4394"/>
    <w:rsid w:val="00BD49FE"/>
    <w:rsid w:val="00BD4A16"/>
    <w:rsid w:val="00BD4CB1"/>
    <w:rsid w:val="00BD51B4"/>
    <w:rsid w:val="00BD5413"/>
    <w:rsid w:val="00BD5633"/>
    <w:rsid w:val="00BD5845"/>
    <w:rsid w:val="00BD5C99"/>
    <w:rsid w:val="00BD6094"/>
    <w:rsid w:val="00BD625D"/>
    <w:rsid w:val="00BD650F"/>
    <w:rsid w:val="00BD6741"/>
    <w:rsid w:val="00BD6A22"/>
    <w:rsid w:val="00BD6C4E"/>
    <w:rsid w:val="00BD704D"/>
    <w:rsid w:val="00BD735A"/>
    <w:rsid w:val="00BD74D5"/>
    <w:rsid w:val="00BD7703"/>
    <w:rsid w:val="00BD7A56"/>
    <w:rsid w:val="00BD7C2B"/>
    <w:rsid w:val="00BE0419"/>
    <w:rsid w:val="00BE069E"/>
    <w:rsid w:val="00BE0B2B"/>
    <w:rsid w:val="00BE0CB1"/>
    <w:rsid w:val="00BE0CC6"/>
    <w:rsid w:val="00BE106B"/>
    <w:rsid w:val="00BE1742"/>
    <w:rsid w:val="00BE17CE"/>
    <w:rsid w:val="00BE19B6"/>
    <w:rsid w:val="00BE19F7"/>
    <w:rsid w:val="00BE1CA9"/>
    <w:rsid w:val="00BE1D3D"/>
    <w:rsid w:val="00BE207C"/>
    <w:rsid w:val="00BE208A"/>
    <w:rsid w:val="00BE255F"/>
    <w:rsid w:val="00BE343A"/>
    <w:rsid w:val="00BE394A"/>
    <w:rsid w:val="00BE3A5E"/>
    <w:rsid w:val="00BE3AF1"/>
    <w:rsid w:val="00BE3BE8"/>
    <w:rsid w:val="00BE49AC"/>
    <w:rsid w:val="00BE4C33"/>
    <w:rsid w:val="00BE4FF3"/>
    <w:rsid w:val="00BE56B8"/>
    <w:rsid w:val="00BE57EA"/>
    <w:rsid w:val="00BE5A7A"/>
    <w:rsid w:val="00BE5BED"/>
    <w:rsid w:val="00BE5EDA"/>
    <w:rsid w:val="00BE6112"/>
    <w:rsid w:val="00BE620B"/>
    <w:rsid w:val="00BE66B2"/>
    <w:rsid w:val="00BE6801"/>
    <w:rsid w:val="00BE6D94"/>
    <w:rsid w:val="00BE6E3E"/>
    <w:rsid w:val="00BE71A2"/>
    <w:rsid w:val="00BE7647"/>
    <w:rsid w:val="00BF02EE"/>
    <w:rsid w:val="00BF09F7"/>
    <w:rsid w:val="00BF0A51"/>
    <w:rsid w:val="00BF0B84"/>
    <w:rsid w:val="00BF1A1B"/>
    <w:rsid w:val="00BF22C5"/>
    <w:rsid w:val="00BF26F6"/>
    <w:rsid w:val="00BF2B80"/>
    <w:rsid w:val="00BF3EEC"/>
    <w:rsid w:val="00BF4AB1"/>
    <w:rsid w:val="00BF4FC0"/>
    <w:rsid w:val="00BF5217"/>
    <w:rsid w:val="00BF5C0F"/>
    <w:rsid w:val="00BF5ECA"/>
    <w:rsid w:val="00BF5F88"/>
    <w:rsid w:val="00BF64E9"/>
    <w:rsid w:val="00BF6E46"/>
    <w:rsid w:val="00BF6FAE"/>
    <w:rsid w:val="00BF706C"/>
    <w:rsid w:val="00BF77E2"/>
    <w:rsid w:val="00BF7AFF"/>
    <w:rsid w:val="00C00182"/>
    <w:rsid w:val="00C0029E"/>
    <w:rsid w:val="00C004C7"/>
    <w:rsid w:val="00C00962"/>
    <w:rsid w:val="00C00E95"/>
    <w:rsid w:val="00C00EB4"/>
    <w:rsid w:val="00C01756"/>
    <w:rsid w:val="00C02F82"/>
    <w:rsid w:val="00C032BE"/>
    <w:rsid w:val="00C035E5"/>
    <w:rsid w:val="00C03B67"/>
    <w:rsid w:val="00C041EB"/>
    <w:rsid w:val="00C04358"/>
    <w:rsid w:val="00C04685"/>
    <w:rsid w:val="00C04C0C"/>
    <w:rsid w:val="00C04E83"/>
    <w:rsid w:val="00C05870"/>
    <w:rsid w:val="00C06388"/>
    <w:rsid w:val="00C0681C"/>
    <w:rsid w:val="00C06B20"/>
    <w:rsid w:val="00C06C34"/>
    <w:rsid w:val="00C074E3"/>
    <w:rsid w:val="00C07E2A"/>
    <w:rsid w:val="00C07F7F"/>
    <w:rsid w:val="00C1044B"/>
    <w:rsid w:val="00C10496"/>
    <w:rsid w:val="00C10F51"/>
    <w:rsid w:val="00C116FB"/>
    <w:rsid w:val="00C13258"/>
    <w:rsid w:val="00C132AA"/>
    <w:rsid w:val="00C13786"/>
    <w:rsid w:val="00C13A49"/>
    <w:rsid w:val="00C13B64"/>
    <w:rsid w:val="00C13F45"/>
    <w:rsid w:val="00C1419F"/>
    <w:rsid w:val="00C14288"/>
    <w:rsid w:val="00C145E5"/>
    <w:rsid w:val="00C14E19"/>
    <w:rsid w:val="00C154F0"/>
    <w:rsid w:val="00C15594"/>
    <w:rsid w:val="00C15947"/>
    <w:rsid w:val="00C15CD3"/>
    <w:rsid w:val="00C15CE7"/>
    <w:rsid w:val="00C169F8"/>
    <w:rsid w:val="00C17C3B"/>
    <w:rsid w:val="00C17E16"/>
    <w:rsid w:val="00C200E9"/>
    <w:rsid w:val="00C20BE2"/>
    <w:rsid w:val="00C20CD7"/>
    <w:rsid w:val="00C213D8"/>
    <w:rsid w:val="00C218CA"/>
    <w:rsid w:val="00C22AAE"/>
    <w:rsid w:val="00C2330A"/>
    <w:rsid w:val="00C23E08"/>
    <w:rsid w:val="00C247FF"/>
    <w:rsid w:val="00C2483B"/>
    <w:rsid w:val="00C24A7F"/>
    <w:rsid w:val="00C24EB2"/>
    <w:rsid w:val="00C25A03"/>
    <w:rsid w:val="00C25F62"/>
    <w:rsid w:val="00C261C7"/>
    <w:rsid w:val="00C2624D"/>
    <w:rsid w:val="00C26A6E"/>
    <w:rsid w:val="00C26BC7"/>
    <w:rsid w:val="00C27099"/>
    <w:rsid w:val="00C270C2"/>
    <w:rsid w:val="00C2723B"/>
    <w:rsid w:val="00C27CF2"/>
    <w:rsid w:val="00C27D37"/>
    <w:rsid w:val="00C30BB9"/>
    <w:rsid w:val="00C30CF3"/>
    <w:rsid w:val="00C317CB"/>
    <w:rsid w:val="00C31B45"/>
    <w:rsid w:val="00C321E9"/>
    <w:rsid w:val="00C33290"/>
    <w:rsid w:val="00C33DBB"/>
    <w:rsid w:val="00C344BC"/>
    <w:rsid w:val="00C34CC7"/>
    <w:rsid w:val="00C34F75"/>
    <w:rsid w:val="00C3550F"/>
    <w:rsid w:val="00C35DC0"/>
    <w:rsid w:val="00C366F3"/>
    <w:rsid w:val="00C3673F"/>
    <w:rsid w:val="00C3773D"/>
    <w:rsid w:val="00C377FA"/>
    <w:rsid w:val="00C37970"/>
    <w:rsid w:val="00C37B1C"/>
    <w:rsid w:val="00C37E13"/>
    <w:rsid w:val="00C40225"/>
    <w:rsid w:val="00C403B6"/>
    <w:rsid w:val="00C403FE"/>
    <w:rsid w:val="00C404BF"/>
    <w:rsid w:val="00C40562"/>
    <w:rsid w:val="00C4079D"/>
    <w:rsid w:val="00C40CEB"/>
    <w:rsid w:val="00C40E5E"/>
    <w:rsid w:val="00C413C6"/>
    <w:rsid w:val="00C41886"/>
    <w:rsid w:val="00C41BA6"/>
    <w:rsid w:val="00C42014"/>
    <w:rsid w:val="00C429D0"/>
    <w:rsid w:val="00C432C0"/>
    <w:rsid w:val="00C437E5"/>
    <w:rsid w:val="00C43C4A"/>
    <w:rsid w:val="00C43CA3"/>
    <w:rsid w:val="00C4504C"/>
    <w:rsid w:val="00C45568"/>
    <w:rsid w:val="00C46210"/>
    <w:rsid w:val="00C46432"/>
    <w:rsid w:val="00C46771"/>
    <w:rsid w:val="00C46CF1"/>
    <w:rsid w:val="00C47394"/>
    <w:rsid w:val="00C47CFC"/>
    <w:rsid w:val="00C47D44"/>
    <w:rsid w:val="00C50901"/>
    <w:rsid w:val="00C513A7"/>
    <w:rsid w:val="00C51C03"/>
    <w:rsid w:val="00C51CF2"/>
    <w:rsid w:val="00C52077"/>
    <w:rsid w:val="00C5221F"/>
    <w:rsid w:val="00C526AB"/>
    <w:rsid w:val="00C52A16"/>
    <w:rsid w:val="00C52B49"/>
    <w:rsid w:val="00C531B0"/>
    <w:rsid w:val="00C533C1"/>
    <w:rsid w:val="00C534B9"/>
    <w:rsid w:val="00C53700"/>
    <w:rsid w:val="00C537CE"/>
    <w:rsid w:val="00C539EB"/>
    <w:rsid w:val="00C53C3F"/>
    <w:rsid w:val="00C541C1"/>
    <w:rsid w:val="00C544FA"/>
    <w:rsid w:val="00C5459C"/>
    <w:rsid w:val="00C54761"/>
    <w:rsid w:val="00C55078"/>
    <w:rsid w:val="00C55413"/>
    <w:rsid w:val="00C5585F"/>
    <w:rsid w:val="00C55870"/>
    <w:rsid w:val="00C55A5D"/>
    <w:rsid w:val="00C55A92"/>
    <w:rsid w:val="00C56DAC"/>
    <w:rsid w:val="00C56FBD"/>
    <w:rsid w:val="00C57189"/>
    <w:rsid w:val="00C577B9"/>
    <w:rsid w:val="00C60002"/>
    <w:rsid w:val="00C604FA"/>
    <w:rsid w:val="00C6085E"/>
    <w:rsid w:val="00C60A02"/>
    <w:rsid w:val="00C61FBB"/>
    <w:rsid w:val="00C62BBC"/>
    <w:rsid w:val="00C632F3"/>
    <w:rsid w:val="00C6371D"/>
    <w:rsid w:val="00C63818"/>
    <w:rsid w:val="00C63935"/>
    <w:rsid w:val="00C6398E"/>
    <w:rsid w:val="00C63D0C"/>
    <w:rsid w:val="00C64905"/>
    <w:rsid w:val="00C64A0A"/>
    <w:rsid w:val="00C64F59"/>
    <w:rsid w:val="00C64F6E"/>
    <w:rsid w:val="00C64FEA"/>
    <w:rsid w:val="00C65497"/>
    <w:rsid w:val="00C655FA"/>
    <w:rsid w:val="00C656FC"/>
    <w:rsid w:val="00C65769"/>
    <w:rsid w:val="00C65AC0"/>
    <w:rsid w:val="00C65BEE"/>
    <w:rsid w:val="00C65F5E"/>
    <w:rsid w:val="00C6604A"/>
    <w:rsid w:val="00C660C2"/>
    <w:rsid w:val="00C66209"/>
    <w:rsid w:val="00C662A9"/>
    <w:rsid w:val="00C663DF"/>
    <w:rsid w:val="00C6645B"/>
    <w:rsid w:val="00C6689D"/>
    <w:rsid w:val="00C66AEC"/>
    <w:rsid w:val="00C67395"/>
    <w:rsid w:val="00C6775C"/>
    <w:rsid w:val="00C700DD"/>
    <w:rsid w:val="00C704AE"/>
    <w:rsid w:val="00C706F5"/>
    <w:rsid w:val="00C70B06"/>
    <w:rsid w:val="00C711B8"/>
    <w:rsid w:val="00C711F7"/>
    <w:rsid w:val="00C7136C"/>
    <w:rsid w:val="00C71406"/>
    <w:rsid w:val="00C714C7"/>
    <w:rsid w:val="00C7150B"/>
    <w:rsid w:val="00C717CC"/>
    <w:rsid w:val="00C71B6C"/>
    <w:rsid w:val="00C71DE6"/>
    <w:rsid w:val="00C71E3F"/>
    <w:rsid w:val="00C72335"/>
    <w:rsid w:val="00C725ED"/>
    <w:rsid w:val="00C72701"/>
    <w:rsid w:val="00C72863"/>
    <w:rsid w:val="00C728EF"/>
    <w:rsid w:val="00C7296B"/>
    <w:rsid w:val="00C72D6C"/>
    <w:rsid w:val="00C73645"/>
    <w:rsid w:val="00C73DCC"/>
    <w:rsid w:val="00C741E9"/>
    <w:rsid w:val="00C75511"/>
    <w:rsid w:val="00C75D69"/>
    <w:rsid w:val="00C76E0C"/>
    <w:rsid w:val="00C76EEA"/>
    <w:rsid w:val="00C779F3"/>
    <w:rsid w:val="00C77F8B"/>
    <w:rsid w:val="00C77F92"/>
    <w:rsid w:val="00C809FC"/>
    <w:rsid w:val="00C80DE9"/>
    <w:rsid w:val="00C80E20"/>
    <w:rsid w:val="00C81128"/>
    <w:rsid w:val="00C81364"/>
    <w:rsid w:val="00C81959"/>
    <w:rsid w:val="00C81B4E"/>
    <w:rsid w:val="00C81DB6"/>
    <w:rsid w:val="00C8205A"/>
    <w:rsid w:val="00C824D6"/>
    <w:rsid w:val="00C82579"/>
    <w:rsid w:val="00C82ABE"/>
    <w:rsid w:val="00C82BBF"/>
    <w:rsid w:val="00C83CC8"/>
    <w:rsid w:val="00C83DCF"/>
    <w:rsid w:val="00C8492C"/>
    <w:rsid w:val="00C84E80"/>
    <w:rsid w:val="00C84EA5"/>
    <w:rsid w:val="00C85C0F"/>
    <w:rsid w:val="00C85F3F"/>
    <w:rsid w:val="00C865BC"/>
    <w:rsid w:val="00C86F5F"/>
    <w:rsid w:val="00C875C4"/>
    <w:rsid w:val="00C90599"/>
    <w:rsid w:val="00C90A99"/>
    <w:rsid w:val="00C910F0"/>
    <w:rsid w:val="00C91196"/>
    <w:rsid w:val="00C9135F"/>
    <w:rsid w:val="00C91F1C"/>
    <w:rsid w:val="00C92654"/>
    <w:rsid w:val="00C92B65"/>
    <w:rsid w:val="00C92CD1"/>
    <w:rsid w:val="00C93171"/>
    <w:rsid w:val="00C933D7"/>
    <w:rsid w:val="00C9392E"/>
    <w:rsid w:val="00C93B20"/>
    <w:rsid w:val="00C93F8A"/>
    <w:rsid w:val="00C94173"/>
    <w:rsid w:val="00C943E3"/>
    <w:rsid w:val="00C943FD"/>
    <w:rsid w:val="00C9483A"/>
    <w:rsid w:val="00C94BF6"/>
    <w:rsid w:val="00C94CEA"/>
    <w:rsid w:val="00C953F8"/>
    <w:rsid w:val="00C953FE"/>
    <w:rsid w:val="00C959CF"/>
    <w:rsid w:val="00C95CCE"/>
    <w:rsid w:val="00C95ED4"/>
    <w:rsid w:val="00C96236"/>
    <w:rsid w:val="00C96683"/>
    <w:rsid w:val="00C966EE"/>
    <w:rsid w:val="00C96702"/>
    <w:rsid w:val="00C96936"/>
    <w:rsid w:val="00C969C4"/>
    <w:rsid w:val="00C97938"/>
    <w:rsid w:val="00CA02F4"/>
    <w:rsid w:val="00CA0B78"/>
    <w:rsid w:val="00CA1061"/>
    <w:rsid w:val="00CA10B8"/>
    <w:rsid w:val="00CA1131"/>
    <w:rsid w:val="00CA138D"/>
    <w:rsid w:val="00CA17AE"/>
    <w:rsid w:val="00CA1A8F"/>
    <w:rsid w:val="00CA1AB1"/>
    <w:rsid w:val="00CA1E5A"/>
    <w:rsid w:val="00CA201B"/>
    <w:rsid w:val="00CA2888"/>
    <w:rsid w:val="00CA2BA8"/>
    <w:rsid w:val="00CA2BB9"/>
    <w:rsid w:val="00CA302C"/>
    <w:rsid w:val="00CA302D"/>
    <w:rsid w:val="00CA42D1"/>
    <w:rsid w:val="00CA4320"/>
    <w:rsid w:val="00CA43BC"/>
    <w:rsid w:val="00CA4B6A"/>
    <w:rsid w:val="00CA5605"/>
    <w:rsid w:val="00CA5689"/>
    <w:rsid w:val="00CA5B35"/>
    <w:rsid w:val="00CA5C91"/>
    <w:rsid w:val="00CA6269"/>
    <w:rsid w:val="00CA63F8"/>
    <w:rsid w:val="00CA68A3"/>
    <w:rsid w:val="00CA68BD"/>
    <w:rsid w:val="00CA6E17"/>
    <w:rsid w:val="00CA6FB6"/>
    <w:rsid w:val="00CA721F"/>
    <w:rsid w:val="00CA742E"/>
    <w:rsid w:val="00CA7B15"/>
    <w:rsid w:val="00CA7EA0"/>
    <w:rsid w:val="00CB0831"/>
    <w:rsid w:val="00CB0E8E"/>
    <w:rsid w:val="00CB142C"/>
    <w:rsid w:val="00CB163A"/>
    <w:rsid w:val="00CB16F4"/>
    <w:rsid w:val="00CB1C36"/>
    <w:rsid w:val="00CB2A04"/>
    <w:rsid w:val="00CB2A42"/>
    <w:rsid w:val="00CB3401"/>
    <w:rsid w:val="00CB3933"/>
    <w:rsid w:val="00CB3B8A"/>
    <w:rsid w:val="00CB3CBE"/>
    <w:rsid w:val="00CB4135"/>
    <w:rsid w:val="00CB4884"/>
    <w:rsid w:val="00CB4E64"/>
    <w:rsid w:val="00CB512B"/>
    <w:rsid w:val="00CB554D"/>
    <w:rsid w:val="00CB59F7"/>
    <w:rsid w:val="00CB5B07"/>
    <w:rsid w:val="00CB62BA"/>
    <w:rsid w:val="00CB684C"/>
    <w:rsid w:val="00CB696B"/>
    <w:rsid w:val="00CB6D78"/>
    <w:rsid w:val="00CB6E47"/>
    <w:rsid w:val="00CB746E"/>
    <w:rsid w:val="00CB78C8"/>
    <w:rsid w:val="00CC02F1"/>
    <w:rsid w:val="00CC04BF"/>
    <w:rsid w:val="00CC0B63"/>
    <w:rsid w:val="00CC165F"/>
    <w:rsid w:val="00CC170C"/>
    <w:rsid w:val="00CC1D0D"/>
    <w:rsid w:val="00CC1F9F"/>
    <w:rsid w:val="00CC1FB9"/>
    <w:rsid w:val="00CC2006"/>
    <w:rsid w:val="00CC2016"/>
    <w:rsid w:val="00CC2806"/>
    <w:rsid w:val="00CC2C5B"/>
    <w:rsid w:val="00CC31DA"/>
    <w:rsid w:val="00CC3840"/>
    <w:rsid w:val="00CC3F53"/>
    <w:rsid w:val="00CC3F5E"/>
    <w:rsid w:val="00CC4208"/>
    <w:rsid w:val="00CC4339"/>
    <w:rsid w:val="00CC43D1"/>
    <w:rsid w:val="00CC46B5"/>
    <w:rsid w:val="00CC4838"/>
    <w:rsid w:val="00CC4EF1"/>
    <w:rsid w:val="00CC536B"/>
    <w:rsid w:val="00CC581A"/>
    <w:rsid w:val="00CC5B33"/>
    <w:rsid w:val="00CC5C1E"/>
    <w:rsid w:val="00CC5E2D"/>
    <w:rsid w:val="00CC5F6C"/>
    <w:rsid w:val="00CC5FEB"/>
    <w:rsid w:val="00CC6FE0"/>
    <w:rsid w:val="00CC70E0"/>
    <w:rsid w:val="00CC779A"/>
    <w:rsid w:val="00CC78F2"/>
    <w:rsid w:val="00CD00E0"/>
    <w:rsid w:val="00CD0C75"/>
    <w:rsid w:val="00CD0D21"/>
    <w:rsid w:val="00CD1E71"/>
    <w:rsid w:val="00CD2A65"/>
    <w:rsid w:val="00CD30C8"/>
    <w:rsid w:val="00CD3161"/>
    <w:rsid w:val="00CD33D8"/>
    <w:rsid w:val="00CD352C"/>
    <w:rsid w:val="00CD3A7B"/>
    <w:rsid w:val="00CD3BD9"/>
    <w:rsid w:val="00CD3E30"/>
    <w:rsid w:val="00CD41BF"/>
    <w:rsid w:val="00CD4345"/>
    <w:rsid w:val="00CD4656"/>
    <w:rsid w:val="00CD4CC4"/>
    <w:rsid w:val="00CD53A1"/>
    <w:rsid w:val="00CD5752"/>
    <w:rsid w:val="00CD6910"/>
    <w:rsid w:val="00CD6A61"/>
    <w:rsid w:val="00CD6B1A"/>
    <w:rsid w:val="00CD7AEC"/>
    <w:rsid w:val="00CD7C62"/>
    <w:rsid w:val="00CD7F83"/>
    <w:rsid w:val="00CE04F2"/>
    <w:rsid w:val="00CE090A"/>
    <w:rsid w:val="00CE0D88"/>
    <w:rsid w:val="00CE18E6"/>
    <w:rsid w:val="00CE1A19"/>
    <w:rsid w:val="00CE1C8B"/>
    <w:rsid w:val="00CE2236"/>
    <w:rsid w:val="00CE250A"/>
    <w:rsid w:val="00CE2773"/>
    <w:rsid w:val="00CE2B18"/>
    <w:rsid w:val="00CE30AB"/>
    <w:rsid w:val="00CE3249"/>
    <w:rsid w:val="00CE32C9"/>
    <w:rsid w:val="00CE356E"/>
    <w:rsid w:val="00CE3625"/>
    <w:rsid w:val="00CE3900"/>
    <w:rsid w:val="00CE4770"/>
    <w:rsid w:val="00CE4792"/>
    <w:rsid w:val="00CE48B2"/>
    <w:rsid w:val="00CE4C2E"/>
    <w:rsid w:val="00CE4F76"/>
    <w:rsid w:val="00CE52B8"/>
    <w:rsid w:val="00CE561E"/>
    <w:rsid w:val="00CE56FB"/>
    <w:rsid w:val="00CE572B"/>
    <w:rsid w:val="00CE58CF"/>
    <w:rsid w:val="00CE5907"/>
    <w:rsid w:val="00CE6053"/>
    <w:rsid w:val="00CE61BE"/>
    <w:rsid w:val="00CE67F9"/>
    <w:rsid w:val="00CE720E"/>
    <w:rsid w:val="00CE796B"/>
    <w:rsid w:val="00CE7A59"/>
    <w:rsid w:val="00CF00DC"/>
    <w:rsid w:val="00CF0210"/>
    <w:rsid w:val="00CF057F"/>
    <w:rsid w:val="00CF29F0"/>
    <w:rsid w:val="00CF2B8B"/>
    <w:rsid w:val="00CF348A"/>
    <w:rsid w:val="00CF43BA"/>
    <w:rsid w:val="00CF4413"/>
    <w:rsid w:val="00CF457A"/>
    <w:rsid w:val="00CF459C"/>
    <w:rsid w:val="00CF4682"/>
    <w:rsid w:val="00CF495D"/>
    <w:rsid w:val="00CF4A67"/>
    <w:rsid w:val="00CF4E07"/>
    <w:rsid w:val="00CF503C"/>
    <w:rsid w:val="00CF50F4"/>
    <w:rsid w:val="00CF55EF"/>
    <w:rsid w:val="00CF5853"/>
    <w:rsid w:val="00CF5BCC"/>
    <w:rsid w:val="00CF5D3C"/>
    <w:rsid w:val="00CF5FE1"/>
    <w:rsid w:val="00CF618D"/>
    <w:rsid w:val="00CF61AE"/>
    <w:rsid w:val="00CF6347"/>
    <w:rsid w:val="00CF67AC"/>
    <w:rsid w:val="00CF6DDE"/>
    <w:rsid w:val="00CF7AE3"/>
    <w:rsid w:val="00D004F9"/>
    <w:rsid w:val="00D008A6"/>
    <w:rsid w:val="00D00CC7"/>
    <w:rsid w:val="00D00E31"/>
    <w:rsid w:val="00D01BC7"/>
    <w:rsid w:val="00D022C3"/>
    <w:rsid w:val="00D02324"/>
    <w:rsid w:val="00D02C9E"/>
    <w:rsid w:val="00D02E37"/>
    <w:rsid w:val="00D02E91"/>
    <w:rsid w:val="00D02FDF"/>
    <w:rsid w:val="00D0311C"/>
    <w:rsid w:val="00D03524"/>
    <w:rsid w:val="00D037E9"/>
    <w:rsid w:val="00D03B89"/>
    <w:rsid w:val="00D03D1F"/>
    <w:rsid w:val="00D03E13"/>
    <w:rsid w:val="00D04242"/>
    <w:rsid w:val="00D04871"/>
    <w:rsid w:val="00D05062"/>
    <w:rsid w:val="00D0559E"/>
    <w:rsid w:val="00D05A8E"/>
    <w:rsid w:val="00D05CB8"/>
    <w:rsid w:val="00D05DB0"/>
    <w:rsid w:val="00D05F4A"/>
    <w:rsid w:val="00D06284"/>
    <w:rsid w:val="00D065CC"/>
    <w:rsid w:val="00D06895"/>
    <w:rsid w:val="00D069E0"/>
    <w:rsid w:val="00D1001B"/>
    <w:rsid w:val="00D10463"/>
    <w:rsid w:val="00D104CD"/>
    <w:rsid w:val="00D108CE"/>
    <w:rsid w:val="00D10A80"/>
    <w:rsid w:val="00D10B79"/>
    <w:rsid w:val="00D10DB0"/>
    <w:rsid w:val="00D110AF"/>
    <w:rsid w:val="00D11256"/>
    <w:rsid w:val="00D11614"/>
    <w:rsid w:val="00D11C15"/>
    <w:rsid w:val="00D120F0"/>
    <w:rsid w:val="00D125AD"/>
    <w:rsid w:val="00D12950"/>
    <w:rsid w:val="00D12D29"/>
    <w:rsid w:val="00D13069"/>
    <w:rsid w:val="00D13458"/>
    <w:rsid w:val="00D134E2"/>
    <w:rsid w:val="00D13D25"/>
    <w:rsid w:val="00D14092"/>
    <w:rsid w:val="00D14CFA"/>
    <w:rsid w:val="00D150DC"/>
    <w:rsid w:val="00D153A2"/>
    <w:rsid w:val="00D15459"/>
    <w:rsid w:val="00D15819"/>
    <w:rsid w:val="00D16187"/>
    <w:rsid w:val="00D1632B"/>
    <w:rsid w:val="00D167C7"/>
    <w:rsid w:val="00D169FB"/>
    <w:rsid w:val="00D17549"/>
    <w:rsid w:val="00D17598"/>
    <w:rsid w:val="00D17C2E"/>
    <w:rsid w:val="00D203A4"/>
    <w:rsid w:val="00D20649"/>
    <w:rsid w:val="00D20906"/>
    <w:rsid w:val="00D21754"/>
    <w:rsid w:val="00D218B7"/>
    <w:rsid w:val="00D22252"/>
    <w:rsid w:val="00D22306"/>
    <w:rsid w:val="00D22766"/>
    <w:rsid w:val="00D22B36"/>
    <w:rsid w:val="00D23470"/>
    <w:rsid w:val="00D236E9"/>
    <w:rsid w:val="00D23BBB"/>
    <w:rsid w:val="00D24013"/>
    <w:rsid w:val="00D241E1"/>
    <w:rsid w:val="00D2435D"/>
    <w:rsid w:val="00D24483"/>
    <w:rsid w:val="00D2449F"/>
    <w:rsid w:val="00D2475E"/>
    <w:rsid w:val="00D24CEC"/>
    <w:rsid w:val="00D24F81"/>
    <w:rsid w:val="00D250F6"/>
    <w:rsid w:val="00D2535A"/>
    <w:rsid w:val="00D253F3"/>
    <w:rsid w:val="00D25415"/>
    <w:rsid w:val="00D25722"/>
    <w:rsid w:val="00D2644F"/>
    <w:rsid w:val="00D27FE3"/>
    <w:rsid w:val="00D301DD"/>
    <w:rsid w:val="00D3037D"/>
    <w:rsid w:val="00D304F3"/>
    <w:rsid w:val="00D308CD"/>
    <w:rsid w:val="00D31005"/>
    <w:rsid w:val="00D31180"/>
    <w:rsid w:val="00D314A5"/>
    <w:rsid w:val="00D328F3"/>
    <w:rsid w:val="00D32968"/>
    <w:rsid w:val="00D32C7E"/>
    <w:rsid w:val="00D335DB"/>
    <w:rsid w:val="00D33627"/>
    <w:rsid w:val="00D336E2"/>
    <w:rsid w:val="00D33B1A"/>
    <w:rsid w:val="00D34248"/>
    <w:rsid w:val="00D3478B"/>
    <w:rsid w:val="00D34907"/>
    <w:rsid w:val="00D354AF"/>
    <w:rsid w:val="00D35A94"/>
    <w:rsid w:val="00D35B06"/>
    <w:rsid w:val="00D376A8"/>
    <w:rsid w:val="00D37B35"/>
    <w:rsid w:val="00D37E0A"/>
    <w:rsid w:val="00D40496"/>
    <w:rsid w:val="00D4074D"/>
    <w:rsid w:val="00D40CF4"/>
    <w:rsid w:val="00D40E79"/>
    <w:rsid w:val="00D41014"/>
    <w:rsid w:val="00D41474"/>
    <w:rsid w:val="00D418FE"/>
    <w:rsid w:val="00D420DA"/>
    <w:rsid w:val="00D4217E"/>
    <w:rsid w:val="00D42412"/>
    <w:rsid w:val="00D43205"/>
    <w:rsid w:val="00D43562"/>
    <w:rsid w:val="00D4392A"/>
    <w:rsid w:val="00D43E2F"/>
    <w:rsid w:val="00D43F3C"/>
    <w:rsid w:val="00D443D5"/>
    <w:rsid w:val="00D447EB"/>
    <w:rsid w:val="00D44994"/>
    <w:rsid w:val="00D44CA6"/>
    <w:rsid w:val="00D45035"/>
    <w:rsid w:val="00D45657"/>
    <w:rsid w:val="00D45EB5"/>
    <w:rsid w:val="00D460A7"/>
    <w:rsid w:val="00D4654B"/>
    <w:rsid w:val="00D46881"/>
    <w:rsid w:val="00D46CD1"/>
    <w:rsid w:val="00D46D05"/>
    <w:rsid w:val="00D46F8D"/>
    <w:rsid w:val="00D500AD"/>
    <w:rsid w:val="00D50FD1"/>
    <w:rsid w:val="00D51481"/>
    <w:rsid w:val="00D516C6"/>
    <w:rsid w:val="00D517D9"/>
    <w:rsid w:val="00D51A47"/>
    <w:rsid w:val="00D52488"/>
    <w:rsid w:val="00D52DDE"/>
    <w:rsid w:val="00D5314A"/>
    <w:rsid w:val="00D53B23"/>
    <w:rsid w:val="00D53D70"/>
    <w:rsid w:val="00D542B3"/>
    <w:rsid w:val="00D544AA"/>
    <w:rsid w:val="00D5468E"/>
    <w:rsid w:val="00D54C9C"/>
    <w:rsid w:val="00D54F7A"/>
    <w:rsid w:val="00D55AB0"/>
    <w:rsid w:val="00D55E55"/>
    <w:rsid w:val="00D55F21"/>
    <w:rsid w:val="00D566E1"/>
    <w:rsid w:val="00D571DB"/>
    <w:rsid w:val="00D57895"/>
    <w:rsid w:val="00D57D09"/>
    <w:rsid w:val="00D57E1E"/>
    <w:rsid w:val="00D60387"/>
    <w:rsid w:val="00D60C44"/>
    <w:rsid w:val="00D60D71"/>
    <w:rsid w:val="00D61809"/>
    <w:rsid w:val="00D61D96"/>
    <w:rsid w:val="00D61F49"/>
    <w:rsid w:val="00D628E1"/>
    <w:rsid w:val="00D62B7D"/>
    <w:rsid w:val="00D62B8B"/>
    <w:rsid w:val="00D62E39"/>
    <w:rsid w:val="00D62EF7"/>
    <w:rsid w:val="00D62FD9"/>
    <w:rsid w:val="00D63159"/>
    <w:rsid w:val="00D631C2"/>
    <w:rsid w:val="00D63A6D"/>
    <w:rsid w:val="00D63B19"/>
    <w:rsid w:val="00D642B9"/>
    <w:rsid w:val="00D647F0"/>
    <w:rsid w:val="00D6491D"/>
    <w:rsid w:val="00D64D6B"/>
    <w:rsid w:val="00D65054"/>
    <w:rsid w:val="00D65730"/>
    <w:rsid w:val="00D658C2"/>
    <w:rsid w:val="00D659EF"/>
    <w:rsid w:val="00D65C40"/>
    <w:rsid w:val="00D65C91"/>
    <w:rsid w:val="00D66268"/>
    <w:rsid w:val="00D66704"/>
    <w:rsid w:val="00D67355"/>
    <w:rsid w:val="00D6791A"/>
    <w:rsid w:val="00D70019"/>
    <w:rsid w:val="00D700CA"/>
    <w:rsid w:val="00D7015E"/>
    <w:rsid w:val="00D702F8"/>
    <w:rsid w:val="00D70851"/>
    <w:rsid w:val="00D70926"/>
    <w:rsid w:val="00D70965"/>
    <w:rsid w:val="00D70E32"/>
    <w:rsid w:val="00D71C0C"/>
    <w:rsid w:val="00D72660"/>
    <w:rsid w:val="00D72E2C"/>
    <w:rsid w:val="00D72FF4"/>
    <w:rsid w:val="00D73098"/>
    <w:rsid w:val="00D7315F"/>
    <w:rsid w:val="00D7334A"/>
    <w:rsid w:val="00D74395"/>
    <w:rsid w:val="00D743DA"/>
    <w:rsid w:val="00D744C9"/>
    <w:rsid w:val="00D7458C"/>
    <w:rsid w:val="00D74F95"/>
    <w:rsid w:val="00D7690A"/>
    <w:rsid w:val="00D76FB1"/>
    <w:rsid w:val="00D7700D"/>
    <w:rsid w:val="00D77904"/>
    <w:rsid w:val="00D77DAF"/>
    <w:rsid w:val="00D800BC"/>
    <w:rsid w:val="00D80A8E"/>
    <w:rsid w:val="00D80C70"/>
    <w:rsid w:val="00D80D6C"/>
    <w:rsid w:val="00D80F58"/>
    <w:rsid w:val="00D8177B"/>
    <w:rsid w:val="00D81A19"/>
    <w:rsid w:val="00D81AB9"/>
    <w:rsid w:val="00D81BE7"/>
    <w:rsid w:val="00D8272D"/>
    <w:rsid w:val="00D82801"/>
    <w:rsid w:val="00D838A8"/>
    <w:rsid w:val="00D8424A"/>
    <w:rsid w:val="00D8425E"/>
    <w:rsid w:val="00D84A4F"/>
    <w:rsid w:val="00D84ECE"/>
    <w:rsid w:val="00D85307"/>
    <w:rsid w:val="00D85B6F"/>
    <w:rsid w:val="00D86070"/>
    <w:rsid w:val="00D86770"/>
    <w:rsid w:val="00D86F77"/>
    <w:rsid w:val="00D87A8F"/>
    <w:rsid w:val="00D87B19"/>
    <w:rsid w:val="00D87FA6"/>
    <w:rsid w:val="00D90085"/>
    <w:rsid w:val="00D904C5"/>
    <w:rsid w:val="00D90587"/>
    <w:rsid w:val="00D906AD"/>
    <w:rsid w:val="00D90D21"/>
    <w:rsid w:val="00D917AE"/>
    <w:rsid w:val="00D9259F"/>
    <w:rsid w:val="00D92A6E"/>
    <w:rsid w:val="00D934BD"/>
    <w:rsid w:val="00D93738"/>
    <w:rsid w:val="00D93910"/>
    <w:rsid w:val="00D93B29"/>
    <w:rsid w:val="00D93FD4"/>
    <w:rsid w:val="00D9555A"/>
    <w:rsid w:val="00D963EE"/>
    <w:rsid w:val="00D9645E"/>
    <w:rsid w:val="00D96554"/>
    <w:rsid w:val="00D96F27"/>
    <w:rsid w:val="00D97A5A"/>
    <w:rsid w:val="00D97AD3"/>
    <w:rsid w:val="00D97B78"/>
    <w:rsid w:val="00DA0653"/>
    <w:rsid w:val="00DA07A5"/>
    <w:rsid w:val="00DA092D"/>
    <w:rsid w:val="00DA1260"/>
    <w:rsid w:val="00DA168F"/>
    <w:rsid w:val="00DA1A1F"/>
    <w:rsid w:val="00DA25EC"/>
    <w:rsid w:val="00DA2AB4"/>
    <w:rsid w:val="00DA2B58"/>
    <w:rsid w:val="00DA2BD8"/>
    <w:rsid w:val="00DA2DC9"/>
    <w:rsid w:val="00DA3232"/>
    <w:rsid w:val="00DA340A"/>
    <w:rsid w:val="00DA3687"/>
    <w:rsid w:val="00DA38B9"/>
    <w:rsid w:val="00DA4664"/>
    <w:rsid w:val="00DA5FCF"/>
    <w:rsid w:val="00DA676E"/>
    <w:rsid w:val="00DA6B6E"/>
    <w:rsid w:val="00DA6DC1"/>
    <w:rsid w:val="00DA763E"/>
    <w:rsid w:val="00DA7892"/>
    <w:rsid w:val="00DA79DF"/>
    <w:rsid w:val="00DA7BB1"/>
    <w:rsid w:val="00DB0D6A"/>
    <w:rsid w:val="00DB1451"/>
    <w:rsid w:val="00DB1999"/>
    <w:rsid w:val="00DB244A"/>
    <w:rsid w:val="00DB2746"/>
    <w:rsid w:val="00DB28FB"/>
    <w:rsid w:val="00DB2957"/>
    <w:rsid w:val="00DB2A7B"/>
    <w:rsid w:val="00DB3189"/>
    <w:rsid w:val="00DB34C1"/>
    <w:rsid w:val="00DB3C79"/>
    <w:rsid w:val="00DB3CC2"/>
    <w:rsid w:val="00DB414B"/>
    <w:rsid w:val="00DB426A"/>
    <w:rsid w:val="00DB4528"/>
    <w:rsid w:val="00DB4965"/>
    <w:rsid w:val="00DB4C6D"/>
    <w:rsid w:val="00DB539D"/>
    <w:rsid w:val="00DB5957"/>
    <w:rsid w:val="00DB5C83"/>
    <w:rsid w:val="00DB5E34"/>
    <w:rsid w:val="00DB5E53"/>
    <w:rsid w:val="00DB5F42"/>
    <w:rsid w:val="00DB62BD"/>
    <w:rsid w:val="00DB677A"/>
    <w:rsid w:val="00DB6945"/>
    <w:rsid w:val="00DB6A68"/>
    <w:rsid w:val="00DB6D8F"/>
    <w:rsid w:val="00DB6DAD"/>
    <w:rsid w:val="00DB6E74"/>
    <w:rsid w:val="00DB6FAB"/>
    <w:rsid w:val="00DB78B6"/>
    <w:rsid w:val="00DB7D3D"/>
    <w:rsid w:val="00DB7E63"/>
    <w:rsid w:val="00DB7F2F"/>
    <w:rsid w:val="00DC03AA"/>
    <w:rsid w:val="00DC09D4"/>
    <w:rsid w:val="00DC0C43"/>
    <w:rsid w:val="00DC2305"/>
    <w:rsid w:val="00DC294E"/>
    <w:rsid w:val="00DC38ED"/>
    <w:rsid w:val="00DC3BD3"/>
    <w:rsid w:val="00DC3FD1"/>
    <w:rsid w:val="00DC43C6"/>
    <w:rsid w:val="00DC4562"/>
    <w:rsid w:val="00DC48C7"/>
    <w:rsid w:val="00DC49F1"/>
    <w:rsid w:val="00DC4C48"/>
    <w:rsid w:val="00DC4C8B"/>
    <w:rsid w:val="00DC5142"/>
    <w:rsid w:val="00DC5ABE"/>
    <w:rsid w:val="00DC747C"/>
    <w:rsid w:val="00DC77A6"/>
    <w:rsid w:val="00DD015E"/>
    <w:rsid w:val="00DD0DD2"/>
    <w:rsid w:val="00DD14AA"/>
    <w:rsid w:val="00DD160C"/>
    <w:rsid w:val="00DD19C6"/>
    <w:rsid w:val="00DD242C"/>
    <w:rsid w:val="00DD25D9"/>
    <w:rsid w:val="00DD28FD"/>
    <w:rsid w:val="00DD3223"/>
    <w:rsid w:val="00DD334D"/>
    <w:rsid w:val="00DD354A"/>
    <w:rsid w:val="00DD36BC"/>
    <w:rsid w:val="00DD3966"/>
    <w:rsid w:val="00DD3D72"/>
    <w:rsid w:val="00DD44B1"/>
    <w:rsid w:val="00DD4744"/>
    <w:rsid w:val="00DD52B9"/>
    <w:rsid w:val="00DD562A"/>
    <w:rsid w:val="00DD5742"/>
    <w:rsid w:val="00DD5816"/>
    <w:rsid w:val="00DD5AFC"/>
    <w:rsid w:val="00DD5C58"/>
    <w:rsid w:val="00DD6166"/>
    <w:rsid w:val="00DD6520"/>
    <w:rsid w:val="00DD6582"/>
    <w:rsid w:val="00DD7008"/>
    <w:rsid w:val="00DD70FF"/>
    <w:rsid w:val="00DD72E8"/>
    <w:rsid w:val="00DD77F7"/>
    <w:rsid w:val="00DD7825"/>
    <w:rsid w:val="00DE0CC1"/>
    <w:rsid w:val="00DE11B5"/>
    <w:rsid w:val="00DE15D4"/>
    <w:rsid w:val="00DE16D9"/>
    <w:rsid w:val="00DE22D9"/>
    <w:rsid w:val="00DE286B"/>
    <w:rsid w:val="00DE2980"/>
    <w:rsid w:val="00DE2A39"/>
    <w:rsid w:val="00DE2DF1"/>
    <w:rsid w:val="00DE2E49"/>
    <w:rsid w:val="00DE2E7F"/>
    <w:rsid w:val="00DE2EE2"/>
    <w:rsid w:val="00DE3E75"/>
    <w:rsid w:val="00DE4270"/>
    <w:rsid w:val="00DE4B52"/>
    <w:rsid w:val="00DE5017"/>
    <w:rsid w:val="00DE5248"/>
    <w:rsid w:val="00DE5498"/>
    <w:rsid w:val="00DE5592"/>
    <w:rsid w:val="00DE5B85"/>
    <w:rsid w:val="00DE5CD3"/>
    <w:rsid w:val="00DE5E44"/>
    <w:rsid w:val="00DE6108"/>
    <w:rsid w:val="00DE623A"/>
    <w:rsid w:val="00DE6837"/>
    <w:rsid w:val="00DE6BB2"/>
    <w:rsid w:val="00DE7003"/>
    <w:rsid w:val="00DE70DF"/>
    <w:rsid w:val="00DE7446"/>
    <w:rsid w:val="00DE7812"/>
    <w:rsid w:val="00DE781F"/>
    <w:rsid w:val="00DE78A0"/>
    <w:rsid w:val="00DF035F"/>
    <w:rsid w:val="00DF11E3"/>
    <w:rsid w:val="00DF154D"/>
    <w:rsid w:val="00DF4845"/>
    <w:rsid w:val="00DF4D77"/>
    <w:rsid w:val="00DF53DA"/>
    <w:rsid w:val="00DF55D9"/>
    <w:rsid w:val="00DF5872"/>
    <w:rsid w:val="00DF588D"/>
    <w:rsid w:val="00DF5AA1"/>
    <w:rsid w:val="00DF5D6A"/>
    <w:rsid w:val="00DF60A3"/>
    <w:rsid w:val="00DF60CC"/>
    <w:rsid w:val="00DF64FB"/>
    <w:rsid w:val="00DF656D"/>
    <w:rsid w:val="00DF680B"/>
    <w:rsid w:val="00DF6EC4"/>
    <w:rsid w:val="00DF7112"/>
    <w:rsid w:val="00DF7677"/>
    <w:rsid w:val="00DF7C00"/>
    <w:rsid w:val="00DF7D0A"/>
    <w:rsid w:val="00E00476"/>
    <w:rsid w:val="00E00576"/>
    <w:rsid w:val="00E00801"/>
    <w:rsid w:val="00E00C34"/>
    <w:rsid w:val="00E011D7"/>
    <w:rsid w:val="00E0184B"/>
    <w:rsid w:val="00E01A26"/>
    <w:rsid w:val="00E01EC1"/>
    <w:rsid w:val="00E02345"/>
    <w:rsid w:val="00E02D6C"/>
    <w:rsid w:val="00E02EFD"/>
    <w:rsid w:val="00E02FF7"/>
    <w:rsid w:val="00E037CF"/>
    <w:rsid w:val="00E03EA8"/>
    <w:rsid w:val="00E04143"/>
    <w:rsid w:val="00E041CE"/>
    <w:rsid w:val="00E0433D"/>
    <w:rsid w:val="00E04739"/>
    <w:rsid w:val="00E0491A"/>
    <w:rsid w:val="00E04BEA"/>
    <w:rsid w:val="00E0599D"/>
    <w:rsid w:val="00E05CCD"/>
    <w:rsid w:val="00E06035"/>
    <w:rsid w:val="00E06143"/>
    <w:rsid w:val="00E06BE5"/>
    <w:rsid w:val="00E06DE8"/>
    <w:rsid w:val="00E06E5A"/>
    <w:rsid w:val="00E06E80"/>
    <w:rsid w:val="00E071B7"/>
    <w:rsid w:val="00E07270"/>
    <w:rsid w:val="00E07B75"/>
    <w:rsid w:val="00E07C9E"/>
    <w:rsid w:val="00E07CB9"/>
    <w:rsid w:val="00E11549"/>
    <w:rsid w:val="00E115CF"/>
    <w:rsid w:val="00E11685"/>
    <w:rsid w:val="00E116A2"/>
    <w:rsid w:val="00E11AAC"/>
    <w:rsid w:val="00E125C7"/>
    <w:rsid w:val="00E127F1"/>
    <w:rsid w:val="00E12814"/>
    <w:rsid w:val="00E12A97"/>
    <w:rsid w:val="00E13058"/>
    <w:rsid w:val="00E135EA"/>
    <w:rsid w:val="00E136A0"/>
    <w:rsid w:val="00E1385C"/>
    <w:rsid w:val="00E13FE9"/>
    <w:rsid w:val="00E14633"/>
    <w:rsid w:val="00E14AF3"/>
    <w:rsid w:val="00E153BC"/>
    <w:rsid w:val="00E15E5F"/>
    <w:rsid w:val="00E15ECB"/>
    <w:rsid w:val="00E16266"/>
    <w:rsid w:val="00E16506"/>
    <w:rsid w:val="00E166D6"/>
    <w:rsid w:val="00E169ED"/>
    <w:rsid w:val="00E16B37"/>
    <w:rsid w:val="00E16B40"/>
    <w:rsid w:val="00E16BBB"/>
    <w:rsid w:val="00E17786"/>
    <w:rsid w:val="00E17993"/>
    <w:rsid w:val="00E17AA2"/>
    <w:rsid w:val="00E17ADA"/>
    <w:rsid w:val="00E17F43"/>
    <w:rsid w:val="00E17FAD"/>
    <w:rsid w:val="00E207A0"/>
    <w:rsid w:val="00E20930"/>
    <w:rsid w:val="00E20DF8"/>
    <w:rsid w:val="00E214E4"/>
    <w:rsid w:val="00E21F1D"/>
    <w:rsid w:val="00E21F62"/>
    <w:rsid w:val="00E2227E"/>
    <w:rsid w:val="00E225BF"/>
    <w:rsid w:val="00E2328B"/>
    <w:rsid w:val="00E234FE"/>
    <w:rsid w:val="00E2420A"/>
    <w:rsid w:val="00E2483E"/>
    <w:rsid w:val="00E24A25"/>
    <w:rsid w:val="00E24C4B"/>
    <w:rsid w:val="00E24DBE"/>
    <w:rsid w:val="00E254D6"/>
    <w:rsid w:val="00E2584D"/>
    <w:rsid w:val="00E25980"/>
    <w:rsid w:val="00E25D1C"/>
    <w:rsid w:val="00E26043"/>
    <w:rsid w:val="00E26637"/>
    <w:rsid w:val="00E26B8E"/>
    <w:rsid w:val="00E26D2F"/>
    <w:rsid w:val="00E26D7E"/>
    <w:rsid w:val="00E26F28"/>
    <w:rsid w:val="00E272CD"/>
    <w:rsid w:val="00E2790B"/>
    <w:rsid w:val="00E27B98"/>
    <w:rsid w:val="00E27C3F"/>
    <w:rsid w:val="00E27E4F"/>
    <w:rsid w:val="00E30406"/>
    <w:rsid w:val="00E3064A"/>
    <w:rsid w:val="00E309A3"/>
    <w:rsid w:val="00E30A40"/>
    <w:rsid w:val="00E30EB8"/>
    <w:rsid w:val="00E3113B"/>
    <w:rsid w:val="00E3125F"/>
    <w:rsid w:val="00E313FF"/>
    <w:rsid w:val="00E317DD"/>
    <w:rsid w:val="00E31C2B"/>
    <w:rsid w:val="00E32225"/>
    <w:rsid w:val="00E32229"/>
    <w:rsid w:val="00E32482"/>
    <w:rsid w:val="00E3286E"/>
    <w:rsid w:val="00E32CC6"/>
    <w:rsid w:val="00E337C0"/>
    <w:rsid w:val="00E33C14"/>
    <w:rsid w:val="00E33C92"/>
    <w:rsid w:val="00E33E07"/>
    <w:rsid w:val="00E33F2B"/>
    <w:rsid w:val="00E3406F"/>
    <w:rsid w:val="00E341D7"/>
    <w:rsid w:val="00E3460E"/>
    <w:rsid w:val="00E3462D"/>
    <w:rsid w:val="00E34CA2"/>
    <w:rsid w:val="00E35382"/>
    <w:rsid w:val="00E35851"/>
    <w:rsid w:val="00E3594F"/>
    <w:rsid w:val="00E35A98"/>
    <w:rsid w:val="00E35F66"/>
    <w:rsid w:val="00E35F96"/>
    <w:rsid w:val="00E3623E"/>
    <w:rsid w:val="00E367A4"/>
    <w:rsid w:val="00E3696E"/>
    <w:rsid w:val="00E36FA2"/>
    <w:rsid w:val="00E36FDA"/>
    <w:rsid w:val="00E37295"/>
    <w:rsid w:val="00E37786"/>
    <w:rsid w:val="00E3782C"/>
    <w:rsid w:val="00E37A6E"/>
    <w:rsid w:val="00E41221"/>
    <w:rsid w:val="00E41B7E"/>
    <w:rsid w:val="00E41E28"/>
    <w:rsid w:val="00E41E6E"/>
    <w:rsid w:val="00E42587"/>
    <w:rsid w:val="00E42981"/>
    <w:rsid w:val="00E429BC"/>
    <w:rsid w:val="00E42B91"/>
    <w:rsid w:val="00E42D1A"/>
    <w:rsid w:val="00E42DC7"/>
    <w:rsid w:val="00E4367D"/>
    <w:rsid w:val="00E436F7"/>
    <w:rsid w:val="00E438DC"/>
    <w:rsid w:val="00E43CAD"/>
    <w:rsid w:val="00E43CB6"/>
    <w:rsid w:val="00E442C4"/>
    <w:rsid w:val="00E44976"/>
    <w:rsid w:val="00E449FF"/>
    <w:rsid w:val="00E44E6E"/>
    <w:rsid w:val="00E44F61"/>
    <w:rsid w:val="00E451B3"/>
    <w:rsid w:val="00E453A1"/>
    <w:rsid w:val="00E45A15"/>
    <w:rsid w:val="00E45DE9"/>
    <w:rsid w:val="00E45FA2"/>
    <w:rsid w:val="00E46007"/>
    <w:rsid w:val="00E46027"/>
    <w:rsid w:val="00E46118"/>
    <w:rsid w:val="00E461AA"/>
    <w:rsid w:val="00E46226"/>
    <w:rsid w:val="00E46A99"/>
    <w:rsid w:val="00E46C85"/>
    <w:rsid w:val="00E46F13"/>
    <w:rsid w:val="00E470C6"/>
    <w:rsid w:val="00E473E2"/>
    <w:rsid w:val="00E4799D"/>
    <w:rsid w:val="00E5000E"/>
    <w:rsid w:val="00E50399"/>
    <w:rsid w:val="00E50AD7"/>
    <w:rsid w:val="00E511D4"/>
    <w:rsid w:val="00E511D5"/>
    <w:rsid w:val="00E5198F"/>
    <w:rsid w:val="00E51EE1"/>
    <w:rsid w:val="00E52363"/>
    <w:rsid w:val="00E52F0F"/>
    <w:rsid w:val="00E533AA"/>
    <w:rsid w:val="00E534BF"/>
    <w:rsid w:val="00E538C8"/>
    <w:rsid w:val="00E53DDB"/>
    <w:rsid w:val="00E541FC"/>
    <w:rsid w:val="00E54469"/>
    <w:rsid w:val="00E54F44"/>
    <w:rsid w:val="00E55452"/>
    <w:rsid w:val="00E554D1"/>
    <w:rsid w:val="00E55DE1"/>
    <w:rsid w:val="00E5608B"/>
    <w:rsid w:val="00E561A5"/>
    <w:rsid w:val="00E56352"/>
    <w:rsid w:val="00E56485"/>
    <w:rsid w:val="00E56926"/>
    <w:rsid w:val="00E56C1D"/>
    <w:rsid w:val="00E56CF8"/>
    <w:rsid w:val="00E5720E"/>
    <w:rsid w:val="00E57730"/>
    <w:rsid w:val="00E57794"/>
    <w:rsid w:val="00E577D7"/>
    <w:rsid w:val="00E57BBA"/>
    <w:rsid w:val="00E57DBC"/>
    <w:rsid w:val="00E6019F"/>
    <w:rsid w:val="00E605CF"/>
    <w:rsid w:val="00E605E3"/>
    <w:rsid w:val="00E60E5C"/>
    <w:rsid w:val="00E61241"/>
    <w:rsid w:val="00E617AF"/>
    <w:rsid w:val="00E61A5C"/>
    <w:rsid w:val="00E624AC"/>
    <w:rsid w:val="00E62CA2"/>
    <w:rsid w:val="00E62F8A"/>
    <w:rsid w:val="00E63077"/>
    <w:rsid w:val="00E63CD5"/>
    <w:rsid w:val="00E64077"/>
    <w:rsid w:val="00E64462"/>
    <w:rsid w:val="00E64739"/>
    <w:rsid w:val="00E64B7D"/>
    <w:rsid w:val="00E64C0E"/>
    <w:rsid w:val="00E653E0"/>
    <w:rsid w:val="00E65541"/>
    <w:rsid w:val="00E6560C"/>
    <w:rsid w:val="00E6584B"/>
    <w:rsid w:val="00E65D26"/>
    <w:rsid w:val="00E6645D"/>
    <w:rsid w:val="00E664CB"/>
    <w:rsid w:val="00E6655F"/>
    <w:rsid w:val="00E669D7"/>
    <w:rsid w:val="00E66C03"/>
    <w:rsid w:val="00E67749"/>
    <w:rsid w:val="00E677D8"/>
    <w:rsid w:val="00E67FF2"/>
    <w:rsid w:val="00E7012A"/>
    <w:rsid w:val="00E70469"/>
    <w:rsid w:val="00E70686"/>
    <w:rsid w:val="00E70769"/>
    <w:rsid w:val="00E707B7"/>
    <w:rsid w:val="00E70AAB"/>
    <w:rsid w:val="00E70E27"/>
    <w:rsid w:val="00E70E5E"/>
    <w:rsid w:val="00E710A5"/>
    <w:rsid w:val="00E712A7"/>
    <w:rsid w:val="00E714F9"/>
    <w:rsid w:val="00E71ADB"/>
    <w:rsid w:val="00E71B59"/>
    <w:rsid w:val="00E729CE"/>
    <w:rsid w:val="00E72A45"/>
    <w:rsid w:val="00E732DB"/>
    <w:rsid w:val="00E73437"/>
    <w:rsid w:val="00E735BC"/>
    <w:rsid w:val="00E73DAD"/>
    <w:rsid w:val="00E73E4F"/>
    <w:rsid w:val="00E73EE2"/>
    <w:rsid w:val="00E747A9"/>
    <w:rsid w:val="00E74855"/>
    <w:rsid w:val="00E748D0"/>
    <w:rsid w:val="00E74B76"/>
    <w:rsid w:val="00E7524D"/>
    <w:rsid w:val="00E757CE"/>
    <w:rsid w:val="00E75BDF"/>
    <w:rsid w:val="00E75C20"/>
    <w:rsid w:val="00E75E8D"/>
    <w:rsid w:val="00E76411"/>
    <w:rsid w:val="00E765DC"/>
    <w:rsid w:val="00E774D6"/>
    <w:rsid w:val="00E77775"/>
    <w:rsid w:val="00E8024D"/>
    <w:rsid w:val="00E80320"/>
    <w:rsid w:val="00E80471"/>
    <w:rsid w:val="00E8098D"/>
    <w:rsid w:val="00E81825"/>
    <w:rsid w:val="00E82382"/>
    <w:rsid w:val="00E82E64"/>
    <w:rsid w:val="00E8316E"/>
    <w:rsid w:val="00E83241"/>
    <w:rsid w:val="00E832DE"/>
    <w:rsid w:val="00E83302"/>
    <w:rsid w:val="00E833DD"/>
    <w:rsid w:val="00E834BF"/>
    <w:rsid w:val="00E83549"/>
    <w:rsid w:val="00E83856"/>
    <w:rsid w:val="00E83BCF"/>
    <w:rsid w:val="00E83D09"/>
    <w:rsid w:val="00E85231"/>
    <w:rsid w:val="00E853D4"/>
    <w:rsid w:val="00E85AB8"/>
    <w:rsid w:val="00E85D2A"/>
    <w:rsid w:val="00E85E47"/>
    <w:rsid w:val="00E867CD"/>
    <w:rsid w:val="00E86A1F"/>
    <w:rsid w:val="00E86BC4"/>
    <w:rsid w:val="00E86FD6"/>
    <w:rsid w:val="00E870DE"/>
    <w:rsid w:val="00E87674"/>
    <w:rsid w:val="00E87E9B"/>
    <w:rsid w:val="00E90199"/>
    <w:rsid w:val="00E90758"/>
    <w:rsid w:val="00E916F6"/>
    <w:rsid w:val="00E91828"/>
    <w:rsid w:val="00E92A00"/>
    <w:rsid w:val="00E92B6F"/>
    <w:rsid w:val="00E92D8A"/>
    <w:rsid w:val="00E92F46"/>
    <w:rsid w:val="00E932F7"/>
    <w:rsid w:val="00E934BF"/>
    <w:rsid w:val="00E93F2B"/>
    <w:rsid w:val="00E947B4"/>
    <w:rsid w:val="00E9519D"/>
    <w:rsid w:val="00E953D4"/>
    <w:rsid w:val="00E966A6"/>
    <w:rsid w:val="00E96FA0"/>
    <w:rsid w:val="00E971CD"/>
    <w:rsid w:val="00E978D9"/>
    <w:rsid w:val="00E9798F"/>
    <w:rsid w:val="00E97ABD"/>
    <w:rsid w:val="00E97BF2"/>
    <w:rsid w:val="00E97C41"/>
    <w:rsid w:val="00E97C7C"/>
    <w:rsid w:val="00E97F72"/>
    <w:rsid w:val="00EA0745"/>
    <w:rsid w:val="00EA0D9A"/>
    <w:rsid w:val="00EA0FBB"/>
    <w:rsid w:val="00EA0FFF"/>
    <w:rsid w:val="00EA146C"/>
    <w:rsid w:val="00EA1529"/>
    <w:rsid w:val="00EA15DE"/>
    <w:rsid w:val="00EA1C26"/>
    <w:rsid w:val="00EA1DB2"/>
    <w:rsid w:val="00EA213E"/>
    <w:rsid w:val="00EA2327"/>
    <w:rsid w:val="00EA2482"/>
    <w:rsid w:val="00EA2490"/>
    <w:rsid w:val="00EA264D"/>
    <w:rsid w:val="00EA2C67"/>
    <w:rsid w:val="00EA342B"/>
    <w:rsid w:val="00EA3EF6"/>
    <w:rsid w:val="00EA4016"/>
    <w:rsid w:val="00EA407F"/>
    <w:rsid w:val="00EA40FC"/>
    <w:rsid w:val="00EA4121"/>
    <w:rsid w:val="00EA4BEA"/>
    <w:rsid w:val="00EA4C0D"/>
    <w:rsid w:val="00EA4DD0"/>
    <w:rsid w:val="00EA4EF5"/>
    <w:rsid w:val="00EA56F3"/>
    <w:rsid w:val="00EA5A15"/>
    <w:rsid w:val="00EA5DA2"/>
    <w:rsid w:val="00EA5F13"/>
    <w:rsid w:val="00EA6534"/>
    <w:rsid w:val="00EA684A"/>
    <w:rsid w:val="00EA6BFC"/>
    <w:rsid w:val="00EA6D67"/>
    <w:rsid w:val="00EA6F63"/>
    <w:rsid w:val="00EA6FBA"/>
    <w:rsid w:val="00EA7552"/>
    <w:rsid w:val="00EA7565"/>
    <w:rsid w:val="00EA7BE2"/>
    <w:rsid w:val="00EB0226"/>
    <w:rsid w:val="00EB0389"/>
    <w:rsid w:val="00EB03F0"/>
    <w:rsid w:val="00EB0D5B"/>
    <w:rsid w:val="00EB1142"/>
    <w:rsid w:val="00EB1639"/>
    <w:rsid w:val="00EB1751"/>
    <w:rsid w:val="00EB1D14"/>
    <w:rsid w:val="00EB1DDC"/>
    <w:rsid w:val="00EB1FF6"/>
    <w:rsid w:val="00EB2F12"/>
    <w:rsid w:val="00EB30D1"/>
    <w:rsid w:val="00EB32EC"/>
    <w:rsid w:val="00EB351B"/>
    <w:rsid w:val="00EB384A"/>
    <w:rsid w:val="00EB3F45"/>
    <w:rsid w:val="00EB3F8E"/>
    <w:rsid w:val="00EB407A"/>
    <w:rsid w:val="00EB4239"/>
    <w:rsid w:val="00EB4429"/>
    <w:rsid w:val="00EB46F3"/>
    <w:rsid w:val="00EB4709"/>
    <w:rsid w:val="00EB4A4B"/>
    <w:rsid w:val="00EB5479"/>
    <w:rsid w:val="00EB5CC6"/>
    <w:rsid w:val="00EB5E0F"/>
    <w:rsid w:val="00EB6323"/>
    <w:rsid w:val="00EB6A17"/>
    <w:rsid w:val="00EB6D6A"/>
    <w:rsid w:val="00EB7540"/>
    <w:rsid w:val="00EB7A90"/>
    <w:rsid w:val="00EB7F93"/>
    <w:rsid w:val="00EC0096"/>
    <w:rsid w:val="00EC0168"/>
    <w:rsid w:val="00EC0B3E"/>
    <w:rsid w:val="00EC0C48"/>
    <w:rsid w:val="00EC0C92"/>
    <w:rsid w:val="00EC130C"/>
    <w:rsid w:val="00EC1357"/>
    <w:rsid w:val="00EC157C"/>
    <w:rsid w:val="00EC178F"/>
    <w:rsid w:val="00EC2411"/>
    <w:rsid w:val="00EC2D1C"/>
    <w:rsid w:val="00EC4020"/>
    <w:rsid w:val="00EC44E2"/>
    <w:rsid w:val="00EC4631"/>
    <w:rsid w:val="00EC49B0"/>
    <w:rsid w:val="00EC4DC7"/>
    <w:rsid w:val="00EC51EE"/>
    <w:rsid w:val="00EC5868"/>
    <w:rsid w:val="00EC5917"/>
    <w:rsid w:val="00EC591E"/>
    <w:rsid w:val="00EC6039"/>
    <w:rsid w:val="00EC6B26"/>
    <w:rsid w:val="00EC6B2A"/>
    <w:rsid w:val="00EC6D57"/>
    <w:rsid w:val="00EC7166"/>
    <w:rsid w:val="00EC742E"/>
    <w:rsid w:val="00EC7841"/>
    <w:rsid w:val="00EC7CD7"/>
    <w:rsid w:val="00EC7D5A"/>
    <w:rsid w:val="00ED0BA0"/>
    <w:rsid w:val="00ED1143"/>
    <w:rsid w:val="00ED149E"/>
    <w:rsid w:val="00ED1B39"/>
    <w:rsid w:val="00ED22C5"/>
    <w:rsid w:val="00ED233B"/>
    <w:rsid w:val="00ED26A5"/>
    <w:rsid w:val="00ED2B3B"/>
    <w:rsid w:val="00ED2D2A"/>
    <w:rsid w:val="00ED2D9D"/>
    <w:rsid w:val="00ED2F1B"/>
    <w:rsid w:val="00ED3223"/>
    <w:rsid w:val="00ED3958"/>
    <w:rsid w:val="00ED4399"/>
    <w:rsid w:val="00ED4472"/>
    <w:rsid w:val="00ED47A7"/>
    <w:rsid w:val="00ED5958"/>
    <w:rsid w:val="00ED6F27"/>
    <w:rsid w:val="00ED6F8E"/>
    <w:rsid w:val="00ED7026"/>
    <w:rsid w:val="00ED7620"/>
    <w:rsid w:val="00ED79D0"/>
    <w:rsid w:val="00ED7EE6"/>
    <w:rsid w:val="00ED7F84"/>
    <w:rsid w:val="00EE0418"/>
    <w:rsid w:val="00EE090A"/>
    <w:rsid w:val="00EE0B17"/>
    <w:rsid w:val="00EE1544"/>
    <w:rsid w:val="00EE1629"/>
    <w:rsid w:val="00EE17F6"/>
    <w:rsid w:val="00EE1B96"/>
    <w:rsid w:val="00EE1BC0"/>
    <w:rsid w:val="00EE1C37"/>
    <w:rsid w:val="00EE217D"/>
    <w:rsid w:val="00EE229E"/>
    <w:rsid w:val="00EE2759"/>
    <w:rsid w:val="00EE27E5"/>
    <w:rsid w:val="00EE2BC3"/>
    <w:rsid w:val="00EE2CE9"/>
    <w:rsid w:val="00EE2DE5"/>
    <w:rsid w:val="00EE3140"/>
    <w:rsid w:val="00EE31E4"/>
    <w:rsid w:val="00EE32E3"/>
    <w:rsid w:val="00EE33CE"/>
    <w:rsid w:val="00EE35A4"/>
    <w:rsid w:val="00EE385A"/>
    <w:rsid w:val="00EE38E3"/>
    <w:rsid w:val="00EE3F51"/>
    <w:rsid w:val="00EE3FCA"/>
    <w:rsid w:val="00EE4067"/>
    <w:rsid w:val="00EE408F"/>
    <w:rsid w:val="00EE44D8"/>
    <w:rsid w:val="00EE4AD8"/>
    <w:rsid w:val="00EE4DD8"/>
    <w:rsid w:val="00EE53B4"/>
    <w:rsid w:val="00EE57EC"/>
    <w:rsid w:val="00EE6759"/>
    <w:rsid w:val="00EE76B1"/>
    <w:rsid w:val="00EE776B"/>
    <w:rsid w:val="00EE7BF4"/>
    <w:rsid w:val="00EE7BF7"/>
    <w:rsid w:val="00EE7CDF"/>
    <w:rsid w:val="00EE7E3A"/>
    <w:rsid w:val="00EF0106"/>
    <w:rsid w:val="00EF07BD"/>
    <w:rsid w:val="00EF09F8"/>
    <w:rsid w:val="00EF0B31"/>
    <w:rsid w:val="00EF0F7D"/>
    <w:rsid w:val="00EF1383"/>
    <w:rsid w:val="00EF167F"/>
    <w:rsid w:val="00EF1868"/>
    <w:rsid w:val="00EF1ADC"/>
    <w:rsid w:val="00EF1C60"/>
    <w:rsid w:val="00EF2197"/>
    <w:rsid w:val="00EF2282"/>
    <w:rsid w:val="00EF244A"/>
    <w:rsid w:val="00EF24A3"/>
    <w:rsid w:val="00EF262F"/>
    <w:rsid w:val="00EF26DB"/>
    <w:rsid w:val="00EF2A7D"/>
    <w:rsid w:val="00EF2B8D"/>
    <w:rsid w:val="00EF2F58"/>
    <w:rsid w:val="00EF3182"/>
    <w:rsid w:val="00EF324B"/>
    <w:rsid w:val="00EF38BF"/>
    <w:rsid w:val="00EF3D41"/>
    <w:rsid w:val="00EF3E2C"/>
    <w:rsid w:val="00EF48D3"/>
    <w:rsid w:val="00EF54E8"/>
    <w:rsid w:val="00EF5F12"/>
    <w:rsid w:val="00EF6F01"/>
    <w:rsid w:val="00EF6F76"/>
    <w:rsid w:val="00EF7279"/>
    <w:rsid w:val="00EF7847"/>
    <w:rsid w:val="00EF792E"/>
    <w:rsid w:val="00EF7ACC"/>
    <w:rsid w:val="00F000BB"/>
    <w:rsid w:val="00F0020D"/>
    <w:rsid w:val="00F0043E"/>
    <w:rsid w:val="00F004BC"/>
    <w:rsid w:val="00F006C3"/>
    <w:rsid w:val="00F00E3E"/>
    <w:rsid w:val="00F0137B"/>
    <w:rsid w:val="00F016F9"/>
    <w:rsid w:val="00F01854"/>
    <w:rsid w:val="00F01AC6"/>
    <w:rsid w:val="00F02BC7"/>
    <w:rsid w:val="00F031BB"/>
    <w:rsid w:val="00F03559"/>
    <w:rsid w:val="00F03C46"/>
    <w:rsid w:val="00F050FC"/>
    <w:rsid w:val="00F05F98"/>
    <w:rsid w:val="00F06055"/>
    <w:rsid w:val="00F06F22"/>
    <w:rsid w:val="00F079D1"/>
    <w:rsid w:val="00F10731"/>
    <w:rsid w:val="00F107D3"/>
    <w:rsid w:val="00F10F2F"/>
    <w:rsid w:val="00F117B4"/>
    <w:rsid w:val="00F11851"/>
    <w:rsid w:val="00F11959"/>
    <w:rsid w:val="00F11B5E"/>
    <w:rsid w:val="00F127C8"/>
    <w:rsid w:val="00F13357"/>
    <w:rsid w:val="00F13592"/>
    <w:rsid w:val="00F1399F"/>
    <w:rsid w:val="00F139AA"/>
    <w:rsid w:val="00F13A07"/>
    <w:rsid w:val="00F13A99"/>
    <w:rsid w:val="00F13C4D"/>
    <w:rsid w:val="00F14093"/>
    <w:rsid w:val="00F143F9"/>
    <w:rsid w:val="00F148AB"/>
    <w:rsid w:val="00F14A27"/>
    <w:rsid w:val="00F14D6A"/>
    <w:rsid w:val="00F151BA"/>
    <w:rsid w:val="00F153B4"/>
    <w:rsid w:val="00F156FE"/>
    <w:rsid w:val="00F1702B"/>
    <w:rsid w:val="00F170BD"/>
    <w:rsid w:val="00F17177"/>
    <w:rsid w:val="00F174B0"/>
    <w:rsid w:val="00F17581"/>
    <w:rsid w:val="00F17677"/>
    <w:rsid w:val="00F203CF"/>
    <w:rsid w:val="00F216D6"/>
    <w:rsid w:val="00F21ECC"/>
    <w:rsid w:val="00F222AD"/>
    <w:rsid w:val="00F2231A"/>
    <w:rsid w:val="00F223D9"/>
    <w:rsid w:val="00F23448"/>
    <w:rsid w:val="00F238A0"/>
    <w:rsid w:val="00F238CB"/>
    <w:rsid w:val="00F239E1"/>
    <w:rsid w:val="00F242C8"/>
    <w:rsid w:val="00F2436A"/>
    <w:rsid w:val="00F249F0"/>
    <w:rsid w:val="00F249F7"/>
    <w:rsid w:val="00F24BA5"/>
    <w:rsid w:val="00F24E94"/>
    <w:rsid w:val="00F24FB4"/>
    <w:rsid w:val="00F25594"/>
    <w:rsid w:val="00F257FC"/>
    <w:rsid w:val="00F25CAC"/>
    <w:rsid w:val="00F261A0"/>
    <w:rsid w:val="00F26459"/>
    <w:rsid w:val="00F26AFA"/>
    <w:rsid w:val="00F26B94"/>
    <w:rsid w:val="00F26DC6"/>
    <w:rsid w:val="00F271AE"/>
    <w:rsid w:val="00F2732B"/>
    <w:rsid w:val="00F278A7"/>
    <w:rsid w:val="00F27A5F"/>
    <w:rsid w:val="00F27FC1"/>
    <w:rsid w:val="00F300B8"/>
    <w:rsid w:val="00F3041A"/>
    <w:rsid w:val="00F305EE"/>
    <w:rsid w:val="00F30689"/>
    <w:rsid w:val="00F30B77"/>
    <w:rsid w:val="00F313F7"/>
    <w:rsid w:val="00F31844"/>
    <w:rsid w:val="00F3220F"/>
    <w:rsid w:val="00F32306"/>
    <w:rsid w:val="00F326E0"/>
    <w:rsid w:val="00F328BA"/>
    <w:rsid w:val="00F33407"/>
    <w:rsid w:val="00F33FBB"/>
    <w:rsid w:val="00F340EB"/>
    <w:rsid w:val="00F345A1"/>
    <w:rsid w:val="00F34DA2"/>
    <w:rsid w:val="00F351CD"/>
    <w:rsid w:val="00F35502"/>
    <w:rsid w:val="00F355A6"/>
    <w:rsid w:val="00F36986"/>
    <w:rsid w:val="00F369D6"/>
    <w:rsid w:val="00F37F1C"/>
    <w:rsid w:val="00F400B2"/>
    <w:rsid w:val="00F4016B"/>
    <w:rsid w:val="00F40253"/>
    <w:rsid w:val="00F40496"/>
    <w:rsid w:val="00F40D74"/>
    <w:rsid w:val="00F41338"/>
    <w:rsid w:val="00F43047"/>
    <w:rsid w:val="00F44133"/>
    <w:rsid w:val="00F441D0"/>
    <w:rsid w:val="00F4451C"/>
    <w:rsid w:val="00F448FA"/>
    <w:rsid w:val="00F44CEC"/>
    <w:rsid w:val="00F44EB3"/>
    <w:rsid w:val="00F44F55"/>
    <w:rsid w:val="00F45998"/>
    <w:rsid w:val="00F45F96"/>
    <w:rsid w:val="00F460FE"/>
    <w:rsid w:val="00F46909"/>
    <w:rsid w:val="00F46CC1"/>
    <w:rsid w:val="00F4757F"/>
    <w:rsid w:val="00F47A67"/>
    <w:rsid w:val="00F47C06"/>
    <w:rsid w:val="00F50726"/>
    <w:rsid w:val="00F507FA"/>
    <w:rsid w:val="00F50861"/>
    <w:rsid w:val="00F50863"/>
    <w:rsid w:val="00F514D3"/>
    <w:rsid w:val="00F52253"/>
    <w:rsid w:val="00F5226C"/>
    <w:rsid w:val="00F526B7"/>
    <w:rsid w:val="00F52AF4"/>
    <w:rsid w:val="00F52E95"/>
    <w:rsid w:val="00F531AD"/>
    <w:rsid w:val="00F536B9"/>
    <w:rsid w:val="00F53854"/>
    <w:rsid w:val="00F5402E"/>
    <w:rsid w:val="00F54D30"/>
    <w:rsid w:val="00F55091"/>
    <w:rsid w:val="00F55126"/>
    <w:rsid w:val="00F55F88"/>
    <w:rsid w:val="00F55FF3"/>
    <w:rsid w:val="00F5603E"/>
    <w:rsid w:val="00F5611B"/>
    <w:rsid w:val="00F561A5"/>
    <w:rsid w:val="00F562E9"/>
    <w:rsid w:val="00F567B9"/>
    <w:rsid w:val="00F56A94"/>
    <w:rsid w:val="00F56AC9"/>
    <w:rsid w:val="00F56BC0"/>
    <w:rsid w:val="00F56C84"/>
    <w:rsid w:val="00F56E92"/>
    <w:rsid w:val="00F571B6"/>
    <w:rsid w:val="00F57653"/>
    <w:rsid w:val="00F579C5"/>
    <w:rsid w:val="00F57DCA"/>
    <w:rsid w:val="00F57FD7"/>
    <w:rsid w:val="00F600EA"/>
    <w:rsid w:val="00F6010A"/>
    <w:rsid w:val="00F60176"/>
    <w:rsid w:val="00F60570"/>
    <w:rsid w:val="00F606BF"/>
    <w:rsid w:val="00F608AF"/>
    <w:rsid w:val="00F60EFA"/>
    <w:rsid w:val="00F60FD6"/>
    <w:rsid w:val="00F61957"/>
    <w:rsid w:val="00F62633"/>
    <w:rsid w:val="00F63031"/>
    <w:rsid w:val="00F632D0"/>
    <w:rsid w:val="00F6336F"/>
    <w:rsid w:val="00F63647"/>
    <w:rsid w:val="00F63794"/>
    <w:rsid w:val="00F63860"/>
    <w:rsid w:val="00F63A7E"/>
    <w:rsid w:val="00F63C4A"/>
    <w:rsid w:val="00F63DA2"/>
    <w:rsid w:val="00F63E31"/>
    <w:rsid w:val="00F63EE0"/>
    <w:rsid w:val="00F64644"/>
    <w:rsid w:val="00F648CC"/>
    <w:rsid w:val="00F65032"/>
    <w:rsid w:val="00F65043"/>
    <w:rsid w:val="00F651A7"/>
    <w:rsid w:val="00F652CD"/>
    <w:rsid w:val="00F65364"/>
    <w:rsid w:val="00F65516"/>
    <w:rsid w:val="00F65BD0"/>
    <w:rsid w:val="00F6619F"/>
    <w:rsid w:val="00F66222"/>
    <w:rsid w:val="00F670B0"/>
    <w:rsid w:val="00F673CD"/>
    <w:rsid w:val="00F6750E"/>
    <w:rsid w:val="00F67843"/>
    <w:rsid w:val="00F70826"/>
    <w:rsid w:val="00F70BDE"/>
    <w:rsid w:val="00F70E00"/>
    <w:rsid w:val="00F71BE6"/>
    <w:rsid w:val="00F71D08"/>
    <w:rsid w:val="00F71D7D"/>
    <w:rsid w:val="00F71DC0"/>
    <w:rsid w:val="00F71F89"/>
    <w:rsid w:val="00F722AA"/>
    <w:rsid w:val="00F7249C"/>
    <w:rsid w:val="00F72BAE"/>
    <w:rsid w:val="00F7326D"/>
    <w:rsid w:val="00F7333C"/>
    <w:rsid w:val="00F7490F"/>
    <w:rsid w:val="00F752D5"/>
    <w:rsid w:val="00F7544A"/>
    <w:rsid w:val="00F75F6C"/>
    <w:rsid w:val="00F760C2"/>
    <w:rsid w:val="00F76266"/>
    <w:rsid w:val="00F76519"/>
    <w:rsid w:val="00F772E6"/>
    <w:rsid w:val="00F7741D"/>
    <w:rsid w:val="00F77423"/>
    <w:rsid w:val="00F80107"/>
    <w:rsid w:val="00F80497"/>
    <w:rsid w:val="00F80953"/>
    <w:rsid w:val="00F810C9"/>
    <w:rsid w:val="00F81526"/>
    <w:rsid w:val="00F81957"/>
    <w:rsid w:val="00F81A9D"/>
    <w:rsid w:val="00F821DC"/>
    <w:rsid w:val="00F825A9"/>
    <w:rsid w:val="00F82817"/>
    <w:rsid w:val="00F82D2C"/>
    <w:rsid w:val="00F838F4"/>
    <w:rsid w:val="00F83C8E"/>
    <w:rsid w:val="00F83EB6"/>
    <w:rsid w:val="00F841B7"/>
    <w:rsid w:val="00F8445D"/>
    <w:rsid w:val="00F84471"/>
    <w:rsid w:val="00F8470E"/>
    <w:rsid w:val="00F84760"/>
    <w:rsid w:val="00F8492A"/>
    <w:rsid w:val="00F849B9"/>
    <w:rsid w:val="00F84A4B"/>
    <w:rsid w:val="00F84AFA"/>
    <w:rsid w:val="00F85221"/>
    <w:rsid w:val="00F85549"/>
    <w:rsid w:val="00F85B52"/>
    <w:rsid w:val="00F85BE5"/>
    <w:rsid w:val="00F85CB0"/>
    <w:rsid w:val="00F85E7D"/>
    <w:rsid w:val="00F86173"/>
    <w:rsid w:val="00F87145"/>
    <w:rsid w:val="00F874CA"/>
    <w:rsid w:val="00F87B1F"/>
    <w:rsid w:val="00F92A3A"/>
    <w:rsid w:val="00F9361C"/>
    <w:rsid w:val="00F937B6"/>
    <w:rsid w:val="00F93844"/>
    <w:rsid w:val="00F93F26"/>
    <w:rsid w:val="00F9412D"/>
    <w:rsid w:val="00F94318"/>
    <w:rsid w:val="00F946DB"/>
    <w:rsid w:val="00F95004"/>
    <w:rsid w:val="00F95061"/>
    <w:rsid w:val="00F95775"/>
    <w:rsid w:val="00F95C54"/>
    <w:rsid w:val="00F95CE9"/>
    <w:rsid w:val="00F95E22"/>
    <w:rsid w:val="00F962E7"/>
    <w:rsid w:val="00F96413"/>
    <w:rsid w:val="00F964F1"/>
    <w:rsid w:val="00F9688D"/>
    <w:rsid w:val="00F96A0D"/>
    <w:rsid w:val="00F96A7A"/>
    <w:rsid w:val="00F97AC5"/>
    <w:rsid w:val="00F97C16"/>
    <w:rsid w:val="00FA0680"/>
    <w:rsid w:val="00FA0914"/>
    <w:rsid w:val="00FA0D5D"/>
    <w:rsid w:val="00FA150F"/>
    <w:rsid w:val="00FA16B7"/>
    <w:rsid w:val="00FA18CE"/>
    <w:rsid w:val="00FA21BD"/>
    <w:rsid w:val="00FA3CFA"/>
    <w:rsid w:val="00FA44C4"/>
    <w:rsid w:val="00FA4512"/>
    <w:rsid w:val="00FA4557"/>
    <w:rsid w:val="00FA47B4"/>
    <w:rsid w:val="00FA4C7F"/>
    <w:rsid w:val="00FA52BE"/>
    <w:rsid w:val="00FA538C"/>
    <w:rsid w:val="00FA5BFB"/>
    <w:rsid w:val="00FA5CEB"/>
    <w:rsid w:val="00FA5EA8"/>
    <w:rsid w:val="00FA64CD"/>
    <w:rsid w:val="00FA666C"/>
    <w:rsid w:val="00FA6843"/>
    <w:rsid w:val="00FA70C5"/>
    <w:rsid w:val="00FA75BE"/>
    <w:rsid w:val="00FA78B0"/>
    <w:rsid w:val="00FA7C87"/>
    <w:rsid w:val="00FA7E29"/>
    <w:rsid w:val="00FB0056"/>
    <w:rsid w:val="00FB0095"/>
    <w:rsid w:val="00FB04F4"/>
    <w:rsid w:val="00FB06C1"/>
    <w:rsid w:val="00FB0E77"/>
    <w:rsid w:val="00FB1970"/>
    <w:rsid w:val="00FB20F8"/>
    <w:rsid w:val="00FB21A3"/>
    <w:rsid w:val="00FB23A0"/>
    <w:rsid w:val="00FB2B43"/>
    <w:rsid w:val="00FB2BA1"/>
    <w:rsid w:val="00FB33AE"/>
    <w:rsid w:val="00FB36D6"/>
    <w:rsid w:val="00FB3CCD"/>
    <w:rsid w:val="00FB3DE7"/>
    <w:rsid w:val="00FB4511"/>
    <w:rsid w:val="00FB45CE"/>
    <w:rsid w:val="00FB48C5"/>
    <w:rsid w:val="00FB49FA"/>
    <w:rsid w:val="00FB4C96"/>
    <w:rsid w:val="00FB4D95"/>
    <w:rsid w:val="00FB55F3"/>
    <w:rsid w:val="00FB56BB"/>
    <w:rsid w:val="00FB61DD"/>
    <w:rsid w:val="00FB670E"/>
    <w:rsid w:val="00FB67A9"/>
    <w:rsid w:val="00FB69F8"/>
    <w:rsid w:val="00FB6AA2"/>
    <w:rsid w:val="00FB7211"/>
    <w:rsid w:val="00FB7315"/>
    <w:rsid w:val="00FB736A"/>
    <w:rsid w:val="00FB74D7"/>
    <w:rsid w:val="00FB7755"/>
    <w:rsid w:val="00FC007F"/>
    <w:rsid w:val="00FC00FB"/>
    <w:rsid w:val="00FC049C"/>
    <w:rsid w:val="00FC0584"/>
    <w:rsid w:val="00FC05AA"/>
    <w:rsid w:val="00FC05D7"/>
    <w:rsid w:val="00FC1004"/>
    <w:rsid w:val="00FC165F"/>
    <w:rsid w:val="00FC18BB"/>
    <w:rsid w:val="00FC1BB7"/>
    <w:rsid w:val="00FC1F0B"/>
    <w:rsid w:val="00FC1FBC"/>
    <w:rsid w:val="00FC2119"/>
    <w:rsid w:val="00FC25E9"/>
    <w:rsid w:val="00FC2A54"/>
    <w:rsid w:val="00FC327D"/>
    <w:rsid w:val="00FC3CA0"/>
    <w:rsid w:val="00FC4AD2"/>
    <w:rsid w:val="00FC4C39"/>
    <w:rsid w:val="00FC52C9"/>
    <w:rsid w:val="00FC52CD"/>
    <w:rsid w:val="00FC67C2"/>
    <w:rsid w:val="00FC6964"/>
    <w:rsid w:val="00FC69F2"/>
    <w:rsid w:val="00FC6E78"/>
    <w:rsid w:val="00FC7852"/>
    <w:rsid w:val="00FC79A0"/>
    <w:rsid w:val="00FC7FDC"/>
    <w:rsid w:val="00FD0888"/>
    <w:rsid w:val="00FD08D9"/>
    <w:rsid w:val="00FD0AE6"/>
    <w:rsid w:val="00FD0CCA"/>
    <w:rsid w:val="00FD0E61"/>
    <w:rsid w:val="00FD16AA"/>
    <w:rsid w:val="00FD1B30"/>
    <w:rsid w:val="00FD1C54"/>
    <w:rsid w:val="00FD2A3E"/>
    <w:rsid w:val="00FD3232"/>
    <w:rsid w:val="00FD347E"/>
    <w:rsid w:val="00FD3FEC"/>
    <w:rsid w:val="00FD5BAD"/>
    <w:rsid w:val="00FD5E5A"/>
    <w:rsid w:val="00FD61C2"/>
    <w:rsid w:val="00FD6627"/>
    <w:rsid w:val="00FD69A8"/>
    <w:rsid w:val="00FD7185"/>
    <w:rsid w:val="00FD725F"/>
    <w:rsid w:val="00FD75AC"/>
    <w:rsid w:val="00FE019B"/>
    <w:rsid w:val="00FE0654"/>
    <w:rsid w:val="00FE0EF2"/>
    <w:rsid w:val="00FE157B"/>
    <w:rsid w:val="00FE1720"/>
    <w:rsid w:val="00FE1DB0"/>
    <w:rsid w:val="00FE1DBC"/>
    <w:rsid w:val="00FE1DEE"/>
    <w:rsid w:val="00FE2CD8"/>
    <w:rsid w:val="00FE2F63"/>
    <w:rsid w:val="00FE31C6"/>
    <w:rsid w:val="00FE36A4"/>
    <w:rsid w:val="00FE4081"/>
    <w:rsid w:val="00FE4378"/>
    <w:rsid w:val="00FE45A1"/>
    <w:rsid w:val="00FE49A6"/>
    <w:rsid w:val="00FE4F7C"/>
    <w:rsid w:val="00FE53B7"/>
    <w:rsid w:val="00FE58DE"/>
    <w:rsid w:val="00FE59B6"/>
    <w:rsid w:val="00FE5B5F"/>
    <w:rsid w:val="00FE60AD"/>
    <w:rsid w:val="00FE672D"/>
    <w:rsid w:val="00FE70EE"/>
    <w:rsid w:val="00FE7588"/>
    <w:rsid w:val="00FE7793"/>
    <w:rsid w:val="00FE7A51"/>
    <w:rsid w:val="00FE7B34"/>
    <w:rsid w:val="00FE7F21"/>
    <w:rsid w:val="00FE7F56"/>
    <w:rsid w:val="00FE7F90"/>
    <w:rsid w:val="00FF04CA"/>
    <w:rsid w:val="00FF0553"/>
    <w:rsid w:val="00FF0D5C"/>
    <w:rsid w:val="00FF12BB"/>
    <w:rsid w:val="00FF135B"/>
    <w:rsid w:val="00FF1532"/>
    <w:rsid w:val="00FF1651"/>
    <w:rsid w:val="00FF18F1"/>
    <w:rsid w:val="00FF1B2B"/>
    <w:rsid w:val="00FF1B67"/>
    <w:rsid w:val="00FF1F6B"/>
    <w:rsid w:val="00FF2638"/>
    <w:rsid w:val="00FF26E9"/>
    <w:rsid w:val="00FF28D6"/>
    <w:rsid w:val="00FF2C61"/>
    <w:rsid w:val="00FF2EFF"/>
    <w:rsid w:val="00FF30C9"/>
    <w:rsid w:val="00FF3126"/>
    <w:rsid w:val="00FF3821"/>
    <w:rsid w:val="00FF3A9D"/>
    <w:rsid w:val="00FF3CA1"/>
    <w:rsid w:val="00FF4625"/>
    <w:rsid w:val="00FF467C"/>
    <w:rsid w:val="00FF5536"/>
    <w:rsid w:val="00FF5A81"/>
    <w:rsid w:val="00FF5C03"/>
    <w:rsid w:val="00FF5F41"/>
    <w:rsid w:val="00FF625C"/>
    <w:rsid w:val="00FF6E8B"/>
    <w:rsid w:val="00FF706F"/>
    <w:rsid w:val="00FF72CC"/>
    <w:rsid w:val="00FF73C4"/>
    <w:rsid w:val="00FF74A6"/>
    <w:rsid w:val="00FF7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5808D4"/>
  <w15:chartTrackingRefBased/>
  <w15:docId w15:val="{E1664696-30E6-4A4F-9018-DA260576D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278A"/>
    <w:pPr>
      <w:spacing w:after="200" w:line="276" w:lineRule="auto"/>
    </w:pPr>
    <w:rPr>
      <w:rFonts w:ascii="Calibri" w:eastAsia="Calibri" w:hAnsi="Calibri" w:cs="Times New Roman"/>
    </w:rPr>
  </w:style>
  <w:style w:type="paragraph" w:styleId="Heading1">
    <w:name w:val="heading 1"/>
    <w:basedOn w:val="Normal"/>
    <w:next w:val="Normal"/>
    <w:link w:val="Heading1Char"/>
    <w:qFormat/>
    <w:rsid w:val="005F349B"/>
    <w:pPr>
      <w:keepNext/>
      <w:spacing w:before="240" w:after="60" w:line="240" w:lineRule="auto"/>
      <w:outlineLvl w:val="0"/>
    </w:pPr>
    <w:rPr>
      <w:rFonts w:ascii="Arial" w:eastAsia="Times New Roman" w:hAnsi="Arial"/>
      <w:b/>
      <w:bCs/>
      <w:kern w:val="32"/>
      <w:sz w:val="32"/>
      <w:szCs w:val="32"/>
      <w:lang w:eastAsia="en-GB"/>
    </w:rPr>
  </w:style>
  <w:style w:type="paragraph" w:styleId="Heading2">
    <w:name w:val="heading 2"/>
    <w:basedOn w:val="Normal"/>
    <w:next w:val="Normal"/>
    <w:link w:val="Heading2Char"/>
    <w:uiPriority w:val="9"/>
    <w:unhideWhenUsed/>
    <w:qFormat/>
    <w:rsid w:val="00F14093"/>
    <w:pPr>
      <w:keepNext/>
      <w:keepLines/>
      <w:spacing w:before="40" w:after="0" w:line="266" w:lineRule="auto"/>
      <w:ind w:left="10" w:hanging="1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iPriority w:val="99"/>
    <w:unhideWhenUsed/>
    <w:rsid w:val="005F349B"/>
    <w:pPr>
      <w:tabs>
        <w:tab w:val="center" w:pos="4513"/>
        <w:tab w:val="right" w:pos="9026"/>
      </w:tabs>
    </w:pPr>
  </w:style>
  <w:style w:type="character" w:customStyle="1" w:styleId="FooterChar">
    <w:name w:val="Footer Char"/>
    <w:basedOn w:val="DefaultParagraphFont"/>
    <w:link w:val="Footer"/>
    <w:uiPriority w:val="99"/>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link w:val="NoSpacingChar"/>
    <w:uiPriority w:val="1"/>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NoList"/>
    <w:rsid w:val="005F349B"/>
    <w:pPr>
      <w:numPr>
        <w:numId w:val="2"/>
      </w:numPr>
    </w:pPr>
  </w:style>
  <w:style w:type="numbering" w:customStyle="1" w:styleId="List1">
    <w:name w:val="List 1"/>
    <w:basedOn w:val="NoList"/>
    <w:rsid w:val="005F349B"/>
    <w:pPr>
      <w:numPr>
        <w:numId w:val="10"/>
      </w:numPr>
    </w:pPr>
  </w:style>
  <w:style w:type="numbering" w:customStyle="1" w:styleId="List21">
    <w:name w:val="List 21"/>
    <w:basedOn w:val="NoList"/>
    <w:rsid w:val="005F349B"/>
    <w:pPr>
      <w:numPr>
        <w:numId w:val="3"/>
      </w:numPr>
    </w:pPr>
  </w:style>
  <w:style w:type="numbering" w:customStyle="1" w:styleId="List31">
    <w:name w:val="List 31"/>
    <w:basedOn w:val="NoList"/>
    <w:rsid w:val="005F349B"/>
    <w:pPr>
      <w:numPr>
        <w:numId w:val="4"/>
      </w:numPr>
    </w:pPr>
  </w:style>
  <w:style w:type="numbering" w:customStyle="1" w:styleId="List41">
    <w:name w:val="List 41"/>
    <w:basedOn w:val="NoList"/>
    <w:rsid w:val="005F349B"/>
    <w:pPr>
      <w:numPr>
        <w:numId w:val="5"/>
      </w:numPr>
    </w:pPr>
  </w:style>
  <w:style w:type="numbering" w:customStyle="1" w:styleId="List51">
    <w:name w:val="List 51"/>
    <w:basedOn w:val="NoList"/>
    <w:rsid w:val="005F349B"/>
    <w:pPr>
      <w:numPr>
        <w:numId w:val="6"/>
      </w:numPr>
    </w:pPr>
  </w:style>
  <w:style w:type="numbering" w:customStyle="1" w:styleId="List6">
    <w:name w:val="List 6"/>
    <w:basedOn w:val="NoList"/>
    <w:rsid w:val="005F349B"/>
    <w:pPr>
      <w:numPr>
        <w:numId w:val="7"/>
      </w:numPr>
    </w:pPr>
  </w:style>
  <w:style w:type="numbering" w:customStyle="1" w:styleId="List7">
    <w:name w:val="List 7"/>
    <w:basedOn w:val="NoList"/>
    <w:rsid w:val="005F349B"/>
    <w:pPr>
      <w:numPr>
        <w:numId w:val="11"/>
      </w:numPr>
    </w:pPr>
  </w:style>
  <w:style w:type="numbering" w:customStyle="1" w:styleId="List8">
    <w:name w:val="List 8"/>
    <w:basedOn w:val="NoList"/>
    <w:rsid w:val="005F349B"/>
    <w:pPr>
      <w:numPr>
        <w:numId w:val="8"/>
      </w:numPr>
    </w:pPr>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NoList"/>
    <w:rsid w:val="005F349B"/>
    <w:pPr>
      <w:numPr>
        <w:numId w:val="9"/>
      </w:numPr>
    </w:pPr>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uiPriority w:val="11"/>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uiPriority w:val="11"/>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2"/>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2"/>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NoList"/>
    <w:rsid w:val="005F349B"/>
    <w:pPr>
      <w:numPr>
        <w:numId w:val="13"/>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4"/>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KathLewis">
    <w:name w:val="Kath Lewis"/>
    <w:basedOn w:val="ListParagraph"/>
    <w:link w:val="KathLewisChar"/>
    <w:qFormat/>
    <w:rsid w:val="00D354AF"/>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D354AF"/>
    <w:rPr>
      <w:rFonts w:ascii="Arial" w:eastAsia="Calibri" w:hAnsi="Arial" w:cs="Arial"/>
      <w:color w:val="00B050"/>
      <w:sz w:val="20"/>
      <w:szCs w:val="20"/>
      <w:lang w:eastAsia="en-GB"/>
    </w:rPr>
  </w:style>
  <w:style w:type="paragraph" w:customStyle="1" w:styleId="Tersa">
    <w:name w:val="Tersa"/>
    <w:basedOn w:val="ListParagraph"/>
    <w:qFormat/>
    <w:rsid w:val="00D354AF"/>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D354AF"/>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D354AF"/>
    <w:rPr>
      <w:rFonts w:ascii="Arial" w:eastAsia="Calibri" w:hAnsi="Arial" w:cs="Arial"/>
      <w:color w:val="17365D" w:themeColor="text2" w:themeShade="BF"/>
      <w:sz w:val="20"/>
      <w:szCs w:val="20"/>
      <w:lang w:eastAsia="en-GB"/>
    </w:rPr>
  </w:style>
  <w:style w:type="table" w:customStyle="1" w:styleId="TableGrid140">
    <w:name w:val="Table Grid14"/>
    <w:basedOn w:val="TableNormal"/>
    <w:next w:val="TableGrid"/>
    <w:uiPriority w:val="39"/>
    <w:rsid w:val="006D4C3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0">
    <w:name w:val="Table Grid15"/>
    <w:basedOn w:val="TableNormal"/>
    <w:next w:val="TableGrid"/>
    <w:uiPriority w:val="39"/>
    <w:rsid w:val="00786BB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F14093"/>
    <w:rPr>
      <w:rFonts w:asciiTheme="majorHAnsi" w:eastAsiaTheme="majorEastAsia" w:hAnsiTheme="majorHAnsi" w:cstheme="majorBidi"/>
      <w:color w:val="365F91" w:themeColor="accent1" w:themeShade="BF"/>
      <w:sz w:val="26"/>
      <w:szCs w:val="26"/>
    </w:rPr>
  </w:style>
  <w:style w:type="paragraph" w:styleId="Title">
    <w:name w:val="Title"/>
    <w:basedOn w:val="Normal"/>
    <w:next w:val="Normal"/>
    <w:link w:val="TitleChar"/>
    <w:uiPriority w:val="10"/>
    <w:qFormat/>
    <w:rsid w:val="00F14093"/>
    <w:pPr>
      <w:spacing w:after="0" w:line="240" w:lineRule="auto"/>
      <w:ind w:left="10" w:hanging="1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4093"/>
    <w:rPr>
      <w:rFonts w:asciiTheme="majorHAnsi" w:eastAsiaTheme="majorEastAsia" w:hAnsiTheme="majorHAnsi" w:cstheme="majorBidi"/>
      <w:spacing w:val="-10"/>
      <w:kern w:val="28"/>
      <w:sz w:val="56"/>
      <w:szCs w:val="56"/>
    </w:rPr>
  </w:style>
  <w:style w:type="character" w:styleId="Emphasis">
    <w:name w:val="Emphasis"/>
    <w:basedOn w:val="DefaultParagraphFont"/>
    <w:uiPriority w:val="20"/>
    <w:qFormat/>
    <w:rsid w:val="00F14093"/>
    <w:rPr>
      <w:i/>
      <w:iCs/>
    </w:rPr>
  </w:style>
  <w:style w:type="character" w:customStyle="1" w:styleId="NoSpacingChar">
    <w:name w:val="No Spacing Char"/>
    <w:basedOn w:val="DefaultParagraphFont"/>
    <w:link w:val="NoSpacing"/>
    <w:uiPriority w:val="1"/>
    <w:rsid w:val="00F14093"/>
    <w:rPr>
      <w:rFonts w:ascii="Calibri" w:eastAsia="Calibri" w:hAnsi="Calibri" w:cs="Times New Roman"/>
    </w:rPr>
  </w:style>
  <w:style w:type="character" w:styleId="IntenseReference">
    <w:name w:val="Intense Reference"/>
    <w:basedOn w:val="DefaultParagraphFont"/>
    <w:uiPriority w:val="32"/>
    <w:qFormat/>
    <w:rsid w:val="00F14093"/>
    <w:rPr>
      <w:b/>
      <w:bCs/>
      <w:smallCaps/>
      <w:color w:val="4F81BD" w:themeColor="accent1"/>
      <w:spacing w:val="5"/>
    </w:rPr>
  </w:style>
  <w:style w:type="paragraph" w:customStyle="1" w:styleId="xmsolistparagraph">
    <w:name w:val="x_msolistparagraph"/>
    <w:basedOn w:val="Normal"/>
    <w:rsid w:val="00F14093"/>
    <w:pPr>
      <w:spacing w:after="0" w:line="240" w:lineRule="auto"/>
      <w:ind w:left="720"/>
    </w:pPr>
    <w:rPr>
      <w:rFonts w:eastAsiaTheme="minorHAnsi" w:cs="Calibri"/>
      <w:lang w:eastAsia="en-GB"/>
    </w:rPr>
  </w:style>
  <w:style w:type="character" w:customStyle="1" w:styleId="normaltextrun">
    <w:name w:val="normaltextrun"/>
    <w:basedOn w:val="DefaultParagraphFont"/>
    <w:rsid w:val="00F14093"/>
  </w:style>
  <w:style w:type="character" w:customStyle="1" w:styleId="ui-provider">
    <w:name w:val="ui-provider"/>
    <w:basedOn w:val="DefaultParagraphFont"/>
    <w:rsid w:val="00A826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7571062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4522143">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18646968">
      <w:bodyDiv w:val="1"/>
      <w:marLeft w:val="0"/>
      <w:marRight w:val="0"/>
      <w:marTop w:val="0"/>
      <w:marBottom w:val="0"/>
      <w:divBdr>
        <w:top w:val="none" w:sz="0" w:space="0" w:color="auto"/>
        <w:left w:val="none" w:sz="0" w:space="0" w:color="auto"/>
        <w:bottom w:val="none" w:sz="0" w:space="0" w:color="auto"/>
        <w:right w:val="none" w:sz="0" w:space="0" w:color="auto"/>
      </w:divBdr>
      <w:divsChild>
        <w:div w:id="2121560292">
          <w:marLeft w:val="547"/>
          <w:marRight w:val="0"/>
          <w:marTop w:val="0"/>
          <w:marBottom w:val="0"/>
          <w:divBdr>
            <w:top w:val="none" w:sz="0" w:space="0" w:color="auto"/>
            <w:left w:val="none" w:sz="0" w:space="0" w:color="auto"/>
            <w:bottom w:val="none" w:sz="0" w:space="0" w:color="auto"/>
            <w:right w:val="none" w:sz="0" w:space="0" w:color="auto"/>
          </w:divBdr>
        </w:div>
      </w:divsChild>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8058270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15237083">
      <w:bodyDiv w:val="1"/>
      <w:marLeft w:val="0"/>
      <w:marRight w:val="0"/>
      <w:marTop w:val="0"/>
      <w:marBottom w:val="0"/>
      <w:divBdr>
        <w:top w:val="none" w:sz="0" w:space="0" w:color="auto"/>
        <w:left w:val="none" w:sz="0" w:space="0" w:color="auto"/>
        <w:bottom w:val="none" w:sz="0" w:space="0" w:color="auto"/>
        <w:right w:val="none" w:sz="0" w:space="0" w:color="auto"/>
      </w:divBdr>
    </w:div>
    <w:div w:id="215507040">
      <w:bodyDiv w:val="1"/>
      <w:marLeft w:val="0"/>
      <w:marRight w:val="0"/>
      <w:marTop w:val="0"/>
      <w:marBottom w:val="0"/>
      <w:divBdr>
        <w:top w:val="none" w:sz="0" w:space="0" w:color="auto"/>
        <w:left w:val="none" w:sz="0" w:space="0" w:color="auto"/>
        <w:bottom w:val="none" w:sz="0" w:space="0" w:color="auto"/>
        <w:right w:val="none" w:sz="0" w:space="0" w:color="auto"/>
      </w:divBdr>
    </w:div>
    <w:div w:id="230507653">
      <w:bodyDiv w:val="1"/>
      <w:marLeft w:val="0"/>
      <w:marRight w:val="0"/>
      <w:marTop w:val="0"/>
      <w:marBottom w:val="0"/>
      <w:divBdr>
        <w:top w:val="none" w:sz="0" w:space="0" w:color="auto"/>
        <w:left w:val="none" w:sz="0" w:space="0" w:color="auto"/>
        <w:bottom w:val="none" w:sz="0" w:space="0" w:color="auto"/>
        <w:right w:val="none" w:sz="0" w:space="0" w:color="auto"/>
      </w:divBdr>
    </w:div>
    <w:div w:id="235825494">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85282205">
      <w:bodyDiv w:val="1"/>
      <w:marLeft w:val="0"/>
      <w:marRight w:val="0"/>
      <w:marTop w:val="0"/>
      <w:marBottom w:val="0"/>
      <w:divBdr>
        <w:top w:val="none" w:sz="0" w:space="0" w:color="auto"/>
        <w:left w:val="none" w:sz="0" w:space="0" w:color="auto"/>
        <w:bottom w:val="none" w:sz="0" w:space="0" w:color="auto"/>
        <w:right w:val="none" w:sz="0" w:space="0" w:color="auto"/>
      </w:divBdr>
    </w:div>
    <w:div w:id="289215979">
      <w:bodyDiv w:val="1"/>
      <w:marLeft w:val="0"/>
      <w:marRight w:val="0"/>
      <w:marTop w:val="0"/>
      <w:marBottom w:val="0"/>
      <w:divBdr>
        <w:top w:val="none" w:sz="0" w:space="0" w:color="auto"/>
        <w:left w:val="none" w:sz="0" w:space="0" w:color="auto"/>
        <w:bottom w:val="none" w:sz="0" w:space="0" w:color="auto"/>
        <w:right w:val="none" w:sz="0" w:space="0" w:color="auto"/>
      </w:divBdr>
    </w:div>
    <w:div w:id="290788787">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09335481">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20355429">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454905699">
      <w:bodyDiv w:val="1"/>
      <w:marLeft w:val="0"/>
      <w:marRight w:val="0"/>
      <w:marTop w:val="0"/>
      <w:marBottom w:val="0"/>
      <w:divBdr>
        <w:top w:val="none" w:sz="0" w:space="0" w:color="auto"/>
        <w:left w:val="none" w:sz="0" w:space="0" w:color="auto"/>
        <w:bottom w:val="none" w:sz="0" w:space="0" w:color="auto"/>
        <w:right w:val="none" w:sz="0" w:space="0" w:color="auto"/>
      </w:divBdr>
      <w:divsChild>
        <w:div w:id="1395271693">
          <w:marLeft w:val="225"/>
          <w:marRight w:val="225"/>
          <w:marTop w:val="225"/>
          <w:marBottom w:val="225"/>
          <w:divBdr>
            <w:top w:val="none" w:sz="0" w:space="0" w:color="auto"/>
            <w:left w:val="none" w:sz="0" w:space="0" w:color="auto"/>
            <w:bottom w:val="none" w:sz="0" w:space="0" w:color="auto"/>
            <w:right w:val="none" w:sz="0" w:space="0" w:color="auto"/>
          </w:divBdr>
        </w:div>
      </w:divsChild>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493379046">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1482420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2831300">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09158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5622000">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25497292">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58644919">
      <w:bodyDiv w:val="1"/>
      <w:marLeft w:val="0"/>
      <w:marRight w:val="0"/>
      <w:marTop w:val="0"/>
      <w:marBottom w:val="0"/>
      <w:divBdr>
        <w:top w:val="none" w:sz="0" w:space="0" w:color="auto"/>
        <w:left w:val="none" w:sz="0" w:space="0" w:color="auto"/>
        <w:bottom w:val="none" w:sz="0" w:space="0" w:color="auto"/>
        <w:right w:val="none" w:sz="0" w:space="0" w:color="auto"/>
      </w:divBdr>
    </w:div>
    <w:div w:id="761996883">
      <w:bodyDiv w:val="1"/>
      <w:marLeft w:val="0"/>
      <w:marRight w:val="0"/>
      <w:marTop w:val="0"/>
      <w:marBottom w:val="0"/>
      <w:divBdr>
        <w:top w:val="none" w:sz="0" w:space="0" w:color="auto"/>
        <w:left w:val="none" w:sz="0" w:space="0" w:color="auto"/>
        <w:bottom w:val="none" w:sz="0" w:space="0" w:color="auto"/>
        <w:right w:val="none" w:sz="0" w:space="0" w:color="auto"/>
      </w:divBdr>
    </w:div>
    <w:div w:id="789323083">
      <w:bodyDiv w:val="1"/>
      <w:marLeft w:val="0"/>
      <w:marRight w:val="0"/>
      <w:marTop w:val="0"/>
      <w:marBottom w:val="0"/>
      <w:divBdr>
        <w:top w:val="none" w:sz="0" w:space="0" w:color="auto"/>
        <w:left w:val="none" w:sz="0" w:space="0" w:color="auto"/>
        <w:bottom w:val="none" w:sz="0" w:space="0" w:color="auto"/>
        <w:right w:val="none" w:sz="0" w:space="0" w:color="auto"/>
      </w:divBdr>
    </w:div>
    <w:div w:id="790635957">
      <w:bodyDiv w:val="1"/>
      <w:marLeft w:val="0"/>
      <w:marRight w:val="0"/>
      <w:marTop w:val="0"/>
      <w:marBottom w:val="0"/>
      <w:divBdr>
        <w:top w:val="none" w:sz="0" w:space="0" w:color="auto"/>
        <w:left w:val="none" w:sz="0" w:space="0" w:color="auto"/>
        <w:bottom w:val="none" w:sz="0" w:space="0" w:color="auto"/>
        <w:right w:val="none" w:sz="0" w:space="0" w:color="auto"/>
      </w:divBdr>
    </w:div>
    <w:div w:id="803499927">
      <w:bodyDiv w:val="1"/>
      <w:marLeft w:val="0"/>
      <w:marRight w:val="0"/>
      <w:marTop w:val="0"/>
      <w:marBottom w:val="0"/>
      <w:divBdr>
        <w:top w:val="none" w:sz="0" w:space="0" w:color="auto"/>
        <w:left w:val="none" w:sz="0" w:space="0" w:color="auto"/>
        <w:bottom w:val="none" w:sz="0" w:space="0" w:color="auto"/>
        <w:right w:val="none" w:sz="0" w:space="0" w:color="auto"/>
      </w:divBdr>
    </w:div>
    <w:div w:id="808210458">
      <w:bodyDiv w:val="1"/>
      <w:marLeft w:val="0"/>
      <w:marRight w:val="0"/>
      <w:marTop w:val="0"/>
      <w:marBottom w:val="0"/>
      <w:divBdr>
        <w:top w:val="none" w:sz="0" w:space="0" w:color="auto"/>
        <w:left w:val="none" w:sz="0" w:space="0" w:color="auto"/>
        <w:bottom w:val="none" w:sz="0" w:space="0" w:color="auto"/>
        <w:right w:val="none" w:sz="0" w:space="0" w:color="auto"/>
      </w:divBdr>
    </w:div>
    <w:div w:id="823354167">
      <w:bodyDiv w:val="1"/>
      <w:marLeft w:val="0"/>
      <w:marRight w:val="0"/>
      <w:marTop w:val="0"/>
      <w:marBottom w:val="0"/>
      <w:divBdr>
        <w:top w:val="none" w:sz="0" w:space="0" w:color="auto"/>
        <w:left w:val="none" w:sz="0" w:space="0" w:color="auto"/>
        <w:bottom w:val="none" w:sz="0" w:space="0" w:color="auto"/>
        <w:right w:val="none" w:sz="0" w:space="0" w:color="auto"/>
      </w:divBdr>
    </w:div>
    <w:div w:id="827091775">
      <w:bodyDiv w:val="1"/>
      <w:marLeft w:val="0"/>
      <w:marRight w:val="0"/>
      <w:marTop w:val="0"/>
      <w:marBottom w:val="0"/>
      <w:divBdr>
        <w:top w:val="none" w:sz="0" w:space="0" w:color="auto"/>
        <w:left w:val="none" w:sz="0" w:space="0" w:color="auto"/>
        <w:bottom w:val="none" w:sz="0" w:space="0" w:color="auto"/>
        <w:right w:val="none" w:sz="0" w:space="0" w:color="auto"/>
      </w:divBdr>
    </w:div>
    <w:div w:id="848911740">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34747932">
      <w:bodyDiv w:val="1"/>
      <w:marLeft w:val="0"/>
      <w:marRight w:val="0"/>
      <w:marTop w:val="0"/>
      <w:marBottom w:val="0"/>
      <w:divBdr>
        <w:top w:val="none" w:sz="0" w:space="0" w:color="auto"/>
        <w:left w:val="none" w:sz="0" w:space="0" w:color="auto"/>
        <w:bottom w:val="none" w:sz="0" w:space="0" w:color="auto"/>
        <w:right w:val="none" w:sz="0" w:space="0" w:color="auto"/>
      </w:divBdr>
      <w:divsChild>
        <w:div w:id="2118866544">
          <w:marLeft w:val="0"/>
          <w:marRight w:val="0"/>
          <w:marTop w:val="0"/>
          <w:marBottom w:val="0"/>
          <w:divBdr>
            <w:top w:val="none" w:sz="0" w:space="0" w:color="auto"/>
            <w:left w:val="none" w:sz="0" w:space="0" w:color="auto"/>
            <w:bottom w:val="none" w:sz="0" w:space="0" w:color="auto"/>
            <w:right w:val="none" w:sz="0" w:space="0" w:color="auto"/>
          </w:divBdr>
        </w:div>
      </w:divsChild>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460178">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5795621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973675762">
      <w:bodyDiv w:val="1"/>
      <w:marLeft w:val="0"/>
      <w:marRight w:val="0"/>
      <w:marTop w:val="0"/>
      <w:marBottom w:val="0"/>
      <w:divBdr>
        <w:top w:val="none" w:sz="0" w:space="0" w:color="auto"/>
        <w:left w:val="none" w:sz="0" w:space="0" w:color="auto"/>
        <w:bottom w:val="none" w:sz="0" w:space="0" w:color="auto"/>
        <w:right w:val="none" w:sz="0" w:space="0" w:color="auto"/>
      </w:divBdr>
    </w:div>
    <w:div w:id="974260976">
      <w:bodyDiv w:val="1"/>
      <w:marLeft w:val="0"/>
      <w:marRight w:val="0"/>
      <w:marTop w:val="0"/>
      <w:marBottom w:val="0"/>
      <w:divBdr>
        <w:top w:val="none" w:sz="0" w:space="0" w:color="auto"/>
        <w:left w:val="none" w:sz="0" w:space="0" w:color="auto"/>
        <w:bottom w:val="none" w:sz="0" w:space="0" w:color="auto"/>
        <w:right w:val="none" w:sz="0" w:space="0" w:color="auto"/>
      </w:divBdr>
    </w:div>
    <w:div w:id="998386229">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36608446">
      <w:bodyDiv w:val="1"/>
      <w:marLeft w:val="0"/>
      <w:marRight w:val="0"/>
      <w:marTop w:val="0"/>
      <w:marBottom w:val="0"/>
      <w:divBdr>
        <w:top w:val="none" w:sz="0" w:space="0" w:color="auto"/>
        <w:left w:val="none" w:sz="0" w:space="0" w:color="auto"/>
        <w:bottom w:val="none" w:sz="0" w:space="0" w:color="auto"/>
        <w:right w:val="none" w:sz="0" w:space="0" w:color="auto"/>
      </w:divBdr>
      <w:divsChild>
        <w:div w:id="2032565832">
          <w:marLeft w:val="0"/>
          <w:marRight w:val="0"/>
          <w:marTop w:val="0"/>
          <w:marBottom w:val="0"/>
          <w:divBdr>
            <w:top w:val="none" w:sz="0" w:space="0" w:color="auto"/>
            <w:left w:val="none" w:sz="0" w:space="0" w:color="auto"/>
            <w:bottom w:val="none" w:sz="0" w:space="0" w:color="auto"/>
            <w:right w:val="none" w:sz="0" w:space="0" w:color="auto"/>
          </w:divBdr>
        </w:div>
      </w:divsChild>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63936655">
      <w:bodyDiv w:val="1"/>
      <w:marLeft w:val="0"/>
      <w:marRight w:val="0"/>
      <w:marTop w:val="0"/>
      <w:marBottom w:val="0"/>
      <w:divBdr>
        <w:top w:val="none" w:sz="0" w:space="0" w:color="auto"/>
        <w:left w:val="none" w:sz="0" w:space="0" w:color="auto"/>
        <w:bottom w:val="none" w:sz="0" w:space="0" w:color="auto"/>
        <w:right w:val="none" w:sz="0" w:space="0" w:color="auto"/>
      </w:divBdr>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2305931">
      <w:bodyDiv w:val="1"/>
      <w:marLeft w:val="0"/>
      <w:marRight w:val="0"/>
      <w:marTop w:val="0"/>
      <w:marBottom w:val="0"/>
      <w:divBdr>
        <w:top w:val="none" w:sz="0" w:space="0" w:color="auto"/>
        <w:left w:val="none" w:sz="0" w:space="0" w:color="auto"/>
        <w:bottom w:val="none" w:sz="0" w:space="0" w:color="auto"/>
        <w:right w:val="none" w:sz="0" w:space="0" w:color="auto"/>
      </w:divBdr>
      <w:divsChild>
        <w:div w:id="1631937955">
          <w:marLeft w:val="547"/>
          <w:marRight w:val="0"/>
          <w:marTop w:val="0"/>
          <w:marBottom w:val="0"/>
          <w:divBdr>
            <w:top w:val="none" w:sz="0" w:space="0" w:color="auto"/>
            <w:left w:val="none" w:sz="0" w:space="0" w:color="auto"/>
            <w:bottom w:val="none" w:sz="0" w:space="0" w:color="auto"/>
            <w:right w:val="none" w:sz="0" w:space="0" w:color="auto"/>
          </w:divBdr>
        </w:div>
      </w:divsChild>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63106055">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65668824">
      <w:bodyDiv w:val="1"/>
      <w:marLeft w:val="0"/>
      <w:marRight w:val="0"/>
      <w:marTop w:val="0"/>
      <w:marBottom w:val="0"/>
      <w:divBdr>
        <w:top w:val="none" w:sz="0" w:space="0" w:color="auto"/>
        <w:left w:val="none" w:sz="0" w:space="0" w:color="auto"/>
        <w:bottom w:val="none" w:sz="0" w:space="0" w:color="auto"/>
        <w:right w:val="none" w:sz="0" w:space="0" w:color="auto"/>
      </w:divBdr>
    </w:div>
    <w:div w:id="13728001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68151455">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17322323">
      <w:bodyDiv w:val="1"/>
      <w:marLeft w:val="0"/>
      <w:marRight w:val="0"/>
      <w:marTop w:val="0"/>
      <w:marBottom w:val="0"/>
      <w:divBdr>
        <w:top w:val="none" w:sz="0" w:space="0" w:color="auto"/>
        <w:left w:val="none" w:sz="0" w:space="0" w:color="auto"/>
        <w:bottom w:val="none" w:sz="0" w:space="0" w:color="auto"/>
        <w:right w:val="none" w:sz="0" w:space="0" w:color="auto"/>
      </w:divBdr>
    </w:div>
    <w:div w:id="1634169325">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42995847">
      <w:bodyDiv w:val="1"/>
      <w:marLeft w:val="0"/>
      <w:marRight w:val="0"/>
      <w:marTop w:val="0"/>
      <w:marBottom w:val="0"/>
      <w:divBdr>
        <w:top w:val="none" w:sz="0" w:space="0" w:color="auto"/>
        <w:left w:val="none" w:sz="0" w:space="0" w:color="auto"/>
        <w:bottom w:val="none" w:sz="0" w:space="0" w:color="auto"/>
        <w:right w:val="none" w:sz="0" w:space="0" w:color="auto"/>
      </w:divBdr>
    </w:div>
    <w:div w:id="1665284415">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08482016">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2942865">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24608018">
      <w:bodyDiv w:val="1"/>
      <w:marLeft w:val="0"/>
      <w:marRight w:val="0"/>
      <w:marTop w:val="0"/>
      <w:marBottom w:val="0"/>
      <w:divBdr>
        <w:top w:val="none" w:sz="0" w:space="0" w:color="auto"/>
        <w:left w:val="none" w:sz="0" w:space="0" w:color="auto"/>
        <w:bottom w:val="none" w:sz="0" w:space="0" w:color="auto"/>
        <w:right w:val="none" w:sz="0" w:space="0" w:color="auto"/>
      </w:divBdr>
    </w:div>
    <w:div w:id="1928927155">
      <w:bodyDiv w:val="1"/>
      <w:marLeft w:val="0"/>
      <w:marRight w:val="0"/>
      <w:marTop w:val="0"/>
      <w:marBottom w:val="0"/>
      <w:divBdr>
        <w:top w:val="none" w:sz="0" w:space="0" w:color="auto"/>
        <w:left w:val="none" w:sz="0" w:space="0" w:color="auto"/>
        <w:bottom w:val="none" w:sz="0" w:space="0" w:color="auto"/>
        <w:right w:val="none" w:sz="0" w:space="0" w:color="auto"/>
      </w:divBdr>
    </w:div>
    <w:div w:id="1974292687">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9745724">
      <w:bodyDiv w:val="1"/>
      <w:marLeft w:val="0"/>
      <w:marRight w:val="0"/>
      <w:marTop w:val="0"/>
      <w:marBottom w:val="0"/>
      <w:divBdr>
        <w:top w:val="none" w:sz="0" w:space="0" w:color="auto"/>
        <w:left w:val="none" w:sz="0" w:space="0" w:color="auto"/>
        <w:bottom w:val="none" w:sz="0" w:space="0" w:color="auto"/>
        <w:right w:val="none" w:sz="0" w:space="0" w:color="auto"/>
      </w:divBdr>
      <w:divsChild>
        <w:div w:id="540094864">
          <w:marLeft w:val="806"/>
          <w:marRight w:val="0"/>
          <w:marTop w:val="200"/>
          <w:marBottom w:val="0"/>
          <w:divBdr>
            <w:top w:val="none" w:sz="0" w:space="0" w:color="auto"/>
            <w:left w:val="none" w:sz="0" w:space="0" w:color="auto"/>
            <w:bottom w:val="none" w:sz="0" w:space="0" w:color="auto"/>
            <w:right w:val="none" w:sz="0" w:space="0" w:color="auto"/>
          </w:divBdr>
        </w:div>
      </w:divsChild>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096197393">
      <w:bodyDiv w:val="1"/>
      <w:marLeft w:val="0"/>
      <w:marRight w:val="0"/>
      <w:marTop w:val="0"/>
      <w:marBottom w:val="0"/>
      <w:divBdr>
        <w:top w:val="none" w:sz="0" w:space="0" w:color="auto"/>
        <w:left w:val="none" w:sz="0" w:space="0" w:color="auto"/>
        <w:bottom w:val="none" w:sz="0" w:space="0" w:color="auto"/>
        <w:right w:val="none" w:sz="0" w:space="0" w:color="auto"/>
      </w:divBdr>
    </w:div>
    <w:div w:id="2101901319">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29468744">
      <w:bodyDiv w:val="1"/>
      <w:marLeft w:val="0"/>
      <w:marRight w:val="0"/>
      <w:marTop w:val="0"/>
      <w:marBottom w:val="0"/>
      <w:divBdr>
        <w:top w:val="none" w:sz="0" w:space="0" w:color="auto"/>
        <w:left w:val="none" w:sz="0" w:space="0" w:color="auto"/>
        <w:bottom w:val="none" w:sz="0" w:space="0" w:color="auto"/>
        <w:right w:val="none" w:sz="0" w:space="0" w:color="auto"/>
      </w:divBdr>
      <w:divsChild>
        <w:div w:id="1768773508">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image" Target="media/image10.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eader" Target="header2.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4.9465338289150784E-2"/>
          <c:y val="3.0794017783788107E-2"/>
          <c:w val="0.93146227332766762"/>
          <c:h val="0.75102922814259865"/>
        </c:manualLayout>
      </c:layout>
      <c:barChart>
        <c:barDir val="col"/>
        <c:grouping val="stacked"/>
        <c:varyColors val="0"/>
        <c:ser>
          <c:idx val="59"/>
          <c:order val="59"/>
          <c:tx>
            <c:strRef>
              <c:f>'Table for graphs '!$A$61</c:f>
              <c:strCache>
                <c:ptCount val="1"/>
                <c:pt idx="0">
                  <c:v>- Reported 63 - 103 days All Sites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'!$B$61:$CB$61</c:f>
              <c:numCache>
                <c:formatCode>0</c:formatCode>
                <c:ptCount val="79"/>
                <c:pt idx="0">
                  <c:v>391</c:v>
                </c:pt>
                <c:pt idx="1">
                  <c:v>404</c:v>
                </c:pt>
                <c:pt idx="2">
                  <c:v>385</c:v>
                </c:pt>
                <c:pt idx="3">
                  <c:v>357</c:v>
                </c:pt>
                <c:pt idx="4">
                  <c:v>369</c:v>
                </c:pt>
                <c:pt idx="5">
                  <c:v>364</c:v>
                </c:pt>
                <c:pt idx="6">
                  <c:v>339</c:v>
                </c:pt>
                <c:pt idx="7">
                  <c:v>322</c:v>
                </c:pt>
                <c:pt idx="8">
                  <c:v>302</c:v>
                </c:pt>
                <c:pt idx="9">
                  <c:v>281</c:v>
                </c:pt>
                <c:pt idx="10">
                  <c:v>288</c:v>
                </c:pt>
                <c:pt idx="11">
                  <c:v>314</c:v>
                </c:pt>
                <c:pt idx="12">
                  <c:v>364</c:v>
                </c:pt>
                <c:pt idx="13">
                  <c:v>396</c:v>
                </c:pt>
                <c:pt idx="14">
                  <c:v>374</c:v>
                </c:pt>
                <c:pt idx="15">
                  <c:v>360</c:v>
                </c:pt>
                <c:pt idx="16">
                  <c:v>326</c:v>
                </c:pt>
                <c:pt idx="17">
                  <c:v>308</c:v>
                </c:pt>
                <c:pt idx="18">
                  <c:v>283</c:v>
                </c:pt>
                <c:pt idx="19">
                  <c:v>267</c:v>
                </c:pt>
                <c:pt idx="20">
                  <c:v>252</c:v>
                </c:pt>
                <c:pt idx="21">
                  <c:v>236.23999999999998</c:v>
                </c:pt>
                <c:pt idx="22">
                  <c:v>199.3245</c:v>
                </c:pt>
                <c:pt idx="23">
                  <c:v>203</c:v>
                </c:pt>
                <c:pt idx="24">
                  <c:v>220</c:v>
                </c:pt>
                <c:pt idx="25">
                  <c:v>239</c:v>
                </c:pt>
                <c:pt idx="26">
                  <c:v>232</c:v>
                </c:pt>
                <c:pt idx="27">
                  <c:v>279</c:v>
                </c:pt>
                <c:pt idx="28">
                  <c:v>268</c:v>
                </c:pt>
                <c:pt idx="29">
                  <c:v>262</c:v>
                </c:pt>
                <c:pt idx="30">
                  <c:v>268</c:v>
                </c:pt>
                <c:pt idx="31">
                  <c:v>277</c:v>
                </c:pt>
                <c:pt idx="32">
                  <c:v>261</c:v>
                </c:pt>
                <c:pt idx="33">
                  <c:v>254</c:v>
                </c:pt>
                <c:pt idx="34">
                  <c:v>275</c:v>
                </c:pt>
                <c:pt idx="35">
                  <c:v>276</c:v>
                </c:pt>
                <c:pt idx="36">
                  <c:v>268</c:v>
                </c:pt>
                <c:pt idx="37">
                  <c:v>240</c:v>
                </c:pt>
                <c:pt idx="38">
                  <c:v>244</c:v>
                </c:pt>
                <c:pt idx="39">
                  <c:v>214</c:v>
                </c:pt>
                <c:pt idx="40">
                  <c:v>206</c:v>
                </c:pt>
                <c:pt idx="41">
                  <c:v>200</c:v>
                </c:pt>
                <c:pt idx="42">
                  <c:v>213</c:v>
                </c:pt>
                <c:pt idx="43">
                  <c:v>206</c:v>
                </c:pt>
                <c:pt idx="44">
                  <c:v>219</c:v>
                </c:pt>
                <c:pt idx="45">
                  <c:v>256</c:v>
                </c:pt>
                <c:pt idx="46">
                  <c:v>255</c:v>
                </c:pt>
                <c:pt idx="47">
                  <c:v>263</c:v>
                </c:pt>
                <c:pt idx="48">
                  <c:v>275</c:v>
                </c:pt>
                <c:pt idx="49">
                  <c:v>300</c:v>
                </c:pt>
                <c:pt idx="50">
                  <c:v>255</c:v>
                </c:pt>
                <c:pt idx="51">
                  <c:v>245</c:v>
                </c:pt>
                <c:pt idx="52">
                  <c:v>238</c:v>
                </c:pt>
                <c:pt idx="53">
                  <c:v>212</c:v>
                </c:pt>
                <c:pt idx="54">
                  <c:v>210</c:v>
                </c:pt>
                <c:pt idx="55">
                  <c:v>212</c:v>
                </c:pt>
                <c:pt idx="56">
                  <c:v>197</c:v>
                </c:pt>
                <c:pt idx="57">
                  <c:v>183</c:v>
                </c:pt>
                <c:pt idx="58">
                  <c:v>176</c:v>
                </c:pt>
                <c:pt idx="59">
                  <c:v>180</c:v>
                </c:pt>
                <c:pt idx="60">
                  <c:v>169</c:v>
                </c:pt>
                <c:pt idx="61">
                  <c:v>156</c:v>
                </c:pt>
                <c:pt idx="62">
                  <c:v>162</c:v>
                </c:pt>
                <c:pt idx="63">
                  <c:v>165</c:v>
                </c:pt>
                <c:pt idx="64">
                  <c:v>168</c:v>
                </c:pt>
                <c:pt idx="65">
                  <c:v>188</c:v>
                </c:pt>
                <c:pt idx="66">
                  <c:v>192</c:v>
                </c:pt>
              </c:numCache>
            </c:numRef>
          </c:val>
          <c:extLst>
            <c:ext xmlns:c16="http://schemas.microsoft.com/office/drawing/2014/chart" uri="{C3380CC4-5D6E-409C-BE32-E72D297353CC}">
              <c16:uniqueId val="{00000000-DE8D-488D-855A-43F38F7C7045}"/>
            </c:ext>
          </c:extLst>
        </c:ser>
        <c:ser>
          <c:idx val="74"/>
          <c:order val="74"/>
          <c:tx>
            <c:strRef>
              <c:f>'Table for graphs '!$A$76</c:f>
              <c:strCache>
                <c:ptCount val="1"/>
                <c:pt idx="0">
                  <c:v>Reported &gt;103 days All Sites</c:v>
                </c:pt>
              </c:strCache>
            </c:strRef>
          </c:tx>
          <c:spPr>
            <a:solidFill>
              <a:schemeClr val="accent5">
                <a:lumMod val="20000"/>
                <a:lumOff val="80000"/>
              </a:schemeClr>
            </a:solidFill>
            <a:ln w="28575">
              <a:solidFill>
                <a:schemeClr val="accent5">
                  <a:lumMod val="20000"/>
                  <a:lumOff val="80000"/>
                </a:schemeClr>
              </a:solidFill>
            </a:ln>
            <a:effectLst/>
          </c:spPr>
          <c:invertIfNegative val="0"/>
          <c:dLbls>
            <c:dLbl>
              <c:idx val="60"/>
              <c:layout>
                <c:manualLayout>
                  <c:x val="1.9096724911677647E-3"/>
                  <c:y val="2.76602255993720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E8D-488D-855A-43F38F7C7045}"/>
                </c:ext>
              </c:extLst>
            </c:dLbl>
            <c:dLbl>
              <c:idx val="63"/>
              <c:layout>
                <c:manualLayout>
                  <c:x val="-1.4004103158635569E-16"/>
                  <c:y val="2.5491000867689892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E8D-488D-855A-43F38F7C7045}"/>
                </c:ext>
              </c:extLst>
            </c:dLbl>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'!$B$76:$CB$76</c:f>
              <c:numCache>
                <c:formatCode>0</c:formatCode>
                <c:ptCount val="79"/>
                <c:pt idx="0">
                  <c:v>181</c:v>
                </c:pt>
                <c:pt idx="1">
                  <c:v>182</c:v>
                </c:pt>
                <c:pt idx="2">
                  <c:v>188</c:v>
                </c:pt>
                <c:pt idx="3">
                  <c:v>176</c:v>
                </c:pt>
                <c:pt idx="4">
                  <c:v>176</c:v>
                </c:pt>
                <c:pt idx="5">
                  <c:v>181</c:v>
                </c:pt>
                <c:pt idx="6">
                  <c:v>189</c:v>
                </c:pt>
                <c:pt idx="7">
                  <c:v>185</c:v>
                </c:pt>
                <c:pt idx="8">
                  <c:v>178</c:v>
                </c:pt>
                <c:pt idx="9">
                  <c:v>186</c:v>
                </c:pt>
                <c:pt idx="10">
                  <c:v>165</c:v>
                </c:pt>
                <c:pt idx="11">
                  <c:v>160</c:v>
                </c:pt>
                <c:pt idx="12">
                  <c:v>179</c:v>
                </c:pt>
                <c:pt idx="13">
                  <c:v>189</c:v>
                </c:pt>
                <c:pt idx="14">
                  <c:v>201</c:v>
                </c:pt>
                <c:pt idx="15">
                  <c:v>176</c:v>
                </c:pt>
                <c:pt idx="16">
                  <c:v>180</c:v>
                </c:pt>
                <c:pt idx="17">
                  <c:v>177</c:v>
                </c:pt>
                <c:pt idx="18">
                  <c:v>187</c:v>
                </c:pt>
                <c:pt idx="19">
                  <c:v>182</c:v>
                </c:pt>
                <c:pt idx="20">
                  <c:v>183</c:v>
                </c:pt>
                <c:pt idx="21">
                  <c:v>186</c:v>
                </c:pt>
                <c:pt idx="22">
                  <c:v>164.41800000000001</c:v>
                </c:pt>
                <c:pt idx="23">
                  <c:v>164</c:v>
                </c:pt>
                <c:pt idx="24">
                  <c:v>179</c:v>
                </c:pt>
                <c:pt idx="25">
                  <c:v>168</c:v>
                </c:pt>
                <c:pt idx="26">
                  <c:v>159</c:v>
                </c:pt>
                <c:pt idx="27">
                  <c:v>158</c:v>
                </c:pt>
                <c:pt idx="28">
                  <c:v>122</c:v>
                </c:pt>
                <c:pt idx="29">
                  <c:v>125</c:v>
                </c:pt>
                <c:pt idx="30">
                  <c:v>141</c:v>
                </c:pt>
                <c:pt idx="31">
                  <c:v>134</c:v>
                </c:pt>
                <c:pt idx="32">
                  <c:v>133</c:v>
                </c:pt>
                <c:pt idx="33">
                  <c:v>134</c:v>
                </c:pt>
                <c:pt idx="34">
                  <c:v>139</c:v>
                </c:pt>
                <c:pt idx="35">
                  <c:v>138</c:v>
                </c:pt>
                <c:pt idx="36">
                  <c:v>134</c:v>
                </c:pt>
                <c:pt idx="37">
                  <c:v>145</c:v>
                </c:pt>
                <c:pt idx="38">
                  <c:v>136</c:v>
                </c:pt>
                <c:pt idx="39">
                  <c:v>139</c:v>
                </c:pt>
                <c:pt idx="40">
                  <c:v>119</c:v>
                </c:pt>
                <c:pt idx="41">
                  <c:v>128</c:v>
                </c:pt>
                <c:pt idx="42">
                  <c:v>120</c:v>
                </c:pt>
                <c:pt idx="43">
                  <c:v>117</c:v>
                </c:pt>
                <c:pt idx="44">
                  <c:v>112</c:v>
                </c:pt>
                <c:pt idx="45">
                  <c:v>101</c:v>
                </c:pt>
                <c:pt idx="46">
                  <c:v>110</c:v>
                </c:pt>
                <c:pt idx="47">
                  <c:v>105</c:v>
                </c:pt>
                <c:pt idx="48">
                  <c:v>113</c:v>
                </c:pt>
                <c:pt idx="49">
                  <c:v>117</c:v>
                </c:pt>
                <c:pt idx="50">
                  <c:v>124</c:v>
                </c:pt>
                <c:pt idx="51">
                  <c:v>117</c:v>
                </c:pt>
                <c:pt idx="52">
                  <c:v>122</c:v>
                </c:pt>
                <c:pt idx="53">
                  <c:v>117</c:v>
                </c:pt>
                <c:pt idx="54">
                  <c:v>117</c:v>
                </c:pt>
                <c:pt idx="55">
                  <c:v>120</c:v>
                </c:pt>
                <c:pt idx="56">
                  <c:v>119</c:v>
                </c:pt>
                <c:pt idx="57">
                  <c:v>121</c:v>
                </c:pt>
                <c:pt idx="58">
                  <c:v>115</c:v>
                </c:pt>
                <c:pt idx="59">
                  <c:v>118</c:v>
                </c:pt>
                <c:pt idx="60">
                  <c:v>116</c:v>
                </c:pt>
                <c:pt idx="61">
                  <c:v>107</c:v>
                </c:pt>
                <c:pt idx="62">
                  <c:v>97</c:v>
                </c:pt>
                <c:pt idx="63">
                  <c:v>99</c:v>
                </c:pt>
                <c:pt idx="64">
                  <c:v>106</c:v>
                </c:pt>
                <c:pt idx="65">
                  <c:v>117</c:v>
                </c:pt>
                <c:pt idx="66">
                  <c:v>110</c:v>
                </c:pt>
              </c:numCache>
            </c:numRef>
          </c:val>
          <c:extLst>
            <c:ext xmlns:c16="http://schemas.microsoft.com/office/drawing/2014/chart" uri="{C3380CC4-5D6E-409C-BE32-E72D297353CC}">
              <c16:uniqueId val="{00000003-DE8D-488D-855A-43F38F7C7045}"/>
            </c:ext>
          </c:extLst>
        </c:ser>
        <c:dLbls>
          <c:showLegendKey val="0"/>
          <c:showVal val="0"/>
          <c:showCatName val="0"/>
          <c:showSerName val="0"/>
          <c:showPercent val="0"/>
          <c:showBubbleSize val="0"/>
        </c:dLbls>
        <c:gapWidth val="150"/>
        <c:overlap val="100"/>
        <c:axId val="545995631"/>
        <c:axId val="545998543"/>
        <c:extLst>
          <c:ext xmlns:c15="http://schemas.microsoft.com/office/drawing/2012/chart" uri="{02D57815-91ED-43cb-92C2-25804820EDAC}">
            <c15:filteredBarSeries>
              <c15:ser>
                <c:idx val="45"/>
                <c:order val="45"/>
                <c:tx>
                  <c:strRef>
                    <c:extLst>
                      <c:ext uri="{02D57815-91ED-43cb-92C2-25804820EDAC}">
                        <c15:formulaRef>
                          <c15:sqref>'Table for graphs '!$A$47</c15:sqref>
                        </c15:formulaRef>
                      </c:ext>
                    </c:extLst>
                    <c:strCache>
                      <c:ptCount val="1"/>
                      <c:pt idx="0">
                        <c:v>Acute Leukaemia - Reported 63 - 103 days</c:v>
                      </c:pt>
                    </c:strCache>
                  </c:strRef>
                </c:tx>
                <c:spPr>
                  <a:solidFill>
                    <a:schemeClr val="accent5">
                      <a:shade val="97000"/>
                    </a:schemeClr>
                  </a:solidFill>
                  <a:ln>
                    <a:noFill/>
                  </a:ln>
                  <a:effectLst/>
                </c:spPr>
                <c:invertIfNegative val="0"/>
                <c:cat>
                  <c:numRef>
                    <c:extLst>
                      <c:ex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c:ext uri="{02D57815-91ED-43cb-92C2-25804820EDAC}">
                        <c15:formulaRef>
                          <c15:sqref>'Table for graphs '!$B$47:$CB$47</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formatCode="General">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numCache>
                  </c:numRef>
                </c:val>
                <c:extLst>
                  <c:ext xmlns:c16="http://schemas.microsoft.com/office/drawing/2014/chart" uri="{C3380CC4-5D6E-409C-BE32-E72D297353CC}">
                    <c16:uniqueId val="{00000039-DE8D-488D-855A-43F38F7C7045}"/>
                  </c:ext>
                </c:extLst>
              </c15:ser>
            </c15:filteredBarSeries>
            <c15:filteredBarSeries>
              <c15:ser>
                <c:idx val="46"/>
                <c:order val="46"/>
                <c:tx>
                  <c:strRef>
                    <c:extLst xmlns:c15="http://schemas.microsoft.com/office/drawing/2012/chart">
                      <c:ext xmlns:c15="http://schemas.microsoft.com/office/drawing/2012/chart" uri="{02D57815-91ED-43cb-92C2-25804820EDAC}">
                        <c15:formulaRef>
                          <c15:sqref>'Table for graphs '!$A$48</c15:sqref>
                        </c15:formulaRef>
                      </c:ext>
                    </c:extLst>
                    <c:strCache>
                      <c:ptCount val="1"/>
                      <c:pt idx="0">
                        <c:v>Brain/CNS - Reported 63 - 103 days</c:v>
                      </c:pt>
                    </c:strCache>
                  </c:strRef>
                </c:tx>
                <c:spPr>
                  <a:solidFill>
                    <a:schemeClr val="accent5">
                      <a:shade val="9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'!$B$48:$CB$48</c15:sqref>
                        </c15:formulaRef>
                      </c:ext>
                    </c:extLst>
                    <c:numCache>
                      <c:formatCode>0</c:formatCode>
                      <c:ptCount val="79"/>
                      <c:pt idx="0">
                        <c:v>1</c:v>
                      </c:pt>
                      <c:pt idx="1">
                        <c:v>1</c:v>
                      </c:pt>
                      <c:pt idx="2">
                        <c:v>1</c:v>
                      </c:pt>
                      <c:pt idx="3">
                        <c:v>2</c:v>
                      </c:pt>
                      <c:pt idx="4">
                        <c:v>0</c:v>
                      </c:pt>
                      <c:pt idx="5">
                        <c:v>0</c:v>
                      </c:pt>
                      <c:pt idx="6">
                        <c:v>1</c:v>
                      </c:pt>
                      <c:pt idx="7">
                        <c:v>2</c:v>
                      </c:pt>
                      <c:pt idx="8">
                        <c:v>2</c:v>
                      </c:pt>
                      <c:pt idx="9">
                        <c:v>0</c:v>
                      </c:pt>
                      <c:pt idx="10">
                        <c:v>1</c:v>
                      </c:pt>
                      <c:pt idx="11">
                        <c:v>1</c:v>
                      </c:pt>
                      <c:pt idx="12">
                        <c:v>2</c:v>
                      </c:pt>
                      <c:pt idx="13">
                        <c:v>2</c:v>
                      </c:pt>
                      <c:pt idx="14">
                        <c:v>2</c:v>
                      </c:pt>
                      <c:pt idx="15">
                        <c:v>1</c:v>
                      </c:pt>
                      <c:pt idx="16">
                        <c:v>3</c:v>
                      </c:pt>
                      <c:pt idx="17">
                        <c:v>0</c:v>
                      </c:pt>
                      <c:pt idx="18">
                        <c:v>0</c:v>
                      </c:pt>
                      <c:pt idx="19">
                        <c:v>0</c:v>
                      </c:pt>
                      <c:pt idx="20">
                        <c:v>0</c:v>
                      </c:pt>
                      <c:pt idx="21">
                        <c:v>0</c:v>
                      </c:pt>
                      <c:pt idx="22">
                        <c:v>1</c:v>
                      </c:pt>
                      <c:pt idx="23">
                        <c:v>1</c:v>
                      </c:pt>
                      <c:pt idx="24">
                        <c:v>1</c:v>
                      </c:pt>
                      <c:pt idx="25">
                        <c:v>0</c:v>
                      </c:pt>
                      <c:pt idx="26">
                        <c:v>2</c:v>
                      </c:pt>
                      <c:pt idx="27">
                        <c:v>1</c:v>
                      </c:pt>
                      <c:pt idx="28">
                        <c:v>1</c:v>
                      </c:pt>
                      <c:pt idx="29">
                        <c:v>1</c:v>
                      </c:pt>
                      <c:pt idx="30">
                        <c:v>1</c:v>
                      </c:pt>
                      <c:pt idx="31">
                        <c:v>1</c:v>
                      </c:pt>
                      <c:pt idx="32">
                        <c:v>1</c:v>
                      </c:pt>
                      <c:pt idx="33">
                        <c:v>2</c:v>
                      </c:pt>
                      <c:pt idx="34">
                        <c:v>2</c:v>
                      </c:pt>
                      <c:pt idx="35">
                        <c:v>1</c:v>
                      </c:pt>
                      <c:pt idx="36">
                        <c:v>1</c:v>
                      </c:pt>
                      <c:pt idx="37">
                        <c:v>2</c:v>
                      </c:pt>
                      <c:pt idx="38">
                        <c:v>2</c:v>
                      </c:pt>
                      <c:pt idx="39">
                        <c:v>1</c:v>
                      </c:pt>
                      <c:pt idx="40">
                        <c:v>0</c:v>
                      </c:pt>
                      <c:pt idx="41">
                        <c:v>0</c:v>
                      </c:pt>
                      <c:pt idx="42">
                        <c:v>0</c:v>
                      </c:pt>
                      <c:pt idx="43">
                        <c:v>0</c:v>
                      </c:pt>
                      <c:pt idx="44">
                        <c:v>1</c:v>
                      </c:pt>
                      <c:pt idx="45">
                        <c:v>1</c:v>
                      </c:pt>
                      <c:pt idx="46">
                        <c:v>1</c:v>
                      </c:pt>
                      <c:pt idx="47">
                        <c:v>1</c:v>
                      </c:pt>
                      <c:pt idx="48">
                        <c:v>1</c:v>
                      </c:pt>
                      <c:pt idx="49">
                        <c:v>0</c:v>
                      </c:pt>
                      <c:pt idx="50">
                        <c:v>0</c:v>
                      </c:pt>
                      <c:pt idx="51">
                        <c:v>0</c:v>
                      </c:pt>
                      <c:pt idx="52" formatCode="General">
                        <c:v>1</c:v>
                      </c:pt>
                      <c:pt idx="53">
                        <c:v>1</c:v>
                      </c:pt>
                      <c:pt idx="54">
                        <c:v>1</c:v>
                      </c:pt>
                      <c:pt idx="55">
                        <c:v>1</c:v>
                      </c:pt>
                      <c:pt idx="56">
                        <c:v>0</c:v>
                      </c:pt>
                      <c:pt idx="57">
                        <c:v>0</c:v>
                      </c:pt>
                      <c:pt idx="58">
                        <c:v>0</c:v>
                      </c:pt>
                      <c:pt idx="59">
                        <c:v>0</c:v>
                      </c:pt>
                      <c:pt idx="60">
                        <c:v>0</c:v>
                      </c:pt>
                      <c:pt idx="61">
                        <c:v>0</c:v>
                      </c:pt>
                      <c:pt idx="62">
                        <c:v>0</c:v>
                      </c:pt>
                      <c:pt idx="63">
                        <c:v>0</c:v>
                      </c:pt>
                      <c:pt idx="64">
                        <c:v>0</c:v>
                      </c:pt>
                      <c:pt idx="65">
                        <c:v>0</c:v>
                      </c:pt>
                      <c:pt idx="66">
                        <c:v>0</c:v>
                      </c:pt>
                    </c:numCache>
                  </c:numRef>
                </c:val>
                <c:extLst xmlns:c15="http://schemas.microsoft.com/office/drawing/2012/chart">
                  <c:ext xmlns:c16="http://schemas.microsoft.com/office/drawing/2014/chart" uri="{C3380CC4-5D6E-409C-BE32-E72D297353CC}">
                    <c16:uniqueId val="{0000003A-DE8D-488D-855A-43F38F7C7045}"/>
                  </c:ext>
                </c:extLst>
              </c15:ser>
            </c15:filteredBarSeries>
            <c15:filteredBarSeries>
              <c15:ser>
                <c:idx val="47"/>
                <c:order val="47"/>
                <c:tx>
                  <c:strRef>
                    <c:extLst xmlns:c15="http://schemas.microsoft.com/office/drawing/2012/chart">
                      <c:ext xmlns:c15="http://schemas.microsoft.com/office/drawing/2012/chart" uri="{02D57815-91ED-43cb-92C2-25804820EDAC}">
                        <c15:formulaRef>
                          <c15:sqref>'Table for graphs '!$A$49</c15:sqref>
                        </c15:formulaRef>
                      </c:ext>
                    </c:extLst>
                    <c:strCache>
                      <c:ptCount val="1"/>
                      <c:pt idx="0">
                        <c:v>Breast - Reported 63 - 103 days</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'!$B$49:$CB$49</c15:sqref>
                        </c15:formulaRef>
                      </c:ext>
                    </c:extLst>
                    <c:numCache>
                      <c:formatCode>0</c:formatCode>
                      <c:ptCount val="79"/>
                      <c:pt idx="0">
                        <c:v>19</c:v>
                      </c:pt>
                      <c:pt idx="1">
                        <c:v>20</c:v>
                      </c:pt>
                      <c:pt idx="2">
                        <c:v>20</c:v>
                      </c:pt>
                      <c:pt idx="3">
                        <c:v>18</c:v>
                      </c:pt>
                      <c:pt idx="4">
                        <c:v>16</c:v>
                      </c:pt>
                      <c:pt idx="5">
                        <c:v>17</c:v>
                      </c:pt>
                      <c:pt idx="6">
                        <c:v>16</c:v>
                      </c:pt>
                      <c:pt idx="7">
                        <c:v>15</c:v>
                      </c:pt>
                      <c:pt idx="8">
                        <c:v>14</c:v>
                      </c:pt>
                      <c:pt idx="9">
                        <c:v>12</c:v>
                      </c:pt>
                      <c:pt idx="10">
                        <c:v>15</c:v>
                      </c:pt>
                      <c:pt idx="11">
                        <c:v>14</c:v>
                      </c:pt>
                      <c:pt idx="12">
                        <c:v>15</c:v>
                      </c:pt>
                      <c:pt idx="13">
                        <c:v>15</c:v>
                      </c:pt>
                      <c:pt idx="14">
                        <c:v>17</c:v>
                      </c:pt>
                      <c:pt idx="15">
                        <c:v>18</c:v>
                      </c:pt>
                      <c:pt idx="16">
                        <c:v>15</c:v>
                      </c:pt>
                      <c:pt idx="17">
                        <c:v>15</c:v>
                      </c:pt>
                      <c:pt idx="18">
                        <c:v>15</c:v>
                      </c:pt>
                      <c:pt idx="19">
                        <c:v>15</c:v>
                      </c:pt>
                      <c:pt idx="20">
                        <c:v>8</c:v>
                      </c:pt>
                      <c:pt idx="21">
                        <c:v>7.84</c:v>
                      </c:pt>
                      <c:pt idx="22">
                        <c:v>7.84</c:v>
                      </c:pt>
                      <c:pt idx="23">
                        <c:v>5</c:v>
                      </c:pt>
                      <c:pt idx="24">
                        <c:v>5</c:v>
                      </c:pt>
                      <c:pt idx="25">
                        <c:v>7</c:v>
                      </c:pt>
                      <c:pt idx="26">
                        <c:v>10</c:v>
                      </c:pt>
                      <c:pt idx="27">
                        <c:v>9</c:v>
                      </c:pt>
                      <c:pt idx="28">
                        <c:v>4</c:v>
                      </c:pt>
                      <c:pt idx="29">
                        <c:v>8</c:v>
                      </c:pt>
                      <c:pt idx="30">
                        <c:v>8</c:v>
                      </c:pt>
                      <c:pt idx="31">
                        <c:v>10</c:v>
                      </c:pt>
                      <c:pt idx="32">
                        <c:v>17</c:v>
                      </c:pt>
                      <c:pt idx="33">
                        <c:v>16</c:v>
                      </c:pt>
                      <c:pt idx="34">
                        <c:v>20</c:v>
                      </c:pt>
                      <c:pt idx="35">
                        <c:v>19</c:v>
                      </c:pt>
                      <c:pt idx="36">
                        <c:v>17</c:v>
                      </c:pt>
                      <c:pt idx="37">
                        <c:v>18</c:v>
                      </c:pt>
                      <c:pt idx="38">
                        <c:v>14</c:v>
                      </c:pt>
                      <c:pt idx="39">
                        <c:v>12</c:v>
                      </c:pt>
                      <c:pt idx="40">
                        <c:v>9</c:v>
                      </c:pt>
                      <c:pt idx="41">
                        <c:v>9</c:v>
                      </c:pt>
                      <c:pt idx="42">
                        <c:v>10</c:v>
                      </c:pt>
                      <c:pt idx="43">
                        <c:v>7</c:v>
                      </c:pt>
                      <c:pt idx="44">
                        <c:v>8</c:v>
                      </c:pt>
                      <c:pt idx="45">
                        <c:v>13</c:v>
                      </c:pt>
                      <c:pt idx="46">
                        <c:v>16</c:v>
                      </c:pt>
                      <c:pt idx="47">
                        <c:v>15</c:v>
                      </c:pt>
                      <c:pt idx="48">
                        <c:v>18</c:v>
                      </c:pt>
                      <c:pt idx="49">
                        <c:v>19</c:v>
                      </c:pt>
                      <c:pt idx="50">
                        <c:v>17</c:v>
                      </c:pt>
                      <c:pt idx="51">
                        <c:v>15</c:v>
                      </c:pt>
                      <c:pt idx="52" formatCode="General">
                        <c:v>14</c:v>
                      </c:pt>
                      <c:pt idx="53">
                        <c:v>18</c:v>
                      </c:pt>
                      <c:pt idx="54">
                        <c:v>21</c:v>
                      </c:pt>
                      <c:pt idx="55">
                        <c:v>24</c:v>
                      </c:pt>
                      <c:pt idx="56">
                        <c:v>23</c:v>
                      </c:pt>
                      <c:pt idx="57">
                        <c:v>26</c:v>
                      </c:pt>
                      <c:pt idx="58">
                        <c:v>24</c:v>
                      </c:pt>
                      <c:pt idx="59">
                        <c:v>24</c:v>
                      </c:pt>
                      <c:pt idx="60">
                        <c:v>25</c:v>
                      </c:pt>
                      <c:pt idx="61">
                        <c:v>19</c:v>
                      </c:pt>
                      <c:pt idx="62">
                        <c:v>21</c:v>
                      </c:pt>
                      <c:pt idx="63">
                        <c:v>15</c:v>
                      </c:pt>
                      <c:pt idx="64">
                        <c:v>14</c:v>
                      </c:pt>
                      <c:pt idx="65">
                        <c:v>13</c:v>
                      </c:pt>
                      <c:pt idx="66">
                        <c:v>15</c:v>
                      </c:pt>
                    </c:numCache>
                  </c:numRef>
                </c:val>
                <c:extLst xmlns:c15="http://schemas.microsoft.com/office/drawing/2012/chart">
                  <c:ext xmlns:c16="http://schemas.microsoft.com/office/drawing/2014/chart" uri="{C3380CC4-5D6E-409C-BE32-E72D297353CC}">
                    <c16:uniqueId val="{0000003B-DE8D-488D-855A-43F38F7C7045}"/>
                  </c:ext>
                </c:extLst>
              </c15:ser>
            </c15:filteredBarSeries>
            <c15:filteredBarSeries>
              <c15:ser>
                <c:idx val="48"/>
                <c:order val="48"/>
                <c:tx>
                  <c:strRef>
                    <c:extLst xmlns:c15="http://schemas.microsoft.com/office/drawing/2012/chart">
                      <c:ext xmlns:c15="http://schemas.microsoft.com/office/drawing/2012/chart" uri="{02D57815-91ED-43cb-92C2-25804820EDAC}">
                        <c15:formulaRef>
                          <c15:sqref>'Table for graphs '!$A$50</c15:sqref>
                        </c15:formulaRef>
                      </c:ext>
                    </c:extLst>
                    <c:strCache>
                      <c:ptCount val="1"/>
                      <c:pt idx="0">
                        <c:v>Children's cancer - Reported 63 - 103 days</c:v>
                      </c:pt>
                    </c:strCache>
                  </c:strRef>
                </c:tx>
                <c:spPr>
                  <a:solidFill>
                    <a:schemeClr val="accent5">
                      <a:tint val="9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'!$B$50:$CB$50</c15:sqref>
                        </c15:formulaRef>
                      </c:ext>
                    </c:extLst>
                    <c:numCache>
                      <c:formatCode>0</c:formatCode>
                      <c:ptCount val="79"/>
                      <c:pt idx="0">
                        <c:v>0</c:v>
                      </c:pt>
                      <c:pt idx="1">
                        <c:v>0</c:v>
                      </c:pt>
                      <c:pt idx="2">
                        <c:v>0</c:v>
                      </c:pt>
                      <c:pt idx="3">
                        <c:v>0</c:v>
                      </c:pt>
                      <c:pt idx="4">
                        <c:v>0</c:v>
                      </c:pt>
                      <c:pt idx="5">
                        <c:v>0</c:v>
                      </c:pt>
                      <c:pt idx="6">
                        <c:v>0</c:v>
                      </c:pt>
                      <c:pt idx="7">
                        <c:v>1</c:v>
                      </c:pt>
                      <c:pt idx="8">
                        <c:v>1</c:v>
                      </c:pt>
                      <c:pt idx="9">
                        <c:v>1</c:v>
                      </c:pt>
                      <c:pt idx="10">
                        <c:v>1</c:v>
                      </c:pt>
                      <c:pt idx="11">
                        <c:v>1</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1</c:v>
                      </c:pt>
                      <c:pt idx="48">
                        <c:v>0</c:v>
                      </c:pt>
                      <c:pt idx="49">
                        <c:v>1</c:v>
                      </c:pt>
                      <c:pt idx="50">
                        <c:v>1</c:v>
                      </c:pt>
                      <c:pt idx="51">
                        <c:v>2</c:v>
                      </c:pt>
                      <c:pt idx="52" formatCode="General">
                        <c:v>0</c:v>
                      </c:pt>
                      <c:pt idx="53">
                        <c:v>0</c:v>
                      </c:pt>
                      <c:pt idx="54">
                        <c:v>0</c:v>
                      </c:pt>
                      <c:pt idx="55">
                        <c:v>0</c:v>
                      </c:pt>
                      <c:pt idx="56">
                        <c:v>0</c:v>
                      </c:pt>
                      <c:pt idx="57">
                        <c:v>0</c:v>
                      </c:pt>
                      <c:pt idx="58">
                        <c:v>0</c:v>
                      </c:pt>
                      <c:pt idx="59">
                        <c:v>1</c:v>
                      </c:pt>
                      <c:pt idx="60">
                        <c:v>0</c:v>
                      </c:pt>
                      <c:pt idx="61">
                        <c:v>1</c:v>
                      </c:pt>
                      <c:pt idx="62">
                        <c:v>1</c:v>
                      </c:pt>
                      <c:pt idx="63">
                        <c:v>1</c:v>
                      </c:pt>
                      <c:pt idx="64">
                        <c:v>1</c:v>
                      </c:pt>
                      <c:pt idx="65">
                        <c:v>0</c:v>
                      </c:pt>
                      <c:pt idx="66">
                        <c:v>0</c:v>
                      </c:pt>
                    </c:numCache>
                  </c:numRef>
                </c:val>
                <c:extLst xmlns:c15="http://schemas.microsoft.com/office/drawing/2012/chart">
                  <c:ext xmlns:c16="http://schemas.microsoft.com/office/drawing/2014/chart" uri="{C3380CC4-5D6E-409C-BE32-E72D297353CC}">
                    <c16:uniqueId val="{0000003C-DE8D-488D-855A-43F38F7C7045}"/>
                  </c:ext>
                </c:extLst>
              </c15:ser>
            </c15:filteredBarSeries>
            <c15:filteredBarSeries>
              <c15:ser>
                <c:idx val="49"/>
                <c:order val="49"/>
                <c:tx>
                  <c:strRef>
                    <c:extLst xmlns:c15="http://schemas.microsoft.com/office/drawing/2012/chart">
                      <c:ext xmlns:c15="http://schemas.microsoft.com/office/drawing/2012/chart" uri="{02D57815-91ED-43cb-92C2-25804820EDAC}">
                        <c15:formulaRef>
                          <c15:sqref>'Table for graphs '!$A$51</c15:sqref>
                        </c15:formulaRef>
                      </c:ext>
                    </c:extLst>
                    <c:strCache>
                      <c:ptCount val="1"/>
                      <c:pt idx="0">
                        <c:v>Gynaecological - Reported 63 - 103 days</c:v>
                      </c:pt>
                    </c:strCache>
                  </c:strRef>
                </c:tx>
                <c:spPr>
                  <a:solidFill>
                    <a:schemeClr val="accent5">
                      <a:tint val="9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'!$B$51:$CB$51</c15:sqref>
                        </c15:formulaRef>
                      </c:ext>
                    </c:extLst>
                    <c:numCache>
                      <c:formatCode>0</c:formatCode>
                      <c:ptCount val="79"/>
                      <c:pt idx="0">
                        <c:v>43</c:v>
                      </c:pt>
                      <c:pt idx="1">
                        <c:v>42</c:v>
                      </c:pt>
                      <c:pt idx="2">
                        <c:v>43</c:v>
                      </c:pt>
                      <c:pt idx="3">
                        <c:v>49</c:v>
                      </c:pt>
                      <c:pt idx="4">
                        <c:v>51</c:v>
                      </c:pt>
                      <c:pt idx="5">
                        <c:v>55</c:v>
                      </c:pt>
                      <c:pt idx="6">
                        <c:v>52</c:v>
                      </c:pt>
                      <c:pt idx="7">
                        <c:v>51</c:v>
                      </c:pt>
                      <c:pt idx="8">
                        <c:v>60</c:v>
                      </c:pt>
                      <c:pt idx="9">
                        <c:v>59</c:v>
                      </c:pt>
                      <c:pt idx="10">
                        <c:v>63</c:v>
                      </c:pt>
                      <c:pt idx="11">
                        <c:v>63</c:v>
                      </c:pt>
                      <c:pt idx="12">
                        <c:v>78</c:v>
                      </c:pt>
                      <c:pt idx="13">
                        <c:v>98</c:v>
                      </c:pt>
                      <c:pt idx="14">
                        <c:v>92</c:v>
                      </c:pt>
                      <c:pt idx="15">
                        <c:v>86</c:v>
                      </c:pt>
                      <c:pt idx="16">
                        <c:v>63</c:v>
                      </c:pt>
                      <c:pt idx="17">
                        <c:v>67</c:v>
                      </c:pt>
                      <c:pt idx="18">
                        <c:v>64</c:v>
                      </c:pt>
                      <c:pt idx="19">
                        <c:v>67</c:v>
                      </c:pt>
                      <c:pt idx="20">
                        <c:v>65</c:v>
                      </c:pt>
                      <c:pt idx="21">
                        <c:v>64.349999999999994</c:v>
                      </c:pt>
                      <c:pt idx="22">
                        <c:v>59.201999999999998</c:v>
                      </c:pt>
                      <c:pt idx="23">
                        <c:v>59</c:v>
                      </c:pt>
                      <c:pt idx="24">
                        <c:v>77</c:v>
                      </c:pt>
                      <c:pt idx="25">
                        <c:v>80</c:v>
                      </c:pt>
                      <c:pt idx="26">
                        <c:v>71</c:v>
                      </c:pt>
                      <c:pt idx="27">
                        <c:v>80</c:v>
                      </c:pt>
                      <c:pt idx="28">
                        <c:v>82</c:v>
                      </c:pt>
                      <c:pt idx="29">
                        <c:v>77</c:v>
                      </c:pt>
                      <c:pt idx="30">
                        <c:v>75</c:v>
                      </c:pt>
                      <c:pt idx="31">
                        <c:v>76</c:v>
                      </c:pt>
                      <c:pt idx="32">
                        <c:v>72</c:v>
                      </c:pt>
                      <c:pt idx="33">
                        <c:v>71</c:v>
                      </c:pt>
                      <c:pt idx="34">
                        <c:v>81</c:v>
                      </c:pt>
                      <c:pt idx="35">
                        <c:v>81</c:v>
                      </c:pt>
                      <c:pt idx="36">
                        <c:v>69</c:v>
                      </c:pt>
                      <c:pt idx="37">
                        <c:v>78</c:v>
                      </c:pt>
                      <c:pt idx="38">
                        <c:v>78</c:v>
                      </c:pt>
                      <c:pt idx="39">
                        <c:v>60</c:v>
                      </c:pt>
                      <c:pt idx="40">
                        <c:v>64</c:v>
                      </c:pt>
                      <c:pt idx="41">
                        <c:v>70</c:v>
                      </c:pt>
                      <c:pt idx="42">
                        <c:v>68</c:v>
                      </c:pt>
                      <c:pt idx="43">
                        <c:v>58</c:v>
                      </c:pt>
                      <c:pt idx="44">
                        <c:v>67</c:v>
                      </c:pt>
                      <c:pt idx="45">
                        <c:v>73</c:v>
                      </c:pt>
                      <c:pt idx="46">
                        <c:v>74</c:v>
                      </c:pt>
                      <c:pt idx="47">
                        <c:v>77</c:v>
                      </c:pt>
                      <c:pt idx="48">
                        <c:v>75</c:v>
                      </c:pt>
                      <c:pt idx="49">
                        <c:v>78</c:v>
                      </c:pt>
                      <c:pt idx="50">
                        <c:v>51</c:v>
                      </c:pt>
                      <c:pt idx="51">
                        <c:v>50</c:v>
                      </c:pt>
                      <c:pt idx="52" formatCode="General">
                        <c:v>37</c:v>
                      </c:pt>
                      <c:pt idx="53">
                        <c:v>33</c:v>
                      </c:pt>
                      <c:pt idx="54">
                        <c:v>37</c:v>
                      </c:pt>
                      <c:pt idx="55">
                        <c:v>37</c:v>
                      </c:pt>
                      <c:pt idx="56">
                        <c:v>35</c:v>
                      </c:pt>
                      <c:pt idx="57">
                        <c:v>31</c:v>
                      </c:pt>
                      <c:pt idx="58">
                        <c:v>35</c:v>
                      </c:pt>
                      <c:pt idx="59">
                        <c:v>35</c:v>
                      </c:pt>
                      <c:pt idx="60">
                        <c:v>29</c:v>
                      </c:pt>
                      <c:pt idx="61">
                        <c:v>30</c:v>
                      </c:pt>
                      <c:pt idx="62">
                        <c:v>36</c:v>
                      </c:pt>
                      <c:pt idx="63">
                        <c:v>38</c:v>
                      </c:pt>
                      <c:pt idx="64">
                        <c:v>27</c:v>
                      </c:pt>
                      <c:pt idx="65">
                        <c:v>28</c:v>
                      </c:pt>
                      <c:pt idx="66">
                        <c:v>34</c:v>
                      </c:pt>
                    </c:numCache>
                  </c:numRef>
                </c:val>
                <c:extLst xmlns:c15="http://schemas.microsoft.com/office/drawing/2012/chart">
                  <c:ext xmlns:c16="http://schemas.microsoft.com/office/drawing/2014/chart" uri="{C3380CC4-5D6E-409C-BE32-E72D297353CC}">
                    <c16:uniqueId val="{0000003D-DE8D-488D-855A-43F38F7C7045}"/>
                  </c:ext>
                </c:extLst>
              </c15:ser>
            </c15:filteredBarSeries>
            <c15:filteredBarSeries>
              <c15:ser>
                <c:idx val="50"/>
                <c:order val="50"/>
                <c:tx>
                  <c:strRef>
                    <c:extLst xmlns:c15="http://schemas.microsoft.com/office/drawing/2012/chart">
                      <c:ext xmlns:c15="http://schemas.microsoft.com/office/drawing/2012/chart" uri="{02D57815-91ED-43cb-92C2-25804820EDAC}">
                        <c15:formulaRef>
                          <c15:sqref>'Table for graphs '!$A$52</c15:sqref>
                        </c15:formulaRef>
                      </c:ext>
                    </c:extLst>
                    <c:strCache>
                      <c:ptCount val="1"/>
                      <c:pt idx="0">
                        <c:v>Haematological - Reported 63 - 103 days</c:v>
                      </c:pt>
                    </c:strCache>
                  </c:strRef>
                </c:tx>
                <c:spPr>
                  <a:solidFill>
                    <a:schemeClr val="accent5">
                      <a:tint val="9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'!$B$52:$CB$52</c15:sqref>
                        </c15:formulaRef>
                      </c:ext>
                    </c:extLst>
                    <c:numCache>
                      <c:formatCode>0</c:formatCode>
                      <c:ptCount val="79"/>
                      <c:pt idx="0">
                        <c:v>9</c:v>
                      </c:pt>
                      <c:pt idx="1">
                        <c:v>7</c:v>
                      </c:pt>
                      <c:pt idx="2">
                        <c:v>11</c:v>
                      </c:pt>
                      <c:pt idx="3">
                        <c:v>9</c:v>
                      </c:pt>
                      <c:pt idx="4">
                        <c:v>12</c:v>
                      </c:pt>
                      <c:pt idx="5">
                        <c:v>10</c:v>
                      </c:pt>
                      <c:pt idx="6">
                        <c:v>10</c:v>
                      </c:pt>
                      <c:pt idx="7">
                        <c:v>5</c:v>
                      </c:pt>
                      <c:pt idx="8">
                        <c:v>3</c:v>
                      </c:pt>
                      <c:pt idx="9">
                        <c:v>1</c:v>
                      </c:pt>
                      <c:pt idx="10">
                        <c:v>4</c:v>
                      </c:pt>
                      <c:pt idx="11">
                        <c:v>5</c:v>
                      </c:pt>
                      <c:pt idx="12">
                        <c:v>9</c:v>
                      </c:pt>
                      <c:pt idx="13">
                        <c:v>9</c:v>
                      </c:pt>
                      <c:pt idx="14">
                        <c:v>15</c:v>
                      </c:pt>
                      <c:pt idx="15">
                        <c:v>14</c:v>
                      </c:pt>
                      <c:pt idx="16">
                        <c:v>14</c:v>
                      </c:pt>
                      <c:pt idx="17">
                        <c:v>10</c:v>
                      </c:pt>
                      <c:pt idx="18">
                        <c:v>8</c:v>
                      </c:pt>
                      <c:pt idx="19">
                        <c:v>8</c:v>
                      </c:pt>
                      <c:pt idx="20">
                        <c:v>6</c:v>
                      </c:pt>
                      <c:pt idx="21">
                        <c:v>6</c:v>
                      </c:pt>
                      <c:pt idx="22">
                        <c:v>6</c:v>
                      </c:pt>
                      <c:pt idx="23">
                        <c:v>6</c:v>
                      </c:pt>
                      <c:pt idx="24">
                        <c:v>3</c:v>
                      </c:pt>
                      <c:pt idx="25">
                        <c:v>5</c:v>
                      </c:pt>
                      <c:pt idx="26">
                        <c:v>6</c:v>
                      </c:pt>
                      <c:pt idx="27">
                        <c:v>11</c:v>
                      </c:pt>
                      <c:pt idx="28">
                        <c:v>10</c:v>
                      </c:pt>
                      <c:pt idx="29">
                        <c:v>10</c:v>
                      </c:pt>
                      <c:pt idx="30">
                        <c:v>9</c:v>
                      </c:pt>
                      <c:pt idx="31">
                        <c:v>12</c:v>
                      </c:pt>
                      <c:pt idx="32">
                        <c:v>10</c:v>
                      </c:pt>
                      <c:pt idx="33">
                        <c:v>9</c:v>
                      </c:pt>
                      <c:pt idx="34">
                        <c:v>11</c:v>
                      </c:pt>
                      <c:pt idx="35">
                        <c:v>7</c:v>
                      </c:pt>
                      <c:pt idx="36">
                        <c:v>9</c:v>
                      </c:pt>
                      <c:pt idx="37">
                        <c:v>7</c:v>
                      </c:pt>
                      <c:pt idx="38">
                        <c:v>9</c:v>
                      </c:pt>
                      <c:pt idx="39">
                        <c:v>10</c:v>
                      </c:pt>
                      <c:pt idx="40">
                        <c:v>9</c:v>
                      </c:pt>
                      <c:pt idx="41">
                        <c:v>8</c:v>
                      </c:pt>
                      <c:pt idx="42">
                        <c:v>7</c:v>
                      </c:pt>
                      <c:pt idx="43">
                        <c:v>8</c:v>
                      </c:pt>
                      <c:pt idx="44">
                        <c:v>8</c:v>
                      </c:pt>
                      <c:pt idx="45">
                        <c:v>8</c:v>
                      </c:pt>
                      <c:pt idx="46">
                        <c:v>5</c:v>
                      </c:pt>
                      <c:pt idx="47">
                        <c:v>3</c:v>
                      </c:pt>
                      <c:pt idx="48">
                        <c:v>2</c:v>
                      </c:pt>
                      <c:pt idx="49">
                        <c:v>4</c:v>
                      </c:pt>
                      <c:pt idx="50">
                        <c:v>5</c:v>
                      </c:pt>
                      <c:pt idx="51">
                        <c:v>6</c:v>
                      </c:pt>
                      <c:pt idx="52" formatCode="General">
                        <c:v>9</c:v>
                      </c:pt>
                      <c:pt idx="53">
                        <c:v>8</c:v>
                      </c:pt>
                      <c:pt idx="54">
                        <c:v>8</c:v>
                      </c:pt>
                      <c:pt idx="55">
                        <c:v>9</c:v>
                      </c:pt>
                      <c:pt idx="56">
                        <c:v>7</c:v>
                      </c:pt>
                      <c:pt idx="57">
                        <c:v>6</c:v>
                      </c:pt>
                      <c:pt idx="58">
                        <c:v>8</c:v>
                      </c:pt>
                      <c:pt idx="59">
                        <c:v>8</c:v>
                      </c:pt>
                      <c:pt idx="60">
                        <c:v>8</c:v>
                      </c:pt>
                      <c:pt idx="61">
                        <c:v>5</c:v>
                      </c:pt>
                      <c:pt idx="62">
                        <c:v>5</c:v>
                      </c:pt>
                      <c:pt idx="63">
                        <c:v>5</c:v>
                      </c:pt>
                      <c:pt idx="64">
                        <c:v>5</c:v>
                      </c:pt>
                      <c:pt idx="65">
                        <c:v>5</c:v>
                      </c:pt>
                      <c:pt idx="66">
                        <c:v>7</c:v>
                      </c:pt>
                    </c:numCache>
                  </c:numRef>
                </c:val>
                <c:extLst xmlns:c15="http://schemas.microsoft.com/office/drawing/2012/chart">
                  <c:ext xmlns:c16="http://schemas.microsoft.com/office/drawing/2014/chart" uri="{C3380CC4-5D6E-409C-BE32-E72D297353CC}">
                    <c16:uniqueId val="{0000003E-DE8D-488D-855A-43F38F7C7045}"/>
                  </c:ext>
                </c:extLst>
              </c15:ser>
            </c15:filteredBarSeries>
            <c15:filteredBarSeries>
              <c15:ser>
                <c:idx val="51"/>
                <c:order val="51"/>
                <c:tx>
                  <c:strRef>
                    <c:extLst xmlns:c15="http://schemas.microsoft.com/office/drawing/2012/chart">
                      <c:ext xmlns:c15="http://schemas.microsoft.com/office/drawing/2012/chart" uri="{02D57815-91ED-43cb-92C2-25804820EDAC}">
                        <c15:formulaRef>
                          <c15:sqref>'Table for graphs '!$A$53</c15:sqref>
                        </c15:formulaRef>
                      </c:ext>
                    </c:extLst>
                    <c:strCache>
                      <c:ptCount val="1"/>
                      <c:pt idx="0">
                        <c:v>Head and neck - Reported 63 - 103 days</c:v>
                      </c:pt>
                    </c:strCache>
                  </c:strRef>
                </c:tx>
                <c:spPr>
                  <a:solidFill>
                    <a:schemeClr val="accent5">
                      <a:tint val="9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'!$B$53:$CB$53</c15:sqref>
                        </c15:formulaRef>
                      </c:ext>
                    </c:extLst>
                    <c:numCache>
                      <c:formatCode>0</c:formatCode>
                      <c:ptCount val="79"/>
                      <c:pt idx="0">
                        <c:v>24</c:v>
                      </c:pt>
                      <c:pt idx="1">
                        <c:v>20</c:v>
                      </c:pt>
                      <c:pt idx="2">
                        <c:v>16</c:v>
                      </c:pt>
                      <c:pt idx="3">
                        <c:v>15</c:v>
                      </c:pt>
                      <c:pt idx="4">
                        <c:v>12</c:v>
                      </c:pt>
                      <c:pt idx="5">
                        <c:v>15</c:v>
                      </c:pt>
                      <c:pt idx="6">
                        <c:v>16</c:v>
                      </c:pt>
                      <c:pt idx="7">
                        <c:v>15</c:v>
                      </c:pt>
                      <c:pt idx="8">
                        <c:v>18</c:v>
                      </c:pt>
                      <c:pt idx="9">
                        <c:v>18</c:v>
                      </c:pt>
                      <c:pt idx="10">
                        <c:v>20</c:v>
                      </c:pt>
                      <c:pt idx="11">
                        <c:v>22</c:v>
                      </c:pt>
                      <c:pt idx="12">
                        <c:v>25</c:v>
                      </c:pt>
                      <c:pt idx="13">
                        <c:v>26</c:v>
                      </c:pt>
                      <c:pt idx="14">
                        <c:v>29</c:v>
                      </c:pt>
                      <c:pt idx="15">
                        <c:v>25</c:v>
                      </c:pt>
                      <c:pt idx="16">
                        <c:v>26</c:v>
                      </c:pt>
                      <c:pt idx="17">
                        <c:v>23</c:v>
                      </c:pt>
                      <c:pt idx="18">
                        <c:v>18</c:v>
                      </c:pt>
                      <c:pt idx="19">
                        <c:v>17</c:v>
                      </c:pt>
                      <c:pt idx="20">
                        <c:v>17</c:v>
                      </c:pt>
                      <c:pt idx="21">
                        <c:v>17.850000000000001</c:v>
                      </c:pt>
                      <c:pt idx="22">
                        <c:v>15.172500000000001</c:v>
                      </c:pt>
                      <c:pt idx="23">
                        <c:v>15</c:v>
                      </c:pt>
                      <c:pt idx="24">
                        <c:v>14</c:v>
                      </c:pt>
                      <c:pt idx="25">
                        <c:v>12</c:v>
                      </c:pt>
                      <c:pt idx="26">
                        <c:v>11</c:v>
                      </c:pt>
                      <c:pt idx="27">
                        <c:v>23</c:v>
                      </c:pt>
                      <c:pt idx="28">
                        <c:v>18</c:v>
                      </c:pt>
                      <c:pt idx="29">
                        <c:v>17</c:v>
                      </c:pt>
                      <c:pt idx="30">
                        <c:v>11</c:v>
                      </c:pt>
                      <c:pt idx="31">
                        <c:v>16</c:v>
                      </c:pt>
                      <c:pt idx="32">
                        <c:v>10</c:v>
                      </c:pt>
                      <c:pt idx="33">
                        <c:v>14</c:v>
                      </c:pt>
                      <c:pt idx="34">
                        <c:v>12</c:v>
                      </c:pt>
                      <c:pt idx="35">
                        <c:v>10</c:v>
                      </c:pt>
                      <c:pt idx="36">
                        <c:v>13</c:v>
                      </c:pt>
                      <c:pt idx="37">
                        <c:v>8</c:v>
                      </c:pt>
                      <c:pt idx="38">
                        <c:v>6</c:v>
                      </c:pt>
                      <c:pt idx="39">
                        <c:v>10</c:v>
                      </c:pt>
                      <c:pt idx="40">
                        <c:v>14</c:v>
                      </c:pt>
                      <c:pt idx="41">
                        <c:v>9</c:v>
                      </c:pt>
                      <c:pt idx="42">
                        <c:v>13</c:v>
                      </c:pt>
                      <c:pt idx="43">
                        <c:v>11</c:v>
                      </c:pt>
                      <c:pt idx="44">
                        <c:v>9</c:v>
                      </c:pt>
                      <c:pt idx="45">
                        <c:v>7</c:v>
                      </c:pt>
                      <c:pt idx="46">
                        <c:v>13</c:v>
                      </c:pt>
                      <c:pt idx="47">
                        <c:v>20</c:v>
                      </c:pt>
                      <c:pt idx="48">
                        <c:v>22</c:v>
                      </c:pt>
                      <c:pt idx="49">
                        <c:v>25</c:v>
                      </c:pt>
                      <c:pt idx="50">
                        <c:v>28</c:v>
                      </c:pt>
                      <c:pt idx="51">
                        <c:v>21</c:v>
                      </c:pt>
                      <c:pt idx="52" formatCode="General">
                        <c:v>19</c:v>
                      </c:pt>
                      <c:pt idx="53">
                        <c:v>13</c:v>
                      </c:pt>
                      <c:pt idx="54">
                        <c:v>12</c:v>
                      </c:pt>
                      <c:pt idx="55">
                        <c:v>13</c:v>
                      </c:pt>
                      <c:pt idx="56">
                        <c:v>9</c:v>
                      </c:pt>
                      <c:pt idx="57">
                        <c:v>5</c:v>
                      </c:pt>
                      <c:pt idx="58">
                        <c:v>4</c:v>
                      </c:pt>
                      <c:pt idx="59">
                        <c:v>7</c:v>
                      </c:pt>
                      <c:pt idx="60">
                        <c:v>6</c:v>
                      </c:pt>
                      <c:pt idx="61">
                        <c:v>7</c:v>
                      </c:pt>
                      <c:pt idx="62">
                        <c:v>8</c:v>
                      </c:pt>
                      <c:pt idx="63">
                        <c:v>8</c:v>
                      </c:pt>
                      <c:pt idx="64">
                        <c:v>9</c:v>
                      </c:pt>
                      <c:pt idx="65">
                        <c:v>11</c:v>
                      </c:pt>
                      <c:pt idx="66">
                        <c:v>10</c:v>
                      </c:pt>
                    </c:numCache>
                  </c:numRef>
                </c:val>
                <c:extLst xmlns:c15="http://schemas.microsoft.com/office/drawing/2012/chart">
                  <c:ext xmlns:c16="http://schemas.microsoft.com/office/drawing/2014/chart" uri="{C3380CC4-5D6E-409C-BE32-E72D297353CC}">
                    <c16:uniqueId val="{0000003F-DE8D-488D-855A-43F38F7C7045}"/>
                  </c:ext>
                </c:extLst>
              </c15:ser>
            </c15:filteredBarSeries>
            <c15:filteredBarSeries>
              <c15:ser>
                <c:idx val="52"/>
                <c:order val="52"/>
                <c:tx>
                  <c:strRef>
                    <c:extLst xmlns:c15="http://schemas.microsoft.com/office/drawing/2012/chart">
                      <c:ext xmlns:c15="http://schemas.microsoft.com/office/drawing/2012/chart" uri="{02D57815-91ED-43cb-92C2-25804820EDAC}">
                        <c15:formulaRef>
                          <c15:sqref>'Table for graphs '!$A$54</c15:sqref>
                        </c15:formulaRef>
                      </c:ext>
                    </c:extLst>
                    <c:strCache>
                      <c:ptCount val="1"/>
                      <c:pt idx="0">
                        <c:v>Lower Gastrointestinal - Reported 63 - 103 days</c:v>
                      </c:pt>
                    </c:strCache>
                  </c:strRef>
                </c:tx>
                <c:spPr>
                  <a:solidFill>
                    <a:schemeClr val="accent5">
                      <a:tint val="9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'!$B$54:$CB$54</c15:sqref>
                        </c15:formulaRef>
                      </c:ext>
                    </c:extLst>
                    <c:numCache>
                      <c:formatCode>0</c:formatCode>
                      <c:ptCount val="79"/>
                      <c:pt idx="0">
                        <c:v>148</c:v>
                      </c:pt>
                      <c:pt idx="1">
                        <c:v>151</c:v>
                      </c:pt>
                      <c:pt idx="2">
                        <c:v>132</c:v>
                      </c:pt>
                      <c:pt idx="3">
                        <c:v>114</c:v>
                      </c:pt>
                      <c:pt idx="4">
                        <c:v>126</c:v>
                      </c:pt>
                      <c:pt idx="5">
                        <c:v>107</c:v>
                      </c:pt>
                      <c:pt idx="6">
                        <c:v>98</c:v>
                      </c:pt>
                      <c:pt idx="7">
                        <c:v>98</c:v>
                      </c:pt>
                      <c:pt idx="8">
                        <c:v>84</c:v>
                      </c:pt>
                      <c:pt idx="9">
                        <c:v>78</c:v>
                      </c:pt>
                      <c:pt idx="10">
                        <c:v>74</c:v>
                      </c:pt>
                      <c:pt idx="11">
                        <c:v>91</c:v>
                      </c:pt>
                      <c:pt idx="12">
                        <c:v>103</c:v>
                      </c:pt>
                      <c:pt idx="13">
                        <c:v>91</c:v>
                      </c:pt>
                      <c:pt idx="14">
                        <c:v>88</c:v>
                      </c:pt>
                      <c:pt idx="15">
                        <c:v>85</c:v>
                      </c:pt>
                      <c:pt idx="16">
                        <c:v>69</c:v>
                      </c:pt>
                      <c:pt idx="17">
                        <c:v>59</c:v>
                      </c:pt>
                      <c:pt idx="18">
                        <c:v>51</c:v>
                      </c:pt>
                      <c:pt idx="19">
                        <c:v>50</c:v>
                      </c:pt>
                      <c:pt idx="20">
                        <c:v>51</c:v>
                      </c:pt>
                      <c:pt idx="21">
                        <c:v>51</c:v>
                      </c:pt>
                      <c:pt idx="22">
                        <c:v>39.270000000000003</c:v>
                      </c:pt>
                      <c:pt idx="23">
                        <c:v>44</c:v>
                      </c:pt>
                      <c:pt idx="24">
                        <c:v>42</c:v>
                      </c:pt>
                      <c:pt idx="25">
                        <c:v>46</c:v>
                      </c:pt>
                      <c:pt idx="26">
                        <c:v>45</c:v>
                      </c:pt>
                      <c:pt idx="27">
                        <c:v>51</c:v>
                      </c:pt>
                      <c:pt idx="28">
                        <c:v>59</c:v>
                      </c:pt>
                      <c:pt idx="29">
                        <c:v>56</c:v>
                      </c:pt>
                      <c:pt idx="30">
                        <c:v>50</c:v>
                      </c:pt>
                      <c:pt idx="31">
                        <c:v>48</c:v>
                      </c:pt>
                      <c:pt idx="32">
                        <c:v>48</c:v>
                      </c:pt>
                      <c:pt idx="33">
                        <c:v>43</c:v>
                      </c:pt>
                      <c:pt idx="34">
                        <c:v>45</c:v>
                      </c:pt>
                      <c:pt idx="35">
                        <c:v>48</c:v>
                      </c:pt>
                      <c:pt idx="36">
                        <c:v>46</c:v>
                      </c:pt>
                      <c:pt idx="37">
                        <c:v>36</c:v>
                      </c:pt>
                      <c:pt idx="38">
                        <c:v>39</c:v>
                      </c:pt>
                      <c:pt idx="39">
                        <c:v>31</c:v>
                      </c:pt>
                      <c:pt idx="40">
                        <c:v>31</c:v>
                      </c:pt>
                      <c:pt idx="41">
                        <c:v>25</c:v>
                      </c:pt>
                      <c:pt idx="42">
                        <c:v>35</c:v>
                      </c:pt>
                      <c:pt idx="43">
                        <c:v>41</c:v>
                      </c:pt>
                      <c:pt idx="44">
                        <c:v>43</c:v>
                      </c:pt>
                      <c:pt idx="45">
                        <c:v>47</c:v>
                      </c:pt>
                      <c:pt idx="46">
                        <c:v>41</c:v>
                      </c:pt>
                      <c:pt idx="47">
                        <c:v>40</c:v>
                      </c:pt>
                      <c:pt idx="48">
                        <c:v>45</c:v>
                      </c:pt>
                      <c:pt idx="49">
                        <c:v>54</c:v>
                      </c:pt>
                      <c:pt idx="50">
                        <c:v>48</c:v>
                      </c:pt>
                      <c:pt idx="51">
                        <c:v>44</c:v>
                      </c:pt>
                      <c:pt idx="52" formatCode="General">
                        <c:v>37</c:v>
                      </c:pt>
                      <c:pt idx="53">
                        <c:v>29</c:v>
                      </c:pt>
                      <c:pt idx="54">
                        <c:v>31</c:v>
                      </c:pt>
                      <c:pt idx="55">
                        <c:v>32</c:v>
                      </c:pt>
                      <c:pt idx="56">
                        <c:v>29</c:v>
                      </c:pt>
                      <c:pt idx="57">
                        <c:v>25</c:v>
                      </c:pt>
                      <c:pt idx="58">
                        <c:v>20</c:v>
                      </c:pt>
                      <c:pt idx="59">
                        <c:v>20</c:v>
                      </c:pt>
                      <c:pt idx="60">
                        <c:v>21</c:v>
                      </c:pt>
                      <c:pt idx="61">
                        <c:v>22</c:v>
                      </c:pt>
                      <c:pt idx="62">
                        <c:v>24</c:v>
                      </c:pt>
                      <c:pt idx="63">
                        <c:v>24</c:v>
                      </c:pt>
                      <c:pt idx="64">
                        <c:v>35</c:v>
                      </c:pt>
                      <c:pt idx="65">
                        <c:v>43</c:v>
                      </c:pt>
                      <c:pt idx="66">
                        <c:v>39</c:v>
                      </c:pt>
                    </c:numCache>
                  </c:numRef>
                </c:val>
                <c:extLst xmlns:c15="http://schemas.microsoft.com/office/drawing/2012/chart">
                  <c:ext xmlns:c16="http://schemas.microsoft.com/office/drawing/2014/chart" uri="{C3380CC4-5D6E-409C-BE32-E72D297353CC}">
                    <c16:uniqueId val="{00000040-DE8D-488D-855A-43F38F7C7045}"/>
                  </c:ext>
                </c:extLst>
              </c15:ser>
            </c15:filteredBarSeries>
            <c15:filteredBarSeries>
              <c15:ser>
                <c:idx val="53"/>
                <c:order val="53"/>
                <c:tx>
                  <c:strRef>
                    <c:extLst xmlns:c15="http://schemas.microsoft.com/office/drawing/2012/chart">
                      <c:ext xmlns:c15="http://schemas.microsoft.com/office/drawing/2012/chart" uri="{02D57815-91ED-43cb-92C2-25804820EDAC}">
                        <c15:formulaRef>
                          <c15:sqref>'Table for graphs '!$A$55</c15:sqref>
                        </c15:formulaRef>
                      </c:ext>
                    </c:extLst>
                    <c:strCache>
                      <c:ptCount val="1"/>
                      <c:pt idx="0">
                        <c:v>Lung - Reported 63 - 103 days</c:v>
                      </c:pt>
                    </c:strCache>
                  </c:strRef>
                </c:tx>
                <c:spPr>
                  <a:solidFill>
                    <a:schemeClr val="accent5">
                      <a:tint val="9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'!$B$55:$CB$55</c15:sqref>
                        </c15:formulaRef>
                      </c:ext>
                    </c:extLst>
                    <c:numCache>
                      <c:formatCode>0</c:formatCode>
                      <c:ptCount val="79"/>
                      <c:pt idx="0">
                        <c:v>15</c:v>
                      </c:pt>
                      <c:pt idx="1">
                        <c:v>14</c:v>
                      </c:pt>
                      <c:pt idx="2">
                        <c:v>14</c:v>
                      </c:pt>
                      <c:pt idx="3">
                        <c:v>10</c:v>
                      </c:pt>
                      <c:pt idx="4">
                        <c:v>12</c:v>
                      </c:pt>
                      <c:pt idx="5">
                        <c:v>17</c:v>
                      </c:pt>
                      <c:pt idx="6">
                        <c:v>19</c:v>
                      </c:pt>
                      <c:pt idx="7">
                        <c:v>21</c:v>
                      </c:pt>
                      <c:pt idx="8">
                        <c:v>17</c:v>
                      </c:pt>
                      <c:pt idx="9">
                        <c:v>14</c:v>
                      </c:pt>
                      <c:pt idx="10">
                        <c:v>14</c:v>
                      </c:pt>
                      <c:pt idx="11">
                        <c:v>13</c:v>
                      </c:pt>
                      <c:pt idx="12">
                        <c:v>12</c:v>
                      </c:pt>
                      <c:pt idx="13">
                        <c:v>15</c:v>
                      </c:pt>
                      <c:pt idx="14">
                        <c:v>14</c:v>
                      </c:pt>
                      <c:pt idx="15">
                        <c:v>12</c:v>
                      </c:pt>
                      <c:pt idx="16">
                        <c:v>11</c:v>
                      </c:pt>
                      <c:pt idx="17">
                        <c:v>10</c:v>
                      </c:pt>
                      <c:pt idx="18">
                        <c:v>15</c:v>
                      </c:pt>
                      <c:pt idx="19">
                        <c:v>14</c:v>
                      </c:pt>
                      <c:pt idx="20">
                        <c:v>8</c:v>
                      </c:pt>
                      <c:pt idx="21">
                        <c:v>7.2</c:v>
                      </c:pt>
                      <c:pt idx="22">
                        <c:v>6.84</c:v>
                      </c:pt>
                      <c:pt idx="23">
                        <c:v>14</c:v>
                      </c:pt>
                      <c:pt idx="24">
                        <c:v>14</c:v>
                      </c:pt>
                      <c:pt idx="25">
                        <c:v>14</c:v>
                      </c:pt>
                      <c:pt idx="26">
                        <c:v>17</c:v>
                      </c:pt>
                      <c:pt idx="27">
                        <c:v>21</c:v>
                      </c:pt>
                      <c:pt idx="28">
                        <c:v>20</c:v>
                      </c:pt>
                      <c:pt idx="29">
                        <c:v>21</c:v>
                      </c:pt>
                      <c:pt idx="30">
                        <c:v>28</c:v>
                      </c:pt>
                      <c:pt idx="31">
                        <c:v>25</c:v>
                      </c:pt>
                      <c:pt idx="32">
                        <c:v>28</c:v>
                      </c:pt>
                      <c:pt idx="33">
                        <c:v>24</c:v>
                      </c:pt>
                      <c:pt idx="34">
                        <c:v>23</c:v>
                      </c:pt>
                      <c:pt idx="35">
                        <c:v>24</c:v>
                      </c:pt>
                      <c:pt idx="36">
                        <c:v>25</c:v>
                      </c:pt>
                      <c:pt idx="37">
                        <c:v>22</c:v>
                      </c:pt>
                      <c:pt idx="38">
                        <c:v>20</c:v>
                      </c:pt>
                      <c:pt idx="39">
                        <c:v>12</c:v>
                      </c:pt>
                      <c:pt idx="40">
                        <c:v>10</c:v>
                      </c:pt>
                      <c:pt idx="41">
                        <c:v>14</c:v>
                      </c:pt>
                      <c:pt idx="42">
                        <c:v>17</c:v>
                      </c:pt>
                      <c:pt idx="43">
                        <c:v>15</c:v>
                      </c:pt>
                      <c:pt idx="44">
                        <c:v>17</c:v>
                      </c:pt>
                      <c:pt idx="45">
                        <c:v>17</c:v>
                      </c:pt>
                      <c:pt idx="46">
                        <c:v>14</c:v>
                      </c:pt>
                      <c:pt idx="47">
                        <c:v>14</c:v>
                      </c:pt>
                      <c:pt idx="48">
                        <c:v>13</c:v>
                      </c:pt>
                      <c:pt idx="49">
                        <c:v>14</c:v>
                      </c:pt>
                      <c:pt idx="50">
                        <c:v>13</c:v>
                      </c:pt>
                      <c:pt idx="51">
                        <c:v>13</c:v>
                      </c:pt>
                      <c:pt idx="52" formatCode="General">
                        <c:v>16</c:v>
                      </c:pt>
                      <c:pt idx="53">
                        <c:v>12</c:v>
                      </c:pt>
                      <c:pt idx="54">
                        <c:v>11</c:v>
                      </c:pt>
                      <c:pt idx="55">
                        <c:v>10</c:v>
                      </c:pt>
                      <c:pt idx="56">
                        <c:v>15</c:v>
                      </c:pt>
                      <c:pt idx="57">
                        <c:v>17</c:v>
                      </c:pt>
                      <c:pt idx="58">
                        <c:v>15</c:v>
                      </c:pt>
                      <c:pt idx="59">
                        <c:v>17</c:v>
                      </c:pt>
                      <c:pt idx="60">
                        <c:v>16</c:v>
                      </c:pt>
                      <c:pt idx="61">
                        <c:v>11</c:v>
                      </c:pt>
                      <c:pt idx="62">
                        <c:v>15</c:v>
                      </c:pt>
                      <c:pt idx="63">
                        <c:v>13</c:v>
                      </c:pt>
                      <c:pt idx="64">
                        <c:v>10</c:v>
                      </c:pt>
                      <c:pt idx="65">
                        <c:v>12</c:v>
                      </c:pt>
                      <c:pt idx="66">
                        <c:v>15</c:v>
                      </c:pt>
                    </c:numCache>
                  </c:numRef>
                </c:val>
                <c:extLst xmlns:c15="http://schemas.microsoft.com/office/drawing/2012/chart">
                  <c:ext xmlns:c16="http://schemas.microsoft.com/office/drawing/2014/chart" uri="{C3380CC4-5D6E-409C-BE32-E72D297353CC}">
                    <c16:uniqueId val="{00000041-DE8D-488D-855A-43F38F7C7045}"/>
                  </c:ext>
                </c:extLst>
              </c15:ser>
            </c15:filteredBarSeries>
            <c15:filteredBarSeries>
              <c15:ser>
                <c:idx val="54"/>
                <c:order val="54"/>
                <c:tx>
                  <c:strRef>
                    <c:extLst xmlns:c15="http://schemas.microsoft.com/office/drawing/2012/chart">
                      <c:ext xmlns:c15="http://schemas.microsoft.com/office/drawing/2012/chart" uri="{02D57815-91ED-43cb-92C2-25804820EDAC}">
                        <c15:formulaRef>
                          <c15:sqref>'Table for graphs '!$A$56</c15:sqref>
                        </c15:formulaRef>
                      </c:ext>
                    </c:extLst>
                    <c:strCache>
                      <c:ptCount val="1"/>
                      <c:pt idx="0">
                        <c:v>Other - Reported 63 - 103 days</c:v>
                      </c:pt>
                    </c:strCache>
                  </c:strRef>
                </c:tx>
                <c:spPr>
                  <a:solidFill>
                    <a:schemeClr val="accent5">
                      <a:tint val="8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'!$B$56:$CB$56</c15:sqref>
                        </c15:formulaRef>
                      </c:ext>
                    </c:extLst>
                    <c:numCache>
                      <c:formatCode>0</c:formatCode>
                      <c:ptCount val="79"/>
                      <c:pt idx="0">
                        <c:v>4</c:v>
                      </c:pt>
                      <c:pt idx="1">
                        <c:v>6</c:v>
                      </c:pt>
                      <c:pt idx="2">
                        <c:v>6</c:v>
                      </c:pt>
                      <c:pt idx="3">
                        <c:v>5</c:v>
                      </c:pt>
                      <c:pt idx="4">
                        <c:v>7</c:v>
                      </c:pt>
                      <c:pt idx="5">
                        <c:v>7</c:v>
                      </c:pt>
                      <c:pt idx="6">
                        <c:v>8</c:v>
                      </c:pt>
                      <c:pt idx="7">
                        <c:v>5</c:v>
                      </c:pt>
                      <c:pt idx="8">
                        <c:v>7</c:v>
                      </c:pt>
                      <c:pt idx="9">
                        <c:v>5</c:v>
                      </c:pt>
                      <c:pt idx="10">
                        <c:v>6</c:v>
                      </c:pt>
                      <c:pt idx="11">
                        <c:v>5</c:v>
                      </c:pt>
                      <c:pt idx="12">
                        <c:v>6</c:v>
                      </c:pt>
                      <c:pt idx="13">
                        <c:v>4</c:v>
                      </c:pt>
                      <c:pt idx="14">
                        <c:v>1</c:v>
                      </c:pt>
                      <c:pt idx="15">
                        <c:v>4</c:v>
                      </c:pt>
                      <c:pt idx="16">
                        <c:v>6</c:v>
                      </c:pt>
                      <c:pt idx="17">
                        <c:v>11</c:v>
                      </c:pt>
                      <c:pt idx="18">
                        <c:v>8</c:v>
                      </c:pt>
                      <c:pt idx="19">
                        <c:v>10</c:v>
                      </c:pt>
                      <c:pt idx="20">
                        <c:v>9</c:v>
                      </c:pt>
                      <c:pt idx="21">
                        <c:v>10</c:v>
                      </c:pt>
                      <c:pt idx="22">
                        <c:v>5</c:v>
                      </c:pt>
                      <c:pt idx="23">
                        <c:v>3</c:v>
                      </c:pt>
                      <c:pt idx="24">
                        <c:v>2</c:v>
                      </c:pt>
                      <c:pt idx="25">
                        <c:v>1</c:v>
                      </c:pt>
                      <c:pt idx="26">
                        <c:v>1</c:v>
                      </c:pt>
                      <c:pt idx="27">
                        <c:v>2</c:v>
                      </c:pt>
                      <c:pt idx="28">
                        <c:v>1</c:v>
                      </c:pt>
                      <c:pt idx="29">
                        <c:v>1</c:v>
                      </c:pt>
                      <c:pt idx="30">
                        <c:v>4</c:v>
                      </c:pt>
                      <c:pt idx="31">
                        <c:v>2</c:v>
                      </c:pt>
                      <c:pt idx="32">
                        <c:v>4</c:v>
                      </c:pt>
                      <c:pt idx="33">
                        <c:v>3</c:v>
                      </c:pt>
                      <c:pt idx="34">
                        <c:v>4</c:v>
                      </c:pt>
                      <c:pt idx="35">
                        <c:v>3</c:v>
                      </c:pt>
                      <c:pt idx="36">
                        <c:v>4</c:v>
                      </c:pt>
                      <c:pt idx="37">
                        <c:v>1</c:v>
                      </c:pt>
                      <c:pt idx="38">
                        <c:v>3</c:v>
                      </c:pt>
                      <c:pt idx="39">
                        <c:v>5</c:v>
                      </c:pt>
                      <c:pt idx="40">
                        <c:v>3</c:v>
                      </c:pt>
                      <c:pt idx="41">
                        <c:v>2</c:v>
                      </c:pt>
                      <c:pt idx="42">
                        <c:v>3</c:v>
                      </c:pt>
                      <c:pt idx="43">
                        <c:v>2</c:v>
                      </c:pt>
                      <c:pt idx="44">
                        <c:v>0</c:v>
                      </c:pt>
                      <c:pt idx="45">
                        <c:v>1</c:v>
                      </c:pt>
                      <c:pt idx="46">
                        <c:v>1</c:v>
                      </c:pt>
                      <c:pt idx="47">
                        <c:v>1</c:v>
                      </c:pt>
                      <c:pt idx="48">
                        <c:v>1</c:v>
                      </c:pt>
                      <c:pt idx="49">
                        <c:v>4</c:v>
                      </c:pt>
                      <c:pt idx="50">
                        <c:v>4</c:v>
                      </c:pt>
                      <c:pt idx="51">
                        <c:v>5</c:v>
                      </c:pt>
                      <c:pt idx="52" formatCode="General">
                        <c:v>2</c:v>
                      </c:pt>
                      <c:pt idx="53">
                        <c:v>3</c:v>
                      </c:pt>
                      <c:pt idx="54">
                        <c:v>3</c:v>
                      </c:pt>
                      <c:pt idx="55">
                        <c:v>1</c:v>
                      </c:pt>
                      <c:pt idx="56">
                        <c:v>1</c:v>
                      </c:pt>
                      <c:pt idx="57">
                        <c:v>1</c:v>
                      </c:pt>
                      <c:pt idx="58">
                        <c:v>3</c:v>
                      </c:pt>
                      <c:pt idx="59">
                        <c:v>1</c:v>
                      </c:pt>
                      <c:pt idx="60">
                        <c:v>0</c:v>
                      </c:pt>
                      <c:pt idx="61">
                        <c:v>0</c:v>
                      </c:pt>
                      <c:pt idx="62">
                        <c:v>0</c:v>
                      </c:pt>
                      <c:pt idx="63">
                        <c:v>0</c:v>
                      </c:pt>
                      <c:pt idx="64">
                        <c:v>0</c:v>
                      </c:pt>
                      <c:pt idx="65">
                        <c:v>0</c:v>
                      </c:pt>
                      <c:pt idx="66">
                        <c:v>2</c:v>
                      </c:pt>
                    </c:numCache>
                  </c:numRef>
                </c:val>
                <c:extLst xmlns:c15="http://schemas.microsoft.com/office/drawing/2012/chart">
                  <c:ext xmlns:c16="http://schemas.microsoft.com/office/drawing/2014/chart" uri="{C3380CC4-5D6E-409C-BE32-E72D297353CC}">
                    <c16:uniqueId val="{00000042-DE8D-488D-855A-43F38F7C7045}"/>
                  </c:ext>
                </c:extLst>
              </c15:ser>
            </c15:filteredBarSeries>
            <c15:filteredBarSeries>
              <c15:ser>
                <c:idx val="55"/>
                <c:order val="55"/>
                <c:tx>
                  <c:strRef>
                    <c:extLst xmlns:c15="http://schemas.microsoft.com/office/drawing/2012/chart">
                      <c:ext xmlns:c15="http://schemas.microsoft.com/office/drawing/2012/chart" uri="{02D57815-91ED-43cb-92C2-25804820EDAC}">
                        <c15:formulaRef>
                          <c15:sqref>'Table for graphs '!$A$57</c15:sqref>
                        </c15:formulaRef>
                      </c:ext>
                    </c:extLst>
                    <c:strCache>
                      <c:ptCount val="1"/>
                      <c:pt idx="0">
                        <c:v>Sarcoma - Reported 63 - 103 days</c:v>
                      </c:pt>
                    </c:strCache>
                  </c:strRef>
                </c:tx>
                <c:spPr>
                  <a:solidFill>
                    <a:schemeClr val="accent5">
                      <a:tint val="8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'!$B$57:$CB$57</c15:sqref>
                        </c15:formulaRef>
                      </c:ext>
                    </c:extLst>
                    <c:numCache>
                      <c:formatCode>0</c:formatCode>
                      <c:ptCount val="79"/>
                      <c:pt idx="0">
                        <c:v>8</c:v>
                      </c:pt>
                      <c:pt idx="1">
                        <c:v>7</c:v>
                      </c:pt>
                      <c:pt idx="2">
                        <c:v>5</c:v>
                      </c:pt>
                      <c:pt idx="3">
                        <c:v>5</c:v>
                      </c:pt>
                      <c:pt idx="4">
                        <c:v>6</c:v>
                      </c:pt>
                      <c:pt idx="5">
                        <c:v>6</c:v>
                      </c:pt>
                      <c:pt idx="6">
                        <c:v>5</c:v>
                      </c:pt>
                      <c:pt idx="7">
                        <c:v>2</c:v>
                      </c:pt>
                      <c:pt idx="8">
                        <c:v>1</c:v>
                      </c:pt>
                      <c:pt idx="9">
                        <c:v>1</c:v>
                      </c:pt>
                      <c:pt idx="10">
                        <c:v>1</c:v>
                      </c:pt>
                      <c:pt idx="11">
                        <c:v>1</c:v>
                      </c:pt>
                      <c:pt idx="12">
                        <c:v>2</c:v>
                      </c:pt>
                      <c:pt idx="13">
                        <c:v>3</c:v>
                      </c:pt>
                      <c:pt idx="14">
                        <c:v>4</c:v>
                      </c:pt>
                      <c:pt idx="15">
                        <c:v>5</c:v>
                      </c:pt>
                      <c:pt idx="16">
                        <c:v>8</c:v>
                      </c:pt>
                      <c:pt idx="17">
                        <c:v>7</c:v>
                      </c:pt>
                      <c:pt idx="18">
                        <c:v>5</c:v>
                      </c:pt>
                      <c:pt idx="19">
                        <c:v>5</c:v>
                      </c:pt>
                      <c:pt idx="20">
                        <c:v>5</c:v>
                      </c:pt>
                      <c:pt idx="21">
                        <c:v>4</c:v>
                      </c:pt>
                      <c:pt idx="22">
                        <c:v>3</c:v>
                      </c:pt>
                      <c:pt idx="23">
                        <c:v>3</c:v>
                      </c:pt>
                      <c:pt idx="24">
                        <c:v>3</c:v>
                      </c:pt>
                      <c:pt idx="25">
                        <c:v>3</c:v>
                      </c:pt>
                      <c:pt idx="26">
                        <c:v>3</c:v>
                      </c:pt>
                      <c:pt idx="27">
                        <c:v>4</c:v>
                      </c:pt>
                      <c:pt idx="28">
                        <c:v>4</c:v>
                      </c:pt>
                      <c:pt idx="29">
                        <c:v>3</c:v>
                      </c:pt>
                      <c:pt idx="30">
                        <c:v>3</c:v>
                      </c:pt>
                      <c:pt idx="31">
                        <c:v>2</c:v>
                      </c:pt>
                      <c:pt idx="32">
                        <c:v>1</c:v>
                      </c:pt>
                      <c:pt idx="33">
                        <c:v>2</c:v>
                      </c:pt>
                      <c:pt idx="34">
                        <c:v>2</c:v>
                      </c:pt>
                      <c:pt idx="35">
                        <c:v>1</c:v>
                      </c:pt>
                      <c:pt idx="36">
                        <c:v>3</c:v>
                      </c:pt>
                      <c:pt idx="37">
                        <c:v>2</c:v>
                      </c:pt>
                      <c:pt idx="38">
                        <c:v>3</c:v>
                      </c:pt>
                      <c:pt idx="39">
                        <c:v>3</c:v>
                      </c:pt>
                      <c:pt idx="40">
                        <c:v>4</c:v>
                      </c:pt>
                      <c:pt idx="41">
                        <c:v>4</c:v>
                      </c:pt>
                      <c:pt idx="42">
                        <c:v>4</c:v>
                      </c:pt>
                      <c:pt idx="43">
                        <c:v>3</c:v>
                      </c:pt>
                      <c:pt idx="44">
                        <c:v>4</c:v>
                      </c:pt>
                      <c:pt idx="45">
                        <c:v>2</c:v>
                      </c:pt>
                      <c:pt idx="46">
                        <c:v>3</c:v>
                      </c:pt>
                      <c:pt idx="47">
                        <c:v>5</c:v>
                      </c:pt>
                      <c:pt idx="48">
                        <c:v>4</c:v>
                      </c:pt>
                      <c:pt idx="49">
                        <c:v>4</c:v>
                      </c:pt>
                      <c:pt idx="50">
                        <c:v>3</c:v>
                      </c:pt>
                      <c:pt idx="51">
                        <c:v>6</c:v>
                      </c:pt>
                      <c:pt idx="52" formatCode="General">
                        <c:v>5</c:v>
                      </c:pt>
                      <c:pt idx="53">
                        <c:v>3</c:v>
                      </c:pt>
                      <c:pt idx="54">
                        <c:v>2</c:v>
                      </c:pt>
                      <c:pt idx="55">
                        <c:v>3</c:v>
                      </c:pt>
                      <c:pt idx="56">
                        <c:v>2</c:v>
                      </c:pt>
                      <c:pt idx="57">
                        <c:v>2</c:v>
                      </c:pt>
                      <c:pt idx="58">
                        <c:v>2</c:v>
                      </c:pt>
                      <c:pt idx="59">
                        <c:v>2</c:v>
                      </c:pt>
                      <c:pt idx="60">
                        <c:v>0</c:v>
                      </c:pt>
                      <c:pt idx="61">
                        <c:v>0</c:v>
                      </c:pt>
                      <c:pt idx="62">
                        <c:v>3</c:v>
                      </c:pt>
                      <c:pt idx="63">
                        <c:v>4</c:v>
                      </c:pt>
                      <c:pt idx="64">
                        <c:v>5</c:v>
                      </c:pt>
                      <c:pt idx="65">
                        <c:v>5</c:v>
                      </c:pt>
                      <c:pt idx="66">
                        <c:v>6</c:v>
                      </c:pt>
                    </c:numCache>
                  </c:numRef>
                </c:val>
                <c:extLst xmlns:c15="http://schemas.microsoft.com/office/drawing/2012/chart">
                  <c:ext xmlns:c16="http://schemas.microsoft.com/office/drawing/2014/chart" uri="{C3380CC4-5D6E-409C-BE32-E72D297353CC}">
                    <c16:uniqueId val="{00000043-DE8D-488D-855A-43F38F7C7045}"/>
                  </c:ext>
                </c:extLst>
              </c15:ser>
            </c15:filteredBarSeries>
            <c15:filteredBarSeries>
              <c15:ser>
                <c:idx val="56"/>
                <c:order val="56"/>
                <c:tx>
                  <c:strRef>
                    <c:extLst xmlns:c15="http://schemas.microsoft.com/office/drawing/2012/chart">
                      <c:ext xmlns:c15="http://schemas.microsoft.com/office/drawing/2012/chart" uri="{02D57815-91ED-43cb-92C2-25804820EDAC}">
                        <c15:formulaRef>
                          <c15:sqref>'Table for graphs '!$A$58</c15:sqref>
                        </c15:formulaRef>
                      </c:ext>
                    </c:extLst>
                    <c:strCache>
                      <c:ptCount val="1"/>
                      <c:pt idx="0">
                        <c:v>Skin - Reported 63 - 103 days</c:v>
                      </c:pt>
                    </c:strCache>
                  </c:strRef>
                </c:tx>
                <c:spPr>
                  <a:solidFill>
                    <a:schemeClr val="accent5">
                      <a:tint val="8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'!$B$58:$CB$58</c15:sqref>
                        </c15:formulaRef>
                      </c:ext>
                    </c:extLst>
                    <c:numCache>
                      <c:formatCode>0</c:formatCode>
                      <c:ptCount val="79"/>
                      <c:pt idx="0">
                        <c:v>15</c:v>
                      </c:pt>
                      <c:pt idx="1">
                        <c:v>21</c:v>
                      </c:pt>
                      <c:pt idx="2">
                        <c:v>26</c:v>
                      </c:pt>
                      <c:pt idx="3">
                        <c:v>25</c:v>
                      </c:pt>
                      <c:pt idx="4">
                        <c:v>27</c:v>
                      </c:pt>
                      <c:pt idx="5">
                        <c:v>27</c:v>
                      </c:pt>
                      <c:pt idx="6">
                        <c:v>26</c:v>
                      </c:pt>
                      <c:pt idx="7">
                        <c:v>28</c:v>
                      </c:pt>
                      <c:pt idx="8">
                        <c:v>23</c:v>
                      </c:pt>
                      <c:pt idx="9">
                        <c:v>18</c:v>
                      </c:pt>
                      <c:pt idx="10">
                        <c:v>19</c:v>
                      </c:pt>
                      <c:pt idx="11">
                        <c:v>23</c:v>
                      </c:pt>
                      <c:pt idx="12">
                        <c:v>27</c:v>
                      </c:pt>
                      <c:pt idx="13">
                        <c:v>38</c:v>
                      </c:pt>
                      <c:pt idx="14">
                        <c:v>34</c:v>
                      </c:pt>
                      <c:pt idx="15">
                        <c:v>32</c:v>
                      </c:pt>
                      <c:pt idx="16">
                        <c:v>34</c:v>
                      </c:pt>
                      <c:pt idx="17">
                        <c:v>25</c:v>
                      </c:pt>
                      <c:pt idx="18">
                        <c:v>27</c:v>
                      </c:pt>
                      <c:pt idx="19">
                        <c:v>22</c:v>
                      </c:pt>
                      <c:pt idx="20">
                        <c:v>21</c:v>
                      </c:pt>
                      <c:pt idx="21">
                        <c:v>15</c:v>
                      </c:pt>
                      <c:pt idx="22">
                        <c:v>12</c:v>
                      </c:pt>
                      <c:pt idx="23">
                        <c:v>10</c:v>
                      </c:pt>
                      <c:pt idx="24">
                        <c:v>11</c:v>
                      </c:pt>
                      <c:pt idx="25">
                        <c:v>10</c:v>
                      </c:pt>
                      <c:pt idx="26">
                        <c:v>13</c:v>
                      </c:pt>
                      <c:pt idx="27">
                        <c:v>16</c:v>
                      </c:pt>
                      <c:pt idx="28">
                        <c:v>9</c:v>
                      </c:pt>
                      <c:pt idx="29">
                        <c:v>13</c:v>
                      </c:pt>
                      <c:pt idx="30">
                        <c:v>16</c:v>
                      </c:pt>
                      <c:pt idx="31">
                        <c:v>12</c:v>
                      </c:pt>
                      <c:pt idx="32">
                        <c:v>13</c:v>
                      </c:pt>
                      <c:pt idx="33">
                        <c:v>11</c:v>
                      </c:pt>
                      <c:pt idx="34">
                        <c:v>12</c:v>
                      </c:pt>
                      <c:pt idx="35">
                        <c:v>16</c:v>
                      </c:pt>
                      <c:pt idx="36">
                        <c:v>15</c:v>
                      </c:pt>
                      <c:pt idx="37">
                        <c:v>14</c:v>
                      </c:pt>
                      <c:pt idx="38">
                        <c:v>9</c:v>
                      </c:pt>
                      <c:pt idx="39">
                        <c:v>12</c:v>
                      </c:pt>
                      <c:pt idx="40">
                        <c:v>12</c:v>
                      </c:pt>
                      <c:pt idx="41">
                        <c:v>13</c:v>
                      </c:pt>
                      <c:pt idx="42">
                        <c:v>14</c:v>
                      </c:pt>
                      <c:pt idx="43">
                        <c:v>12</c:v>
                      </c:pt>
                      <c:pt idx="44">
                        <c:v>14</c:v>
                      </c:pt>
                      <c:pt idx="45">
                        <c:v>27</c:v>
                      </c:pt>
                      <c:pt idx="46">
                        <c:v>30</c:v>
                      </c:pt>
                      <c:pt idx="47">
                        <c:v>31</c:v>
                      </c:pt>
                      <c:pt idx="48">
                        <c:v>36</c:v>
                      </c:pt>
                      <c:pt idx="49">
                        <c:v>28</c:v>
                      </c:pt>
                      <c:pt idx="50">
                        <c:v>24</c:v>
                      </c:pt>
                      <c:pt idx="51">
                        <c:v>28</c:v>
                      </c:pt>
                      <c:pt idx="52" formatCode="General">
                        <c:v>41</c:v>
                      </c:pt>
                      <c:pt idx="53">
                        <c:v>37</c:v>
                      </c:pt>
                      <c:pt idx="54">
                        <c:v>36</c:v>
                      </c:pt>
                      <c:pt idx="55">
                        <c:v>36</c:v>
                      </c:pt>
                      <c:pt idx="56">
                        <c:v>36</c:v>
                      </c:pt>
                      <c:pt idx="57">
                        <c:v>30</c:v>
                      </c:pt>
                      <c:pt idx="58">
                        <c:v>28</c:v>
                      </c:pt>
                      <c:pt idx="59">
                        <c:v>29</c:v>
                      </c:pt>
                      <c:pt idx="60">
                        <c:v>27</c:v>
                      </c:pt>
                      <c:pt idx="61">
                        <c:v>22</c:v>
                      </c:pt>
                      <c:pt idx="62">
                        <c:v>13</c:v>
                      </c:pt>
                      <c:pt idx="63">
                        <c:v>16</c:v>
                      </c:pt>
                      <c:pt idx="64">
                        <c:v>16</c:v>
                      </c:pt>
                      <c:pt idx="65">
                        <c:v>18</c:v>
                      </c:pt>
                      <c:pt idx="66">
                        <c:v>12</c:v>
                      </c:pt>
                    </c:numCache>
                  </c:numRef>
                </c:val>
                <c:extLst xmlns:c15="http://schemas.microsoft.com/office/drawing/2012/chart">
                  <c:ext xmlns:c16="http://schemas.microsoft.com/office/drawing/2014/chart" uri="{C3380CC4-5D6E-409C-BE32-E72D297353CC}">
                    <c16:uniqueId val="{00000044-DE8D-488D-855A-43F38F7C7045}"/>
                  </c:ext>
                </c:extLst>
              </c15:ser>
            </c15:filteredBarSeries>
            <c15:filteredBarSeries>
              <c15:ser>
                <c:idx val="57"/>
                <c:order val="57"/>
                <c:tx>
                  <c:strRef>
                    <c:extLst xmlns:c15="http://schemas.microsoft.com/office/drawing/2012/chart">
                      <c:ext xmlns:c15="http://schemas.microsoft.com/office/drawing/2012/chart" uri="{02D57815-91ED-43cb-92C2-25804820EDAC}">
                        <c15:formulaRef>
                          <c15:sqref>'Table for graphs '!$A$59</c15:sqref>
                        </c15:formulaRef>
                      </c:ext>
                    </c:extLst>
                    <c:strCache>
                      <c:ptCount val="1"/>
                      <c:pt idx="0">
                        <c:v>Upper Gastrointestinal - Reported 63 - 103 days</c:v>
                      </c:pt>
                    </c:strCache>
                  </c:strRef>
                </c:tx>
                <c:spPr>
                  <a:solidFill>
                    <a:schemeClr val="accent5">
                      <a:tint val="8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'!$B$59:$CB$59</c15:sqref>
                        </c15:formulaRef>
                      </c:ext>
                    </c:extLst>
                    <c:numCache>
                      <c:formatCode>0</c:formatCode>
                      <c:ptCount val="79"/>
                      <c:pt idx="0">
                        <c:v>53</c:v>
                      </c:pt>
                      <c:pt idx="1">
                        <c:v>59</c:v>
                      </c:pt>
                      <c:pt idx="2">
                        <c:v>57</c:v>
                      </c:pt>
                      <c:pt idx="3">
                        <c:v>52</c:v>
                      </c:pt>
                      <c:pt idx="4">
                        <c:v>49</c:v>
                      </c:pt>
                      <c:pt idx="5">
                        <c:v>49</c:v>
                      </c:pt>
                      <c:pt idx="6">
                        <c:v>46</c:v>
                      </c:pt>
                      <c:pt idx="7">
                        <c:v>44</c:v>
                      </c:pt>
                      <c:pt idx="8">
                        <c:v>45</c:v>
                      </c:pt>
                      <c:pt idx="9">
                        <c:v>42</c:v>
                      </c:pt>
                      <c:pt idx="10">
                        <c:v>45</c:v>
                      </c:pt>
                      <c:pt idx="11">
                        <c:v>52</c:v>
                      </c:pt>
                      <c:pt idx="12">
                        <c:v>54</c:v>
                      </c:pt>
                      <c:pt idx="13">
                        <c:v>59</c:v>
                      </c:pt>
                      <c:pt idx="14">
                        <c:v>47</c:v>
                      </c:pt>
                      <c:pt idx="15">
                        <c:v>38</c:v>
                      </c:pt>
                      <c:pt idx="16">
                        <c:v>33</c:v>
                      </c:pt>
                      <c:pt idx="17">
                        <c:v>29</c:v>
                      </c:pt>
                      <c:pt idx="18">
                        <c:v>25</c:v>
                      </c:pt>
                      <c:pt idx="19">
                        <c:v>20</c:v>
                      </c:pt>
                      <c:pt idx="20">
                        <c:v>18</c:v>
                      </c:pt>
                      <c:pt idx="21">
                        <c:v>17</c:v>
                      </c:pt>
                      <c:pt idx="22">
                        <c:v>11</c:v>
                      </c:pt>
                      <c:pt idx="23">
                        <c:v>13</c:v>
                      </c:pt>
                      <c:pt idx="24">
                        <c:v>19</c:v>
                      </c:pt>
                      <c:pt idx="25">
                        <c:v>26</c:v>
                      </c:pt>
                      <c:pt idx="26">
                        <c:v>25</c:v>
                      </c:pt>
                      <c:pt idx="27">
                        <c:v>31</c:v>
                      </c:pt>
                      <c:pt idx="28">
                        <c:v>28</c:v>
                      </c:pt>
                      <c:pt idx="29">
                        <c:v>27</c:v>
                      </c:pt>
                      <c:pt idx="30">
                        <c:v>31</c:v>
                      </c:pt>
                      <c:pt idx="31">
                        <c:v>34</c:v>
                      </c:pt>
                      <c:pt idx="32">
                        <c:v>22</c:v>
                      </c:pt>
                      <c:pt idx="33">
                        <c:v>19</c:v>
                      </c:pt>
                      <c:pt idx="34">
                        <c:v>30</c:v>
                      </c:pt>
                      <c:pt idx="35">
                        <c:v>30</c:v>
                      </c:pt>
                      <c:pt idx="36">
                        <c:v>34</c:v>
                      </c:pt>
                      <c:pt idx="37">
                        <c:v>25</c:v>
                      </c:pt>
                      <c:pt idx="38">
                        <c:v>33</c:v>
                      </c:pt>
                      <c:pt idx="39">
                        <c:v>30</c:v>
                      </c:pt>
                      <c:pt idx="40">
                        <c:v>26</c:v>
                      </c:pt>
                      <c:pt idx="41">
                        <c:v>20</c:v>
                      </c:pt>
                      <c:pt idx="42">
                        <c:v>13</c:v>
                      </c:pt>
                      <c:pt idx="43">
                        <c:v>12</c:v>
                      </c:pt>
                      <c:pt idx="44">
                        <c:v>13</c:v>
                      </c:pt>
                      <c:pt idx="45">
                        <c:v>20</c:v>
                      </c:pt>
                      <c:pt idx="46">
                        <c:v>24</c:v>
                      </c:pt>
                      <c:pt idx="47">
                        <c:v>26</c:v>
                      </c:pt>
                      <c:pt idx="48">
                        <c:v>25</c:v>
                      </c:pt>
                      <c:pt idx="49">
                        <c:v>33</c:v>
                      </c:pt>
                      <c:pt idx="50">
                        <c:v>28</c:v>
                      </c:pt>
                      <c:pt idx="51">
                        <c:v>26</c:v>
                      </c:pt>
                      <c:pt idx="52" formatCode="General">
                        <c:v>28</c:v>
                      </c:pt>
                      <c:pt idx="53">
                        <c:v>23</c:v>
                      </c:pt>
                      <c:pt idx="54">
                        <c:v>18</c:v>
                      </c:pt>
                      <c:pt idx="55">
                        <c:v>17</c:v>
                      </c:pt>
                      <c:pt idx="56">
                        <c:v>12</c:v>
                      </c:pt>
                      <c:pt idx="57">
                        <c:v>10</c:v>
                      </c:pt>
                      <c:pt idx="58">
                        <c:v>10</c:v>
                      </c:pt>
                      <c:pt idx="59">
                        <c:v>9</c:v>
                      </c:pt>
                      <c:pt idx="60">
                        <c:v>13</c:v>
                      </c:pt>
                      <c:pt idx="61">
                        <c:v>13</c:v>
                      </c:pt>
                      <c:pt idx="62">
                        <c:v>9</c:v>
                      </c:pt>
                      <c:pt idx="63">
                        <c:v>14</c:v>
                      </c:pt>
                      <c:pt idx="64">
                        <c:v>21</c:v>
                      </c:pt>
                      <c:pt idx="65">
                        <c:v>26</c:v>
                      </c:pt>
                      <c:pt idx="66">
                        <c:v>21</c:v>
                      </c:pt>
                    </c:numCache>
                  </c:numRef>
                </c:val>
                <c:extLst xmlns:c15="http://schemas.microsoft.com/office/drawing/2012/chart">
                  <c:ext xmlns:c16="http://schemas.microsoft.com/office/drawing/2014/chart" uri="{C3380CC4-5D6E-409C-BE32-E72D297353CC}">
                    <c16:uniqueId val="{00000045-DE8D-488D-855A-43F38F7C7045}"/>
                  </c:ext>
                </c:extLst>
              </c15:ser>
            </c15:filteredBarSeries>
            <c15:filteredBarSeries>
              <c15:ser>
                <c:idx val="58"/>
                <c:order val="58"/>
                <c:tx>
                  <c:strRef>
                    <c:extLst xmlns:c15="http://schemas.microsoft.com/office/drawing/2012/chart">
                      <c:ext xmlns:c15="http://schemas.microsoft.com/office/drawing/2012/chart" uri="{02D57815-91ED-43cb-92C2-25804820EDAC}">
                        <c15:formulaRef>
                          <c15:sqref>'Table for graphs '!$A$60</c15:sqref>
                        </c15:formulaRef>
                      </c:ext>
                    </c:extLst>
                    <c:strCache>
                      <c:ptCount val="1"/>
                      <c:pt idx="0">
                        <c:v>Urological - Reported 63 - 103 days</c:v>
                      </c:pt>
                    </c:strCache>
                  </c:strRef>
                </c:tx>
                <c:spPr>
                  <a:solidFill>
                    <a:schemeClr val="accent5">
                      <a:tint val="8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'!$B$60:$CB$60</c15:sqref>
                        </c15:formulaRef>
                      </c:ext>
                    </c:extLst>
                    <c:numCache>
                      <c:formatCode>0</c:formatCode>
                      <c:ptCount val="79"/>
                      <c:pt idx="0">
                        <c:v>52</c:v>
                      </c:pt>
                      <c:pt idx="1">
                        <c:v>56</c:v>
                      </c:pt>
                      <c:pt idx="2">
                        <c:v>54</c:v>
                      </c:pt>
                      <c:pt idx="3">
                        <c:v>53</c:v>
                      </c:pt>
                      <c:pt idx="4">
                        <c:v>51</c:v>
                      </c:pt>
                      <c:pt idx="5">
                        <c:v>54</c:v>
                      </c:pt>
                      <c:pt idx="6">
                        <c:v>42</c:v>
                      </c:pt>
                      <c:pt idx="7">
                        <c:v>35</c:v>
                      </c:pt>
                      <c:pt idx="8">
                        <c:v>27</c:v>
                      </c:pt>
                      <c:pt idx="9">
                        <c:v>32</c:v>
                      </c:pt>
                      <c:pt idx="10">
                        <c:v>25</c:v>
                      </c:pt>
                      <c:pt idx="11">
                        <c:v>23</c:v>
                      </c:pt>
                      <c:pt idx="12">
                        <c:v>31</c:v>
                      </c:pt>
                      <c:pt idx="13">
                        <c:v>36</c:v>
                      </c:pt>
                      <c:pt idx="14">
                        <c:v>31</c:v>
                      </c:pt>
                      <c:pt idx="15">
                        <c:v>40</c:v>
                      </c:pt>
                      <c:pt idx="16">
                        <c:v>44</c:v>
                      </c:pt>
                      <c:pt idx="17">
                        <c:v>52</c:v>
                      </c:pt>
                      <c:pt idx="18">
                        <c:v>47</c:v>
                      </c:pt>
                      <c:pt idx="19">
                        <c:v>39</c:v>
                      </c:pt>
                      <c:pt idx="20">
                        <c:v>44</c:v>
                      </c:pt>
                      <c:pt idx="21">
                        <c:v>36</c:v>
                      </c:pt>
                      <c:pt idx="22">
                        <c:v>33</c:v>
                      </c:pt>
                      <c:pt idx="23">
                        <c:v>30</c:v>
                      </c:pt>
                      <c:pt idx="24">
                        <c:v>29</c:v>
                      </c:pt>
                      <c:pt idx="25">
                        <c:v>35</c:v>
                      </c:pt>
                      <c:pt idx="26">
                        <c:v>28</c:v>
                      </c:pt>
                      <c:pt idx="27">
                        <c:v>30</c:v>
                      </c:pt>
                      <c:pt idx="28">
                        <c:v>32</c:v>
                      </c:pt>
                      <c:pt idx="29">
                        <c:v>28</c:v>
                      </c:pt>
                      <c:pt idx="30">
                        <c:v>32</c:v>
                      </c:pt>
                      <c:pt idx="31">
                        <c:v>39</c:v>
                      </c:pt>
                      <c:pt idx="32">
                        <c:v>35</c:v>
                      </c:pt>
                      <c:pt idx="33">
                        <c:v>40</c:v>
                      </c:pt>
                      <c:pt idx="34">
                        <c:v>33</c:v>
                      </c:pt>
                      <c:pt idx="35">
                        <c:v>36</c:v>
                      </c:pt>
                      <c:pt idx="36">
                        <c:v>32</c:v>
                      </c:pt>
                      <c:pt idx="37">
                        <c:v>27</c:v>
                      </c:pt>
                      <c:pt idx="38">
                        <c:v>28</c:v>
                      </c:pt>
                      <c:pt idx="39">
                        <c:v>28</c:v>
                      </c:pt>
                      <c:pt idx="40">
                        <c:v>24</c:v>
                      </c:pt>
                      <c:pt idx="41">
                        <c:v>26</c:v>
                      </c:pt>
                      <c:pt idx="42">
                        <c:v>29</c:v>
                      </c:pt>
                      <c:pt idx="43">
                        <c:v>37</c:v>
                      </c:pt>
                      <c:pt idx="44">
                        <c:v>35</c:v>
                      </c:pt>
                      <c:pt idx="45">
                        <c:v>40</c:v>
                      </c:pt>
                      <c:pt idx="46">
                        <c:v>33</c:v>
                      </c:pt>
                      <c:pt idx="47">
                        <c:v>29</c:v>
                      </c:pt>
                      <c:pt idx="48">
                        <c:v>33</c:v>
                      </c:pt>
                      <c:pt idx="49">
                        <c:v>36</c:v>
                      </c:pt>
                      <c:pt idx="50">
                        <c:v>33</c:v>
                      </c:pt>
                      <c:pt idx="51">
                        <c:v>29</c:v>
                      </c:pt>
                      <c:pt idx="52" formatCode="General">
                        <c:v>29</c:v>
                      </c:pt>
                      <c:pt idx="53">
                        <c:v>32</c:v>
                      </c:pt>
                      <c:pt idx="54">
                        <c:v>30</c:v>
                      </c:pt>
                      <c:pt idx="55">
                        <c:v>29</c:v>
                      </c:pt>
                      <c:pt idx="56">
                        <c:v>28</c:v>
                      </c:pt>
                      <c:pt idx="57">
                        <c:v>30</c:v>
                      </c:pt>
                      <c:pt idx="58">
                        <c:v>27</c:v>
                      </c:pt>
                      <c:pt idx="59">
                        <c:v>27</c:v>
                      </c:pt>
                      <c:pt idx="60">
                        <c:v>24</c:v>
                      </c:pt>
                      <c:pt idx="61">
                        <c:v>26</c:v>
                      </c:pt>
                      <c:pt idx="62">
                        <c:v>27</c:v>
                      </c:pt>
                      <c:pt idx="63">
                        <c:v>27</c:v>
                      </c:pt>
                      <c:pt idx="64">
                        <c:v>25</c:v>
                      </c:pt>
                      <c:pt idx="65">
                        <c:v>27</c:v>
                      </c:pt>
                      <c:pt idx="66">
                        <c:v>31</c:v>
                      </c:pt>
                    </c:numCache>
                  </c:numRef>
                </c:val>
                <c:extLst xmlns:c15="http://schemas.microsoft.com/office/drawing/2012/chart">
                  <c:ext xmlns:c16="http://schemas.microsoft.com/office/drawing/2014/chart" uri="{C3380CC4-5D6E-409C-BE32-E72D297353CC}">
                    <c16:uniqueId val="{00000046-DE8D-488D-855A-43F38F7C7045}"/>
                  </c:ext>
                </c:extLst>
              </c15:ser>
            </c15:filteredBarSeries>
            <c15:filteredBarSeries>
              <c15:ser>
                <c:idx val="60"/>
                <c:order val="60"/>
                <c:tx>
                  <c:strRef>
                    <c:extLst xmlns:c15="http://schemas.microsoft.com/office/drawing/2012/chart">
                      <c:ext xmlns:c15="http://schemas.microsoft.com/office/drawing/2012/chart" uri="{02D57815-91ED-43cb-92C2-25804820EDAC}">
                        <c15:formulaRef>
                          <c15:sqref>'Table for graphs '!$A$62</c15:sqref>
                        </c15:formulaRef>
                      </c:ext>
                    </c:extLst>
                    <c:strCache>
                      <c:ptCount val="1"/>
                      <c:pt idx="0">
                        <c:v>Acute Leukaemia - Reported &gt;103 days</c:v>
                      </c:pt>
                    </c:strCache>
                  </c:strRef>
                </c:tx>
                <c:spPr>
                  <a:solidFill>
                    <a:schemeClr val="accent5">
                      <a:tint val="8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'!$B$62:$CB$62</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numCache>
                  </c:numRef>
                </c:val>
                <c:extLst xmlns:c15="http://schemas.microsoft.com/office/drawing/2012/chart">
                  <c:ext xmlns:c16="http://schemas.microsoft.com/office/drawing/2014/chart" uri="{C3380CC4-5D6E-409C-BE32-E72D297353CC}">
                    <c16:uniqueId val="{00000047-DE8D-488D-855A-43F38F7C7045}"/>
                  </c:ext>
                </c:extLst>
              </c15:ser>
            </c15:filteredBarSeries>
            <c15:filteredBarSeries>
              <c15:ser>
                <c:idx val="61"/>
                <c:order val="61"/>
                <c:tx>
                  <c:strRef>
                    <c:extLst xmlns:c15="http://schemas.microsoft.com/office/drawing/2012/chart">
                      <c:ext xmlns:c15="http://schemas.microsoft.com/office/drawing/2012/chart" uri="{02D57815-91ED-43cb-92C2-25804820EDAC}">
                        <c15:formulaRef>
                          <c15:sqref>'Table for graphs '!$A$63</c15:sqref>
                        </c15:formulaRef>
                      </c:ext>
                    </c:extLst>
                    <c:strCache>
                      <c:ptCount val="1"/>
                      <c:pt idx="0">
                        <c:v>Brain/CNS - Reported &gt;103 days</c:v>
                      </c:pt>
                    </c:strCache>
                  </c:strRef>
                </c:tx>
                <c:spPr>
                  <a:solidFill>
                    <a:schemeClr val="accent5">
                      <a:tint val="7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'!$B$63:$CB$63</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1</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1</c:v>
                      </c:pt>
                      <c:pt idx="33">
                        <c:v>1</c:v>
                      </c:pt>
                      <c:pt idx="34">
                        <c:v>1</c:v>
                      </c:pt>
                      <c:pt idx="35">
                        <c:v>1</c:v>
                      </c:pt>
                      <c:pt idx="36">
                        <c:v>1</c:v>
                      </c:pt>
                      <c:pt idx="37">
                        <c:v>1</c:v>
                      </c:pt>
                      <c:pt idx="38">
                        <c:v>1</c:v>
                      </c:pt>
                      <c:pt idx="39">
                        <c:v>1</c:v>
                      </c:pt>
                      <c:pt idx="40">
                        <c:v>1</c:v>
                      </c:pt>
                      <c:pt idx="41">
                        <c:v>1</c:v>
                      </c:pt>
                      <c:pt idx="42">
                        <c:v>1</c:v>
                      </c:pt>
                      <c:pt idx="43">
                        <c:v>1</c:v>
                      </c:pt>
                      <c:pt idx="44">
                        <c:v>1</c:v>
                      </c:pt>
                      <c:pt idx="45">
                        <c:v>1</c:v>
                      </c:pt>
                      <c:pt idx="46">
                        <c:v>1</c:v>
                      </c:pt>
                      <c:pt idx="47">
                        <c:v>0</c:v>
                      </c:pt>
                      <c:pt idx="48">
                        <c:v>0</c:v>
                      </c:pt>
                      <c:pt idx="49">
                        <c:v>1</c:v>
                      </c:pt>
                      <c:pt idx="50">
                        <c:v>1</c:v>
                      </c:pt>
                      <c:pt idx="51">
                        <c:v>0</c:v>
                      </c:pt>
                      <c:pt idx="52">
                        <c:v>1</c:v>
                      </c:pt>
                      <c:pt idx="53">
                        <c:v>1</c:v>
                      </c:pt>
                      <c:pt idx="54">
                        <c:v>1</c:v>
                      </c:pt>
                      <c:pt idx="55">
                        <c:v>0</c:v>
                      </c:pt>
                      <c:pt idx="56">
                        <c:v>0</c:v>
                      </c:pt>
                      <c:pt idx="57">
                        <c:v>0</c:v>
                      </c:pt>
                      <c:pt idx="58">
                        <c:v>0</c:v>
                      </c:pt>
                      <c:pt idx="59">
                        <c:v>0</c:v>
                      </c:pt>
                      <c:pt idx="60">
                        <c:v>0</c:v>
                      </c:pt>
                      <c:pt idx="61">
                        <c:v>0</c:v>
                      </c:pt>
                      <c:pt idx="62">
                        <c:v>0</c:v>
                      </c:pt>
                      <c:pt idx="63">
                        <c:v>0</c:v>
                      </c:pt>
                      <c:pt idx="64">
                        <c:v>0</c:v>
                      </c:pt>
                      <c:pt idx="65">
                        <c:v>0</c:v>
                      </c:pt>
                      <c:pt idx="66">
                        <c:v>0</c:v>
                      </c:pt>
                    </c:numCache>
                  </c:numRef>
                </c:val>
                <c:extLst xmlns:c15="http://schemas.microsoft.com/office/drawing/2012/chart">
                  <c:ext xmlns:c16="http://schemas.microsoft.com/office/drawing/2014/chart" uri="{C3380CC4-5D6E-409C-BE32-E72D297353CC}">
                    <c16:uniqueId val="{00000048-DE8D-488D-855A-43F38F7C7045}"/>
                  </c:ext>
                </c:extLst>
              </c15:ser>
            </c15:filteredBarSeries>
            <c15:filteredBarSeries>
              <c15:ser>
                <c:idx val="62"/>
                <c:order val="62"/>
                <c:tx>
                  <c:strRef>
                    <c:extLst xmlns:c15="http://schemas.microsoft.com/office/drawing/2012/chart">
                      <c:ext xmlns:c15="http://schemas.microsoft.com/office/drawing/2012/chart" uri="{02D57815-91ED-43cb-92C2-25804820EDAC}">
                        <c15:formulaRef>
                          <c15:sqref>'Table for graphs '!$A$64</c15:sqref>
                        </c15:formulaRef>
                      </c:ext>
                    </c:extLst>
                    <c:strCache>
                      <c:ptCount val="1"/>
                      <c:pt idx="0">
                        <c:v>Breast - Reported &gt;103 days</c:v>
                      </c:pt>
                    </c:strCache>
                  </c:strRef>
                </c:tx>
                <c:spPr>
                  <a:solidFill>
                    <a:schemeClr val="accent5">
                      <a:tint val="7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'!$B$64:$CB$64</c15:sqref>
                        </c15:formulaRef>
                      </c:ext>
                    </c:extLst>
                    <c:numCache>
                      <c:formatCode>0</c:formatCode>
                      <c:ptCount val="79"/>
                      <c:pt idx="0">
                        <c:v>5</c:v>
                      </c:pt>
                      <c:pt idx="1">
                        <c:v>5</c:v>
                      </c:pt>
                      <c:pt idx="2">
                        <c:v>4</c:v>
                      </c:pt>
                      <c:pt idx="3">
                        <c:v>5</c:v>
                      </c:pt>
                      <c:pt idx="4">
                        <c:v>4</c:v>
                      </c:pt>
                      <c:pt idx="5">
                        <c:v>5</c:v>
                      </c:pt>
                      <c:pt idx="6">
                        <c:v>5</c:v>
                      </c:pt>
                      <c:pt idx="7">
                        <c:v>5</c:v>
                      </c:pt>
                      <c:pt idx="8">
                        <c:v>6</c:v>
                      </c:pt>
                      <c:pt idx="9">
                        <c:v>4</c:v>
                      </c:pt>
                      <c:pt idx="10">
                        <c:v>4</c:v>
                      </c:pt>
                      <c:pt idx="11">
                        <c:v>4</c:v>
                      </c:pt>
                      <c:pt idx="12">
                        <c:v>4</c:v>
                      </c:pt>
                      <c:pt idx="13">
                        <c:v>3</c:v>
                      </c:pt>
                      <c:pt idx="14">
                        <c:v>3</c:v>
                      </c:pt>
                      <c:pt idx="15">
                        <c:v>1</c:v>
                      </c:pt>
                      <c:pt idx="16">
                        <c:v>3</c:v>
                      </c:pt>
                      <c:pt idx="17">
                        <c:v>6</c:v>
                      </c:pt>
                      <c:pt idx="18">
                        <c:v>6</c:v>
                      </c:pt>
                      <c:pt idx="19">
                        <c:v>6</c:v>
                      </c:pt>
                      <c:pt idx="20">
                        <c:v>5</c:v>
                      </c:pt>
                      <c:pt idx="21">
                        <c:v>4.9000000000000004</c:v>
                      </c:pt>
                      <c:pt idx="22">
                        <c:v>4.4590000000000005</c:v>
                      </c:pt>
                      <c:pt idx="23">
                        <c:v>3</c:v>
                      </c:pt>
                      <c:pt idx="24">
                        <c:v>3</c:v>
                      </c:pt>
                      <c:pt idx="25">
                        <c:v>1</c:v>
                      </c:pt>
                      <c:pt idx="26">
                        <c:v>1</c:v>
                      </c:pt>
                      <c:pt idx="27">
                        <c:v>2</c:v>
                      </c:pt>
                      <c:pt idx="28">
                        <c:v>3</c:v>
                      </c:pt>
                      <c:pt idx="29">
                        <c:v>2</c:v>
                      </c:pt>
                      <c:pt idx="30">
                        <c:v>5</c:v>
                      </c:pt>
                      <c:pt idx="31">
                        <c:v>3</c:v>
                      </c:pt>
                      <c:pt idx="32">
                        <c:v>2</c:v>
                      </c:pt>
                      <c:pt idx="33">
                        <c:v>1</c:v>
                      </c:pt>
                      <c:pt idx="34">
                        <c:v>1</c:v>
                      </c:pt>
                      <c:pt idx="35">
                        <c:v>1</c:v>
                      </c:pt>
                      <c:pt idx="36">
                        <c:v>2</c:v>
                      </c:pt>
                      <c:pt idx="37">
                        <c:v>3</c:v>
                      </c:pt>
                      <c:pt idx="38">
                        <c:v>3</c:v>
                      </c:pt>
                      <c:pt idx="39">
                        <c:v>2</c:v>
                      </c:pt>
                      <c:pt idx="40">
                        <c:v>4</c:v>
                      </c:pt>
                      <c:pt idx="41">
                        <c:v>5</c:v>
                      </c:pt>
                      <c:pt idx="42">
                        <c:v>4</c:v>
                      </c:pt>
                      <c:pt idx="43">
                        <c:v>2</c:v>
                      </c:pt>
                      <c:pt idx="44">
                        <c:v>2</c:v>
                      </c:pt>
                      <c:pt idx="45">
                        <c:v>1</c:v>
                      </c:pt>
                      <c:pt idx="46">
                        <c:v>0</c:v>
                      </c:pt>
                      <c:pt idx="47">
                        <c:v>1</c:v>
                      </c:pt>
                      <c:pt idx="48">
                        <c:v>2</c:v>
                      </c:pt>
                      <c:pt idx="49">
                        <c:v>1</c:v>
                      </c:pt>
                      <c:pt idx="50">
                        <c:v>1</c:v>
                      </c:pt>
                      <c:pt idx="51">
                        <c:v>2</c:v>
                      </c:pt>
                      <c:pt idx="52">
                        <c:v>2</c:v>
                      </c:pt>
                      <c:pt idx="53">
                        <c:v>2</c:v>
                      </c:pt>
                      <c:pt idx="54">
                        <c:v>5</c:v>
                      </c:pt>
                      <c:pt idx="55">
                        <c:v>5</c:v>
                      </c:pt>
                      <c:pt idx="56">
                        <c:v>4</c:v>
                      </c:pt>
                      <c:pt idx="57">
                        <c:v>3</c:v>
                      </c:pt>
                      <c:pt idx="58">
                        <c:v>4</c:v>
                      </c:pt>
                      <c:pt idx="59">
                        <c:v>5</c:v>
                      </c:pt>
                      <c:pt idx="60">
                        <c:v>7</c:v>
                      </c:pt>
                      <c:pt idx="61">
                        <c:v>7</c:v>
                      </c:pt>
                      <c:pt idx="62">
                        <c:v>6</c:v>
                      </c:pt>
                      <c:pt idx="63">
                        <c:v>7</c:v>
                      </c:pt>
                      <c:pt idx="64">
                        <c:v>4</c:v>
                      </c:pt>
                      <c:pt idx="65">
                        <c:v>6</c:v>
                      </c:pt>
                      <c:pt idx="66">
                        <c:v>3</c:v>
                      </c:pt>
                    </c:numCache>
                  </c:numRef>
                </c:val>
                <c:extLst xmlns:c15="http://schemas.microsoft.com/office/drawing/2012/chart">
                  <c:ext xmlns:c16="http://schemas.microsoft.com/office/drawing/2014/chart" uri="{C3380CC4-5D6E-409C-BE32-E72D297353CC}">
                    <c16:uniqueId val="{00000049-DE8D-488D-855A-43F38F7C7045}"/>
                  </c:ext>
                </c:extLst>
              </c15:ser>
            </c15:filteredBarSeries>
            <c15:filteredBarSeries>
              <c15:ser>
                <c:idx val="63"/>
                <c:order val="63"/>
                <c:tx>
                  <c:strRef>
                    <c:extLst xmlns:c15="http://schemas.microsoft.com/office/drawing/2012/chart">
                      <c:ext xmlns:c15="http://schemas.microsoft.com/office/drawing/2012/chart" uri="{02D57815-91ED-43cb-92C2-25804820EDAC}">
                        <c15:formulaRef>
                          <c15:sqref>'Table for graphs '!$A$65</c15:sqref>
                        </c15:formulaRef>
                      </c:ext>
                    </c:extLst>
                    <c:strCache>
                      <c:ptCount val="1"/>
                      <c:pt idx="0">
                        <c:v>Children's cancer - Reported &gt;103 days</c:v>
                      </c:pt>
                    </c:strCache>
                  </c:strRef>
                </c:tx>
                <c:spPr>
                  <a:solidFill>
                    <a:schemeClr val="accent5">
                      <a:tint val="7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'!$B$65:$CB$65</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1</c:v>
                      </c:pt>
                      <c:pt idx="13">
                        <c:v>1</c:v>
                      </c:pt>
                      <c:pt idx="14">
                        <c:v>1</c:v>
                      </c:pt>
                      <c:pt idx="15">
                        <c:v>1</c:v>
                      </c:pt>
                      <c:pt idx="16">
                        <c:v>1</c:v>
                      </c:pt>
                      <c:pt idx="17">
                        <c:v>1</c:v>
                      </c:pt>
                      <c:pt idx="18">
                        <c:v>1</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numCache>
                  </c:numRef>
                </c:val>
                <c:extLst xmlns:c15="http://schemas.microsoft.com/office/drawing/2012/chart">
                  <c:ext xmlns:c16="http://schemas.microsoft.com/office/drawing/2014/chart" uri="{C3380CC4-5D6E-409C-BE32-E72D297353CC}">
                    <c16:uniqueId val="{0000004A-DE8D-488D-855A-43F38F7C7045}"/>
                  </c:ext>
                </c:extLst>
              </c15:ser>
            </c15:filteredBarSeries>
            <c15:filteredBarSeries>
              <c15:ser>
                <c:idx val="64"/>
                <c:order val="64"/>
                <c:tx>
                  <c:strRef>
                    <c:extLst xmlns:c15="http://schemas.microsoft.com/office/drawing/2012/chart">
                      <c:ext xmlns:c15="http://schemas.microsoft.com/office/drawing/2012/chart" uri="{02D57815-91ED-43cb-92C2-25804820EDAC}">
                        <c15:formulaRef>
                          <c15:sqref>'Table for graphs '!$A$66</c15:sqref>
                        </c15:formulaRef>
                      </c:ext>
                    </c:extLst>
                    <c:strCache>
                      <c:ptCount val="1"/>
                      <c:pt idx="0">
                        <c:v>Gynaecological - Reported &gt;103 days</c:v>
                      </c:pt>
                    </c:strCache>
                  </c:strRef>
                </c:tx>
                <c:spPr>
                  <a:solidFill>
                    <a:schemeClr val="accent5">
                      <a:tint val="7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'!$B$66:$CB$66</c15:sqref>
                        </c15:formulaRef>
                      </c:ext>
                    </c:extLst>
                    <c:numCache>
                      <c:formatCode>0</c:formatCode>
                      <c:ptCount val="79"/>
                      <c:pt idx="0">
                        <c:v>18</c:v>
                      </c:pt>
                      <c:pt idx="1">
                        <c:v>16</c:v>
                      </c:pt>
                      <c:pt idx="2">
                        <c:v>14</c:v>
                      </c:pt>
                      <c:pt idx="3">
                        <c:v>13</c:v>
                      </c:pt>
                      <c:pt idx="4">
                        <c:v>14</c:v>
                      </c:pt>
                      <c:pt idx="5">
                        <c:v>16</c:v>
                      </c:pt>
                      <c:pt idx="6">
                        <c:v>20</c:v>
                      </c:pt>
                      <c:pt idx="7">
                        <c:v>20</c:v>
                      </c:pt>
                      <c:pt idx="8">
                        <c:v>18</c:v>
                      </c:pt>
                      <c:pt idx="9">
                        <c:v>22</c:v>
                      </c:pt>
                      <c:pt idx="10">
                        <c:v>26</c:v>
                      </c:pt>
                      <c:pt idx="11">
                        <c:v>21</c:v>
                      </c:pt>
                      <c:pt idx="12">
                        <c:v>27</c:v>
                      </c:pt>
                      <c:pt idx="13">
                        <c:v>25</c:v>
                      </c:pt>
                      <c:pt idx="14">
                        <c:v>24</c:v>
                      </c:pt>
                      <c:pt idx="15">
                        <c:v>25</c:v>
                      </c:pt>
                      <c:pt idx="16">
                        <c:v>25</c:v>
                      </c:pt>
                      <c:pt idx="17">
                        <c:v>29</c:v>
                      </c:pt>
                      <c:pt idx="18">
                        <c:v>30</c:v>
                      </c:pt>
                      <c:pt idx="19">
                        <c:v>34</c:v>
                      </c:pt>
                      <c:pt idx="20">
                        <c:v>38</c:v>
                      </c:pt>
                      <c:pt idx="21">
                        <c:v>39.9</c:v>
                      </c:pt>
                      <c:pt idx="22">
                        <c:v>35.909999999999997</c:v>
                      </c:pt>
                      <c:pt idx="23">
                        <c:v>38</c:v>
                      </c:pt>
                      <c:pt idx="24">
                        <c:v>41</c:v>
                      </c:pt>
                      <c:pt idx="25">
                        <c:v>39</c:v>
                      </c:pt>
                      <c:pt idx="26">
                        <c:v>41</c:v>
                      </c:pt>
                      <c:pt idx="27">
                        <c:v>44</c:v>
                      </c:pt>
                      <c:pt idx="28">
                        <c:v>29</c:v>
                      </c:pt>
                      <c:pt idx="29">
                        <c:v>33</c:v>
                      </c:pt>
                      <c:pt idx="30">
                        <c:v>41</c:v>
                      </c:pt>
                      <c:pt idx="31">
                        <c:v>42</c:v>
                      </c:pt>
                      <c:pt idx="32">
                        <c:v>43</c:v>
                      </c:pt>
                      <c:pt idx="33">
                        <c:v>40</c:v>
                      </c:pt>
                      <c:pt idx="34">
                        <c:v>41</c:v>
                      </c:pt>
                      <c:pt idx="35">
                        <c:v>34</c:v>
                      </c:pt>
                      <c:pt idx="36">
                        <c:v>32</c:v>
                      </c:pt>
                      <c:pt idx="37">
                        <c:v>31</c:v>
                      </c:pt>
                      <c:pt idx="38">
                        <c:v>28</c:v>
                      </c:pt>
                      <c:pt idx="39">
                        <c:v>30</c:v>
                      </c:pt>
                      <c:pt idx="40">
                        <c:v>29</c:v>
                      </c:pt>
                      <c:pt idx="41">
                        <c:v>30</c:v>
                      </c:pt>
                      <c:pt idx="42">
                        <c:v>25</c:v>
                      </c:pt>
                      <c:pt idx="43">
                        <c:v>23</c:v>
                      </c:pt>
                      <c:pt idx="44">
                        <c:v>21</c:v>
                      </c:pt>
                      <c:pt idx="45">
                        <c:v>17</c:v>
                      </c:pt>
                      <c:pt idx="46">
                        <c:v>20</c:v>
                      </c:pt>
                      <c:pt idx="47">
                        <c:v>21</c:v>
                      </c:pt>
                      <c:pt idx="48">
                        <c:v>24</c:v>
                      </c:pt>
                      <c:pt idx="49">
                        <c:v>27</c:v>
                      </c:pt>
                      <c:pt idx="50">
                        <c:v>30</c:v>
                      </c:pt>
                      <c:pt idx="51">
                        <c:v>25</c:v>
                      </c:pt>
                      <c:pt idx="52">
                        <c:v>27</c:v>
                      </c:pt>
                      <c:pt idx="53">
                        <c:v>26</c:v>
                      </c:pt>
                      <c:pt idx="54">
                        <c:v>30</c:v>
                      </c:pt>
                      <c:pt idx="55">
                        <c:v>34</c:v>
                      </c:pt>
                      <c:pt idx="56">
                        <c:v>33</c:v>
                      </c:pt>
                      <c:pt idx="57">
                        <c:v>33</c:v>
                      </c:pt>
                      <c:pt idx="58">
                        <c:v>28</c:v>
                      </c:pt>
                      <c:pt idx="59">
                        <c:v>25</c:v>
                      </c:pt>
                      <c:pt idx="60">
                        <c:v>26</c:v>
                      </c:pt>
                      <c:pt idx="61">
                        <c:v>22</c:v>
                      </c:pt>
                      <c:pt idx="62">
                        <c:v>18</c:v>
                      </c:pt>
                      <c:pt idx="63">
                        <c:v>20</c:v>
                      </c:pt>
                      <c:pt idx="64">
                        <c:v>23</c:v>
                      </c:pt>
                      <c:pt idx="65">
                        <c:v>27</c:v>
                      </c:pt>
                      <c:pt idx="66">
                        <c:v>26</c:v>
                      </c:pt>
                    </c:numCache>
                  </c:numRef>
                </c:val>
                <c:extLst xmlns:c15="http://schemas.microsoft.com/office/drawing/2012/chart">
                  <c:ext xmlns:c16="http://schemas.microsoft.com/office/drawing/2014/chart" uri="{C3380CC4-5D6E-409C-BE32-E72D297353CC}">
                    <c16:uniqueId val="{0000004B-DE8D-488D-855A-43F38F7C7045}"/>
                  </c:ext>
                </c:extLst>
              </c15:ser>
            </c15:filteredBarSeries>
            <c15:filteredBarSeries>
              <c15:ser>
                <c:idx val="65"/>
                <c:order val="65"/>
                <c:tx>
                  <c:strRef>
                    <c:extLst xmlns:c15="http://schemas.microsoft.com/office/drawing/2012/chart">
                      <c:ext xmlns:c15="http://schemas.microsoft.com/office/drawing/2012/chart" uri="{02D57815-91ED-43cb-92C2-25804820EDAC}">
                        <c15:formulaRef>
                          <c15:sqref>'Table for graphs '!$A$67</c15:sqref>
                        </c15:formulaRef>
                      </c:ext>
                    </c:extLst>
                    <c:strCache>
                      <c:ptCount val="1"/>
                      <c:pt idx="0">
                        <c:v>Haematological - Reported &gt;103 days</c:v>
                      </c:pt>
                    </c:strCache>
                  </c:strRef>
                </c:tx>
                <c:spPr>
                  <a:solidFill>
                    <a:schemeClr val="accent5">
                      <a:tint val="7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'!$B$67:$CB$67</c15:sqref>
                        </c15:formulaRef>
                      </c:ext>
                    </c:extLst>
                    <c:numCache>
                      <c:formatCode>0</c:formatCode>
                      <c:ptCount val="79"/>
                      <c:pt idx="0">
                        <c:v>10</c:v>
                      </c:pt>
                      <c:pt idx="1">
                        <c:v>13</c:v>
                      </c:pt>
                      <c:pt idx="2">
                        <c:v>12</c:v>
                      </c:pt>
                      <c:pt idx="3">
                        <c:v>15</c:v>
                      </c:pt>
                      <c:pt idx="4">
                        <c:v>12</c:v>
                      </c:pt>
                      <c:pt idx="5">
                        <c:v>15</c:v>
                      </c:pt>
                      <c:pt idx="6">
                        <c:v>13</c:v>
                      </c:pt>
                      <c:pt idx="7">
                        <c:v>11</c:v>
                      </c:pt>
                      <c:pt idx="8">
                        <c:v>10</c:v>
                      </c:pt>
                      <c:pt idx="9">
                        <c:v>11</c:v>
                      </c:pt>
                      <c:pt idx="10">
                        <c:v>11</c:v>
                      </c:pt>
                      <c:pt idx="11">
                        <c:v>12</c:v>
                      </c:pt>
                      <c:pt idx="12">
                        <c:v>12</c:v>
                      </c:pt>
                      <c:pt idx="13">
                        <c:v>14</c:v>
                      </c:pt>
                      <c:pt idx="14">
                        <c:v>13</c:v>
                      </c:pt>
                      <c:pt idx="15">
                        <c:v>13</c:v>
                      </c:pt>
                      <c:pt idx="16">
                        <c:v>12</c:v>
                      </c:pt>
                      <c:pt idx="17">
                        <c:v>8</c:v>
                      </c:pt>
                      <c:pt idx="18">
                        <c:v>11</c:v>
                      </c:pt>
                      <c:pt idx="19">
                        <c:v>11</c:v>
                      </c:pt>
                      <c:pt idx="20">
                        <c:v>12</c:v>
                      </c:pt>
                      <c:pt idx="21">
                        <c:v>11.76</c:v>
                      </c:pt>
                      <c:pt idx="22">
                        <c:v>9.4079999999999995</c:v>
                      </c:pt>
                      <c:pt idx="23">
                        <c:v>11</c:v>
                      </c:pt>
                      <c:pt idx="24">
                        <c:v>11</c:v>
                      </c:pt>
                      <c:pt idx="25">
                        <c:v>13</c:v>
                      </c:pt>
                      <c:pt idx="26">
                        <c:v>11</c:v>
                      </c:pt>
                      <c:pt idx="27">
                        <c:v>10</c:v>
                      </c:pt>
                      <c:pt idx="28">
                        <c:v>8</c:v>
                      </c:pt>
                      <c:pt idx="29">
                        <c:v>10</c:v>
                      </c:pt>
                      <c:pt idx="30">
                        <c:v>11</c:v>
                      </c:pt>
                      <c:pt idx="31">
                        <c:v>10</c:v>
                      </c:pt>
                      <c:pt idx="32">
                        <c:v>9</c:v>
                      </c:pt>
                      <c:pt idx="33">
                        <c:v>9</c:v>
                      </c:pt>
                      <c:pt idx="34">
                        <c:v>9</c:v>
                      </c:pt>
                      <c:pt idx="35">
                        <c:v>6</c:v>
                      </c:pt>
                      <c:pt idx="36">
                        <c:v>5</c:v>
                      </c:pt>
                      <c:pt idx="37">
                        <c:v>5</c:v>
                      </c:pt>
                      <c:pt idx="38">
                        <c:v>4</c:v>
                      </c:pt>
                      <c:pt idx="39">
                        <c:v>5</c:v>
                      </c:pt>
                      <c:pt idx="40">
                        <c:v>3</c:v>
                      </c:pt>
                      <c:pt idx="41">
                        <c:v>6</c:v>
                      </c:pt>
                      <c:pt idx="42">
                        <c:v>6</c:v>
                      </c:pt>
                      <c:pt idx="43">
                        <c:v>6</c:v>
                      </c:pt>
                      <c:pt idx="44">
                        <c:v>4</c:v>
                      </c:pt>
                      <c:pt idx="45">
                        <c:v>4</c:v>
                      </c:pt>
                      <c:pt idx="46">
                        <c:v>7</c:v>
                      </c:pt>
                      <c:pt idx="47">
                        <c:v>9</c:v>
                      </c:pt>
                      <c:pt idx="48">
                        <c:v>7</c:v>
                      </c:pt>
                      <c:pt idx="49">
                        <c:v>6</c:v>
                      </c:pt>
                      <c:pt idx="50">
                        <c:v>4</c:v>
                      </c:pt>
                      <c:pt idx="51">
                        <c:v>4</c:v>
                      </c:pt>
                      <c:pt idx="52">
                        <c:v>5</c:v>
                      </c:pt>
                      <c:pt idx="53">
                        <c:v>5</c:v>
                      </c:pt>
                      <c:pt idx="54">
                        <c:v>6</c:v>
                      </c:pt>
                      <c:pt idx="55">
                        <c:v>6</c:v>
                      </c:pt>
                      <c:pt idx="56">
                        <c:v>6</c:v>
                      </c:pt>
                      <c:pt idx="57">
                        <c:v>7</c:v>
                      </c:pt>
                      <c:pt idx="58">
                        <c:v>4</c:v>
                      </c:pt>
                      <c:pt idx="59">
                        <c:v>7</c:v>
                      </c:pt>
                      <c:pt idx="60">
                        <c:v>5</c:v>
                      </c:pt>
                      <c:pt idx="61">
                        <c:v>5</c:v>
                      </c:pt>
                      <c:pt idx="62">
                        <c:v>6</c:v>
                      </c:pt>
                      <c:pt idx="63">
                        <c:v>5</c:v>
                      </c:pt>
                      <c:pt idx="64">
                        <c:v>6</c:v>
                      </c:pt>
                      <c:pt idx="65">
                        <c:v>5</c:v>
                      </c:pt>
                      <c:pt idx="66">
                        <c:v>7</c:v>
                      </c:pt>
                    </c:numCache>
                  </c:numRef>
                </c:val>
                <c:extLst xmlns:c15="http://schemas.microsoft.com/office/drawing/2012/chart">
                  <c:ext xmlns:c16="http://schemas.microsoft.com/office/drawing/2014/chart" uri="{C3380CC4-5D6E-409C-BE32-E72D297353CC}">
                    <c16:uniqueId val="{0000004C-DE8D-488D-855A-43F38F7C7045}"/>
                  </c:ext>
                </c:extLst>
              </c15:ser>
            </c15:filteredBarSeries>
            <c15:filteredBarSeries>
              <c15:ser>
                <c:idx val="66"/>
                <c:order val="66"/>
                <c:tx>
                  <c:strRef>
                    <c:extLst xmlns:c15="http://schemas.microsoft.com/office/drawing/2012/chart">
                      <c:ext xmlns:c15="http://schemas.microsoft.com/office/drawing/2012/chart" uri="{02D57815-91ED-43cb-92C2-25804820EDAC}">
                        <c15:formulaRef>
                          <c15:sqref>'Table for graphs '!$A$68</c15:sqref>
                        </c15:formulaRef>
                      </c:ext>
                    </c:extLst>
                    <c:strCache>
                      <c:ptCount val="1"/>
                      <c:pt idx="0">
                        <c:v>Head and neck - Reported &gt;103 days</c:v>
                      </c:pt>
                    </c:strCache>
                  </c:strRef>
                </c:tx>
                <c:spPr>
                  <a:solidFill>
                    <a:schemeClr val="accent5">
                      <a:tint val="7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'!$B$68:$CB$68</c15:sqref>
                        </c15:formulaRef>
                      </c:ext>
                    </c:extLst>
                    <c:numCache>
                      <c:formatCode>0</c:formatCode>
                      <c:ptCount val="79"/>
                      <c:pt idx="0">
                        <c:v>10</c:v>
                      </c:pt>
                      <c:pt idx="1">
                        <c:v>7</c:v>
                      </c:pt>
                      <c:pt idx="2">
                        <c:v>9</c:v>
                      </c:pt>
                      <c:pt idx="3">
                        <c:v>11</c:v>
                      </c:pt>
                      <c:pt idx="4">
                        <c:v>7</c:v>
                      </c:pt>
                      <c:pt idx="5">
                        <c:v>5</c:v>
                      </c:pt>
                      <c:pt idx="6">
                        <c:v>7</c:v>
                      </c:pt>
                      <c:pt idx="7">
                        <c:v>5</c:v>
                      </c:pt>
                      <c:pt idx="8">
                        <c:v>4</c:v>
                      </c:pt>
                      <c:pt idx="9">
                        <c:v>3</c:v>
                      </c:pt>
                      <c:pt idx="10">
                        <c:v>0</c:v>
                      </c:pt>
                      <c:pt idx="11">
                        <c:v>1</c:v>
                      </c:pt>
                      <c:pt idx="12">
                        <c:v>3</c:v>
                      </c:pt>
                      <c:pt idx="13">
                        <c:v>5</c:v>
                      </c:pt>
                      <c:pt idx="14">
                        <c:v>8</c:v>
                      </c:pt>
                      <c:pt idx="15">
                        <c:v>7</c:v>
                      </c:pt>
                      <c:pt idx="16">
                        <c:v>12</c:v>
                      </c:pt>
                      <c:pt idx="17">
                        <c:v>8</c:v>
                      </c:pt>
                      <c:pt idx="18">
                        <c:v>9</c:v>
                      </c:pt>
                      <c:pt idx="19">
                        <c:v>12</c:v>
                      </c:pt>
                      <c:pt idx="20">
                        <c:v>9</c:v>
                      </c:pt>
                      <c:pt idx="21">
                        <c:v>8.1</c:v>
                      </c:pt>
                      <c:pt idx="22">
                        <c:v>6.0749999999999993</c:v>
                      </c:pt>
                      <c:pt idx="23">
                        <c:v>8</c:v>
                      </c:pt>
                      <c:pt idx="24">
                        <c:v>9</c:v>
                      </c:pt>
                      <c:pt idx="25">
                        <c:v>7</c:v>
                      </c:pt>
                      <c:pt idx="26">
                        <c:v>7</c:v>
                      </c:pt>
                      <c:pt idx="27">
                        <c:v>5</c:v>
                      </c:pt>
                      <c:pt idx="28">
                        <c:v>4</c:v>
                      </c:pt>
                      <c:pt idx="29">
                        <c:v>5</c:v>
                      </c:pt>
                      <c:pt idx="30">
                        <c:v>5</c:v>
                      </c:pt>
                      <c:pt idx="31">
                        <c:v>4</c:v>
                      </c:pt>
                      <c:pt idx="32">
                        <c:v>6</c:v>
                      </c:pt>
                      <c:pt idx="33">
                        <c:v>4</c:v>
                      </c:pt>
                      <c:pt idx="34">
                        <c:v>4</c:v>
                      </c:pt>
                      <c:pt idx="35">
                        <c:v>4</c:v>
                      </c:pt>
                      <c:pt idx="36">
                        <c:v>4</c:v>
                      </c:pt>
                      <c:pt idx="37">
                        <c:v>8</c:v>
                      </c:pt>
                      <c:pt idx="38">
                        <c:v>6</c:v>
                      </c:pt>
                      <c:pt idx="39">
                        <c:v>7</c:v>
                      </c:pt>
                      <c:pt idx="40">
                        <c:v>5</c:v>
                      </c:pt>
                      <c:pt idx="41">
                        <c:v>3</c:v>
                      </c:pt>
                      <c:pt idx="42">
                        <c:v>3</c:v>
                      </c:pt>
                      <c:pt idx="43">
                        <c:v>6</c:v>
                      </c:pt>
                      <c:pt idx="44">
                        <c:v>5</c:v>
                      </c:pt>
                      <c:pt idx="45">
                        <c:v>5</c:v>
                      </c:pt>
                      <c:pt idx="46">
                        <c:v>5</c:v>
                      </c:pt>
                      <c:pt idx="47">
                        <c:v>4</c:v>
                      </c:pt>
                      <c:pt idx="48">
                        <c:v>6</c:v>
                      </c:pt>
                      <c:pt idx="49">
                        <c:v>7</c:v>
                      </c:pt>
                      <c:pt idx="50">
                        <c:v>7</c:v>
                      </c:pt>
                      <c:pt idx="51">
                        <c:v>5</c:v>
                      </c:pt>
                      <c:pt idx="52">
                        <c:v>5</c:v>
                      </c:pt>
                      <c:pt idx="53">
                        <c:v>6</c:v>
                      </c:pt>
                      <c:pt idx="54">
                        <c:v>3</c:v>
                      </c:pt>
                      <c:pt idx="55">
                        <c:v>2</c:v>
                      </c:pt>
                      <c:pt idx="56">
                        <c:v>2</c:v>
                      </c:pt>
                      <c:pt idx="57">
                        <c:v>2</c:v>
                      </c:pt>
                      <c:pt idx="58">
                        <c:v>3</c:v>
                      </c:pt>
                      <c:pt idx="59">
                        <c:v>4</c:v>
                      </c:pt>
                      <c:pt idx="60">
                        <c:v>2</c:v>
                      </c:pt>
                      <c:pt idx="61">
                        <c:v>2</c:v>
                      </c:pt>
                      <c:pt idx="62">
                        <c:v>0</c:v>
                      </c:pt>
                      <c:pt idx="63">
                        <c:v>0</c:v>
                      </c:pt>
                      <c:pt idx="64">
                        <c:v>0</c:v>
                      </c:pt>
                      <c:pt idx="65">
                        <c:v>0</c:v>
                      </c:pt>
                      <c:pt idx="66">
                        <c:v>0</c:v>
                      </c:pt>
                    </c:numCache>
                  </c:numRef>
                </c:val>
                <c:extLst xmlns:c15="http://schemas.microsoft.com/office/drawing/2012/chart">
                  <c:ext xmlns:c16="http://schemas.microsoft.com/office/drawing/2014/chart" uri="{C3380CC4-5D6E-409C-BE32-E72D297353CC}">
                    <c16:uniqueId val="{0000004D-DE8D-488D-855A-43F38F7C7045}"/>
                  </c:ext>
                </c:extLst>
              </c15:ser>
            </c15:filteredBarSeries>
            <c15:filteredBarSeries>
              <c15:ser>
                <c:idx val="67"/>
                <c:order val="67"/>
                <c:tx>
                  <c:strRef>
                    <c:extLst xmlns:c15="http://schemas.microsoft.com/office/drawing/2012/chart">
                      <c:ext xmlns:c15="http://schemas.microsoft.com/office/drawing/2012/chart" uri="{02D57815-91ED-43cb-92C2-25804820EDAC}">
                        <c15:formulaRef>
                          <c15:sqref>'Table for graphs '!$A$69</c15:sqref>
                        </c15:formulaRef>
                      </c:ext>
                    </c:extLst>
                    <c:strCache>
                      <c:ptCount val="1"/>
                      <c:pt idx="0">
                        <c:v>Lower Gastrointestinal - Reported &gt;103 days</c:v>
                      </c:pt>
                    </c:strCache>
                  </c:strRef>
                </c:tx>
                <c:spPr>
                  <a:solidFill>
                    <a:schemeClr val="accent5">
                      <a:tint val="7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'!$B$69:$CB$69</c15:sqref>
                        </c15:formulaRef>
                      </c:ext>
                    </c:extLst>
                    <c:numCache>
                      <c:formatCode>0</c:formatCode>
                      <c:ptCount val="79"/>
                      <c:pt idx="0">
                        <c:v>61</c:v>
                      </c:pt>
                      <c:pt idx="1">
                        <c:v>57</c:v>
                      </c:pt>
                      <c:pt idx="2">
                        <c:v>67</c:v>
                      </c:pt>
                      <c:pt idx="3">
                        <c:v>58</c:v>
                      </c:pt>
                      <c:pt idx="4">
                        <c:v>62</c:v>
                      </c:pt>
                      <c:pt idx="5">
                        <c:v>62</c:v>
                      </c:pt>
                      <c:pt idx="6">
                        <c:v>57</c:v>
                      </c:pt>
                      <c:pt idx="7">
                        <c:v>59</c:v>
                      </c:pt>
                      <c:pt idx="8">
                        <c:v>54</c:v>
                      </c:pt>
                      <c:pt idx="9">
                        <c:v>57</c:v>
                      </c:pt>
                      <c:pt idx="10">
                        <c:v>50</c:v>
                      </c:pt>
                      <c:pt idx="11">
                        <c:v>50</c:v>
                      </c:pt>
                      <c:pt idx="12">
                        <c:v>57</c:v>
                      </c:pt>
                      <c:pt idx="13">
                        <c:v>59</c:v>
                      </c:pt>
                      <c:pt idx="14">
                        <c:v>57</c:v>
                      </c:pt>
                      <c:pt idx="15">
                        <c:v>45</c:v>
                      </c:pt>
                      <c:pt idx="16">
                        <c:v>44</c:v>
                      </c:pt>
                      <c:pt idx="17">
                        <c:v>46</c:v>
                      </c:pt>
                      <c:pt idx="18">
                        <c:v>45</c:v>
                      </c:pt>
                      <c:pt idx="19">
                        <c:v>39</c:v>
                      </c:pt>
                      <c:pt idx="20">
                        <c:v>38</c:v>
                      </c:pt>
                      <c:pt idx="21">
                        <c:v>35.339999999999996</c:v>
                      </c:pt>
                      <c:pt idx="22">
                        <c:v>31.805999999999997</c:v>
                      </c:pt>
                      <c:pt idx="23">
                        <c:v>33</c:v>
                      </c:pt>
                      <c:pt idx="24">
                        <c:v>36</c:v>
                      </c:pt>
                      <c:pt idx="25">
                        <c:v>35</c:v>
                      </c:pt>
                      <c:pt idx="26">
                        <c:v>32</c:v>
                      </c:pt>
                      <c:pt idx="27">
                        <c:v>31</c:v>
                      </c:pt>
                      <c:pt idx="28">
                        <c:v>26</c:v>
                      </c:pt>
                      <c:pt idx="29">
                        <c:v>25</c:v>
                      </c:pt>
                      <c:pt idx="30">
                        <c:v>29</c:v>
                      </c:pt>
                      <c:pt idx="31">
                        <c:v>21</c:v>
                      </c:pt>
                      <c:pt idx="32">
                        <c:v>21</c:v>
                      </c:pt>
                      <c:pt idx="33">
                        <c:v>25</c:v>
                      </c:pt>
                      <c:pt idx="34">
                        <c:v>26</c:v>
                      </c:pt>
                      <c:pt idx="35">
                        <c:v>29</c:v>
                      </c:pt>
                      <c:pt idx="36">
                        <c:v>27</c:v>
                      </c:pt>
                      <c:pt idx="37">
                        <c:v>29</c:v>
                      </c:pt>
                      <c:pt idx="38">
                        <c:v>29</c:v>
                      </c:pt>
                      <c:pt idx="39">
                        <c:v>28</c:v>
                      </c:pt>
                      <c:pt idx="40">
                        <c:v>24</c:v>
                      </c:pt>
                      <c:pt idx="41">
                        <c:v>26</c:v>
                      </c:pt>
                      <c:pt idx="42">
                        <c:v>27</c:v>
                      </c:pt>
                      <c:pt idx="43">
                        <c:v>25</c:v>
                      </c:pt>
                      <c:pt idx="44">
                        <c:v>28</c:v>
                      </c:pt>
                      <c:pt idx="45">
                        <c:v>28</c:v>
                      </c:pt>
                      <c:pt idx="46">
                        <c:v>33</c:v>
                      </c:pt>
                      <c:pt idx="47">
                        <c:v>18</c:v>
                      </c:pt>
                      <c:pt idx="48">
                        <c:v>22</c:v>
                      </c:pt>
                      <c:pt idx="49">
                        <c:v>23</c:v>
                      </c:pt>
                      <c:pt idx="50">
                        <c:v>28</c:v>
                      </c:pt>
                      <c:pt idx="51">
                        <c:v>25</c:v>
                      </c:pt>
                      <c:pt idx="52">
                        <c:v>23</c:v>
                      </c:pt>
                      <c:pt idx="53">
                        <c:v>20</c:v>
                      </c:pt>
                      <c:pt idx="54">
                        <c:v>16</c:v>
                      </c:pt>
                      <c:pt idx="55">
                        <c:v>13</c:v>
                      </c:pt>
                      <c:pt idx="56">
                        <c:v>18</c:v>
                      </c:pt>
                      <c:pt idx="57">
                        <c:v>15</c:v>
                      </c:pt>
                      <c:pt idx="58">
                        <c:v>17</c:v>
                      </c:pt>
                      <c:pt idx="59">
                        <c:v>17</c:v>
                      </c:pt>
                      <c:pt idx="60">
                        <c:v>19</c:v>
                      </c:pt>
                      <c:pt idx="61">
                        <c:v>15</c:v>
                      </c:pt>
                      <c:pt idx="62">
                        <c:v>12</c:v>
                      </c:pt>
                      <c:pt idx="63">
                        <c:v>10</c:v>
                      </c:pt>
                      <c:pt idx="64">
                        <c:v>8</c:v>
                      </c:pt>
                      <c:pt idx="65">
                        <c:v>11</c:v>
                      </c:pt>
                      <c:pt idx="66">
                        <c:v>13</c:v>
                      </c:pt>
                    </c:numCache>
                  </c:numRef>
                </c:val>
                <c:extLst xmlns:c15="http://schemas.microsoft.com/office/drawing/2012/chart">
                  <c:ext xmlns:c16="http://schemas.microsoft.com/office/drawing/2014/chart" uri="{C3380CC4-5D6E-409C-BE32-E72D297353CC}">
                    <c16:uniqueId val="{0000004E-DE8D-488D-855A-43F38F7C7045}"/>
                  </c:ext>
                </c:extLst>
              </c15:ser>
            </c15:filteredBarSeries>
            <c15:filteredBarSeries>
              <c15:ser>
                <c:idx val="68"/>
                <c:order val="68"/>
                <c:tx>
                  <c:strRef>
                    <c:extLst xmlns:c15="http://schemas.microsoft.com/office/drawing/2012/chart">
                      <c:ext xmlns:c15="http://schemas.microsoft.com/office/drawing/2012/chart" uri="{02D57815-91ED-43cb-92C2-25804820EDAC}">
                        <c15:formulaRef>
                          <c15:sqref>'Table for graphs '!$A$70</c15:sqref>
                        </c15:formulaRef>
                      </c:ext>
                    </c:extLst>
                    <c:strCache>
                      <c:ptCount val="1"/>
                      <c:pt idx="0">
                        <c:v>Lung - Reported &gt;103 days</c:v>
                      </c:pt>
                    </c:strCache>
                  </c:strRef>
                </c:tx>
                <c:spPr>
                  <a:solidFill>
                    <a:schemeClr val="accent5">
                      <a:tint val="6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'!$B$70:$CB$70</c15:sqref>
                        </c15:formulaRef>
                      </c:ext>
                    </c:extLst>
                    <c:numCache>
                      <c:formatCode>0</c:formatCode>
                      <c:ptCount val="79"/>
                      <c:pt idx="0">
                        <c:v>6</c:v>
                      </c:pt>
                      <c:pt idx="1">
                        <c:v>8</c:v>
                      </c:pt>
                      <c:pt idx="2">
                        <c:v>7</c:v>
                      </c:pt>
                      <c:pt idx="3">
                        <c:v>8</c:v>
                      </c:pt>
                      <c:pt idx="4">
                        <c:v>10</c:v>
                      </c:pt>
                      <c:pt idx="5">
                        <c:v>9</c:v>
                      </c:pt>
                      <c:pt idx="6">
                        <c:v>8</c:v>
                      </c:pt>
                      <c:pt idx="7">
                        <c:v>5</c:v>
                      </c:pt>
                      <c:pt idx="8">
                        <c:v>6</c:v>
                      </c:pt>
                      <c:pt idx="9">
                        <c:v>4</c:v>
                      </c:pt>
                      <c:pt idx="10">
                        <c:v>2</c:v>
                      </c:pt>
                      <c:pt idx="11">
                        <c:v>6</c:v>
                      </c:pt>
                      <c:pt idx="12">
                        <c:v>6</c:v>
                      </c:pt>
                      <c:pt idx="13">
                        <c:v>6</c:v>
                      </c:pt>
                      <c:pt idx="14">
                        <c:v>8</c:v>
                      </c:pt>
                      <c:pt idx="15">
                        <c:v>8</c:v>
                      </c:pt>
                      <c:pt idx="16">
                        <c:v>10</c:v>
                      </c:pt>
                      <c:pt idx="17">
                        <c:v>12</c:v>
                      </c:pt>
                      <c:pt idx="18">
                        <c:v>12</c:v>
                      </c:pt>
                      <c:pt idx="19">
                        <c:v>12</c:v>
                      </c:pt>
                      <c:pt idx="20">
                        <c:v>15</c:v>
                      </c:pt>
                      <c:pt idx="21">
                        <c:v>12</c:v>
                      </c:pt>
                      <c:pt idx="22">
                        <c:v>11.76</c:v>
                      </c:pt>
                      <c:pt idx="23">
                        <c:v>9</c:v>
                      </c:pt>
                      <c:pt idx="24">
                        <c:v>10</c:v>
                      </c:pt>
                      <c:pt idx="25">
                        <c:v>9</c:v>
                      </c:pt>
                      <c:pt idx="26">
                        <c:v>9</c:v>
                      </c:pt>
                      <c:pt idx="27">
                        <c:v>7</c:v>
                      </c:pt>
                      <c:pt idx="28">
                        <c:v>7</c:v>
                      </c:pt>
                      <c:pt idx="29">
                        <c:v>7</c:v>
                      </c:pt>
                      <c:pt idx="30">
                        <c:v>7</c:v>
                      </c:pt>
                      <c:pt idx="31">
                        <c:v>7</c:v>
                      </c:pt>
                      <c:pt idx="32">
                        <c:v>9</c:v>
                      </c:pt>
                      <c:pt idx="33">
                        <c:v>10</c:v>
                      </c:pt>
                      <c:pt idx="34">
                        <c:v>15</c:v>
                      </c:pt>
                      <c:pt idx="35">
                        <c:v>18</c:v>
                      </c:pt>
                      <c:pt idx="36">
                        <c:v>22</c:v>
                      </c:pt>
                      <c:pt idx="37">
                        <c:v>24</c:v>
                      </c:pt>
                      <c:pt idx="38">
                        <c:v>24</c:v>
                      </c:pt>
                      <c:pt idx="39">
                        <c:v>20</c:v>
                      </c:pt>
                      <c:pt idx="40">
                        <c:v>16</c:v>
                      </c:pt>
                      <c:pt idx="41">
                        <c:v>15</c:v>
                      </c:pt>
                      <c:pt idx="42">
                        <c:v>13</c:v>
                      </c:pt>
                      <c:pt idx="43">
                        <c:v>12</c:v>
                      </c:pt>
                      <c:pt idx="44">
                        <c:v>12</c:v>
                      </c:pt>
                      <c:pt idx="45">
                        <c:v>10</c:v>
                      </c:pt>
                      <c:pt idx="46">
                        <c:v>10</c:v>
                      </c:pt>
                      <c:pt idx="47">
                        <c:v>12</c:v>
                      </c:pt>
                      <c:pt idx="48">
                        <c:v>12</c:v>
                      </c:pt>
                      <c:pt idx="49">
                        <c:v>10</c:v>
                      </c:pt>
                      <c:pt idx="50">
                        <c:v>9</c:v>
                      </c:pt>
                      <c:pt idx="51">
                        <c:v>7</c:v>
                      </c:pt>
                      <c:pt idx="52">
                        <c:v>7</c:v>
                      </c:pt>
                      <c:pt idx="53">
                        <c:v>7</c:v>
                      </c:pt>
                      <c:pt idx="54">
                        <c:v>8</c:v>
                      </c:pt>
                      <c:pt idx="55">
                        <c:v>8</c:v>
                      </c:pt>
                      <c:pt idx="56">
                        <c:v>6</c:v>
                      </c:pt>
                      <c:pt idx="57">
                        <c:v>6</c:v>
                      </c:pt>
                      <c:pt idx="58">
                        <c:v>9</c:v>
                      </c:pt>
                      <c:pt idx="59">
                        <c:v>8</c:v>
                      </c:pt>
                      <c:pt idx="60">
                        <c:v>9</c:v>
                      </c:pt>
                      <c:pt idx="61">
                        <c:v>8</c:v>
                      </c:pt>
                      <c:pt idx="62">
                        <c:v>9</c:v>
                      </c:pt>
                      <c:pt idx="63">
                        <c:v>12</c:v>
                      </c:pt>
                      <c:pt idx="64">
                        <c:v>15</c:v>
                      </c:pt>
                      <c:pt idx="65">
                        <c:v>14</c:v>
                      </c:pt>
                      <c:pt idx="66">
                        <c:v>10</c:v>
                      </c:pt>
                    </c:numCache>
                  </c:numRef>
                </c:val>
                <c:extLst xmlns:c15="http://schemas.microsoft.com/office/drawing/2012/chart">
                  <c:ext xmlns:c16="http://schemas.microsoft.com/office/drawing/2014/chart" uri="{C3380CC4-5D6E-409C-BE32-E72D297353CC}">
                    <c16:uniqueId val="{0000004F-DE8D-488D-855A-43F38F7C7045}"/>
                  </c:ext>
                </c:extLst>
              </c15:ser>
            </c15:filteredBarSeries>
            <c15:filteredBarSeries>
              <c15:ser>
                <c:idx val="69"/>
                <c:order val="69"/>
                <c:tx>
                  <c:strRef>
                    <c:extLst xmlns:c15="http://schemas.microsoft.com/office/drawing/2012/chart">
                      <c:ext xmlns:c15="http://schemas.microsoft.com/office/drawing/2012/chart" uri="{02D57815-91ED-43cb-92C2-25804820EDAC}">
                        <c15:formulaRef>
                          <c15:sqref>'Table for graphs '!$A$71</c15:sqref>
                        </c15:formulaRef>
                      </c:ext>
                    </c:extLst>
                    <c:strCache>
                      <c:ptCount val="1"/>
                      <c:pt idx="0">
                        <c:v>Other - Reported &gt;103 days</c:v>
                      </c:pt>
                    </c:strCache>
                  </c:strRef>
                </c:tx>
                <c:spPr>
                  <a:solidFill>
                    <a:schemeClr val="accent5">
                      <a:tint val="6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'!$B$71:$CB$71</c15:sqref>
                        </c15:formulaRef>
                      </c:ext>
                    </c:extLst>
                    <c:numCache>
                      <c:formatCode>0</c:formatCode>
                      <c:ptCount val="79"/>
                      <c:pt idx="0">
                        <c:v>1</c:v>
                      </c:pt>
                      <c:pt idx="1">
                        <c:v>0</c:v>
                      </c:pt>
                      <c:pt idx="2">
                        <c:v>1</c:v>
                      </c:pt>
                      <c:pt idx="3">
                        <c:v>2</c:v>
                      </c:pt>
                      <c:pt idx="4">
                        <c:v>3</c:v>
                      </c:pt>
                      <c:pt idx="5">
                        <c:v>2</c:v>
                      </c:pt>
                      <c:pt idx="6">
                        <c:v>2</c:v>
                      </c:pt>
                      <c:pt idx="7">
                        <c:v>3</c:v>
                      </c:pt>
                      <c:pt idx="8">
                        <c:v>3</c:v>
                      </c:pt>
                      <c:pt idx="9">
                        <c:v>6</c:v>
                      </c:pt>
                      <c:pt idx="10">
                        <c:v>3</c:v>
                      </c:pt>
                      <c:pt idx="11">
                        <c:v>3</c:v>
                      </c:pt>
                      <c:pt idx="12">
                        <c:v>3</c:v>
                      </c:pt>
                      <c:pt idx="13">
                        <c:v>2</c:v>
                      </c:pt>
                      <c:pt idx="14">
                        <c:v>6</c:v>
                      </c:pt>
                      <c:pt idx="15">
                        <c:v>4</c:v>
                      </c:pt>
                      <c:pt idx="16">
                        <c:v>5</c:v>
                      </c:pt>
                      <c:pt idx="17">
                        <c:v>3</c:v>
                      </c:pt>
                      <c:pt idx="18">
                        <c:v>2</c:v>
                      </c:pt>
                      <c:pt idx="19">
                        <c:v>2</c:v>
                      </c:pt>
                      <c:pt idx="20">
                        <c:v>1</c:v>
                      </c:pt>
                      <c:pt idx="21">
                        <c:v>2</c:v>
                      </c:pt>
                      <c:pt idx="22">
                        <c:v>3</c:v>
                      </c:pt>
                      <c:pt idx="23">
                        <c:v>4</c:v>
                      </c:pt>
                      <c:pt idx="24">
                        <c:v>4</c:v>
                      </c:pt>
                      <c:pt idx="25">
                        <c:v>3</c:v>
                      </c:pt>
                      <c:pt idx="26">
                        <c:v>2</c:v>
                      </c:pt>
                      <c:pt idx="27">
                        <c:v>7</c:v>
                      </c:pt>
                      <c:pt idx="28">
                        <c:v>0</c:v>
                      </c:pt>
                      <c:pt idx="29">
                        <c:v>1</c:v>
                      </c:pt>
                      <c:pt idx="30">
                        <c:v>0</c:v>
                      </c:pt>
                      <c:pt idx="31">
                        <c:v>1</c:v>
                      </c:pt>
                      <c:pt idx="32">
                        <c:v>1</c:v>
                      </c:pt>
                      <c:pt idx="33">
                        <c:v>1</c:v>
                      </c:pt>
                      <c:pt idx="34">
                        <c:v>1</c:v>
                      </c:pt>
                      <c:pt idx="35">
                        <c:v>2</c:v>
                      </c:pt>
                      <c:pt idx="36">
                        <c:v>2</c:v>
                      </c:pt>
                      <c:pt idx="37">
                        <c:v>4</c:v>
                      </c:pt>
                      <c:pt idx="38">
                        <c:v>1</c:v>
                      </c:pt>
                      <c:pt idx="39">
                        <c:v>1</c:v>
                      </c:pt>
                      <c:pt idx="40">
                        <c:v>1</c:v>
                      </c:pt>
                      <c:pt idx="41">
                        <c:v>1</c:v>
                      </c:pt>
                      <c:pt idx="42">
                        <c:v>2</c:v>
                      </c:pt>
                      <c:pt idx="43">
                        <c:v>2</c:v>
                      </c:pt>
                      <c:pt idx="44">
                        <c:v>2</c:v>
                      </c:pt>
                      <c:pt idx="45">
                        <c:v>1</c:v>
                      </c:pt>
                      <c:pt idx="46">
                        <c:v>1</c:v>
                      </c:pt>
                      <c:pt idx="47">
                        <c:v>1</c:v>
                      </c:pt>
                      <c:pt idx="48">
                        <c:v>0</c:v>
                      </c:pt>
                      <c:pt idx="49">
                        <c:v>0</c:v>
                      </c:pt>
                      <c:pt idx="50">
                        <c:v>0</c:v>
                      </c:pt>
                      <c:pt idx="51">
                        <c:v>0</c:v>
                      </c:pt>
                      <c:pt idx="52">
                        <c:v>1</c:v>
                      </c:pt>
                      <c:pt idx="53">
                        <c:v>0</c:v>
                      </c:pt>
                      <c:pt idx="54">
                        <c:v>0</c:v>
                      </c:pt>
                      <c:pt idx="55">
                        <c:v>1</c:v>
                      </c:pt>
                      <c:pt idx="56">
                        <c:v>2</c:v>
                      </c:pt>
                      <c:pt idx="57">
                        <c:v>2</c:v>
                      </c:pt>
                      <c:pt idx="58">
                        <c:v>2</c:v>
                      </c:pt>
                      <c:pt idx="59">
                        <c:v>2</c:v>
                      </c:pt>
                      <c:pt idx="60">
                        <c:v>1</c:v>
                      </c:pt>
                      <c:pt idx="61">
                        <c:v>1</c:v>
                      </c:pt>
                      <c:pt idx="62">
                        <c:v>1</c:v>
                      </c:pt>
                      <c:pt idx="63">
                        <c:v>1</c:v>
                      </c:pt>
                      <c:pt idx="64">
                        <c:v>1</c:v>
                      </c:pt>
                      <c:pt idx="65">
                        <c:v>1</c:v>
                      </c:pt>
                      <c:pt idx="66">
                        <c:v>1</c:v>
                      </c:pt>
                    </c:numCache>
                  </c:numRef>
                </c:val>
                <c:extLst xmlns:c15="http://schemas.microsoft.com/office/drawing/2012/chart">
                  <c:ext xmlns:c16="http://schemas.microsoft.com/office/drawing/2014/chart" uri="{C3380CC4-5D6E-409C-BE32-E72D297353CC}">
                    <c16:uniqueId val="{00000050-DE8D-488D-855A-43F38F7C7045}"/>
                  </c:ext>
                </c:extLst>
              </c15:ser>
            </c15:filteredBarSeries>
            <c15:filteredBarSeries>
              <c15:ser>
                <c:idx val="70"/>
                <c:order val="70"/>
                <c:tx>
                  <c:strRef>
                    <c:extLst xmlns:c15="http://schemas.microsoft.com/office/drawing/2012/chart">
                      <c:ext xmlns:c15="http://schemas.microsoft.com/office/drawing/2012/chart" uri="{02D57815-91ED-43cb-92C2-25804820EDAC}">
                        <c15:formulaRef>
                          <c15:sqref>'Table for graphs '!$A$72</c15:sqref>
                        </c15:formulaRef>
                      </c:ext>
                    </c:extLst>
                    <c:strCache>
                      <c:ptCount val="1"/>
                      <c:pt idx="0">
                        <c:v>Sarcoma - Reported &gt;103 days</c:v>
                      </c:pt>
                    </c:strCache>
                  </c:strRef>
                </c:tx>
                <c:spPr>
                  <a:solidFill>
                    <a:schemeClr val="accent5">
                      <a:tint val="6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'!$B$72:$CB$72</c15:sqref>
                        </c15:formulaRef>
                      </c:ext>
                    </c:extLst>
                    <c:numCache>
                      <c:formatCode>0</c:formatCode>
                      <c:ptCount val="79"/>
                      <c:pt idx="0">
                        <c:v>1</c:v>
                      </c:pt>
                      <c:pt idx="1">
                        <c:v>2</c:v>
                      </c:pt>
                      <c:pt idx="2">
                        <c:v>4</c:v>
                      </c:pt>
                      <c:pt idx="3">
                        <c:v>3</c:v>
                      </c:pt>
                      <c:pt idx="4">
                        <c:v>3</c:v>
                      </c:pt>
                      <c:pt idx="5">
                        <c:v>3</c:v>
                      </c:pt>
                      <c:pt idx="6">
                        <c:v>2</c:v>
                      </c:pt>
                      <c:pt idx="7">
                        <c:v>4</c:v>
                      </c:pt>
                      <c:pt idx="8">
                        <c:v>3</c:v>
                      </c:pt>
                      <c:pt idx="9">
                        <c:v>4</c:v>
                      </c:pt>
                      <c:pt idx="10">
                        <c:v>3</c:v>
                      </c:pt>
                      <c:pt idx="11">
                        <c:v>2</c:v>
                      </c:pt>
                      <c:pt idx="12">
                        <c:v>2</c:v>
                      </c:pt>
                      <c:pt idx="13">
                        <c:v>1</c:v>
                      </c:pt>
                      <c:pt idx="14">
                        <c:v>3</c:v>
                      </c:pt>
                      <c:pt idx="15">
                        <c:v>2</c:v>
                      </c:pt>
                      <c:pt idx="16">
                        <c:v>3</c:v>
                      </c:pt>
                      <c:pt idx="17">
                        <c:v>2</c:v>
                      </c:pt>
                      <c:pt idx="18">
                        <c:v>6</c:v>
                      </c:pt>
                      <c:pt idx="19">
                        <c:v>5</c:v>
                      </c:pt>
                      <c:pt idx="20">
                        <c:v>4</c:v>
                      </c:pt>
                      <c:pt idx="21">
                        <c:v>5</c:v>
                      </c:pt>
                      <c:pt idx="22">
                        <c:v>4</c:v>
                      </c:pt>
                      <c:pt idx="23">
                        <c:v>5</c:v>
                      </c:pt>
                      <c:pt idx="24">
                        <c:v>6</c:v>
                      </c:pt>
                      <c:pt idx="25">
                        <c:v>4</c:v>
                      </c:pt>
                      <c:pt idx="26">
                        <c:v>3</c:v>
                      </c:pt>
                      <c:pt idx="27">
                        <c:v>4</c:v>
                      </c:pt>
                      <c:pt idx="28">
                        <c:v>3</c:v>
                      </c:pt>
                      <c:pt idx="29">
                        <c:v>2</c:v>
                      </c:pt>
                      <c:pt idx="30">
                        <c:v>1</c:v>
                      </c:pt>
                      <c:pt idx="31">
                        <c:v>1</c:v>
                      </c:pt>
                      <c:pt idx="32">
                        <c:v>1</c:v>
                      </c:pt>
                      <c:pt idx="33">
                        <c:v>0</c:v>
                      </c:pt>
                      <c:pt idx="34">
                        <c:v>1</c:v>
                      </c:pt>
                      <c:pt idx="35">
                        <c:v>1</c:v>
                      </c:pt>
                      <c:pt idx="36">
                        <c:v>1</c:v>
                      </c:pt>
                      <c:pt idx="37">
                        <c:v>2</c:v>
                      </c:pt>
                      <c:pt idx="38">
                        <c:v>2</c:v>
                      </c:pt>
                      <c:pt idx="39">
                        <c:v>2</c:v>
                      </c:pt>
                      <c:pt idx="40">
                        <c:v>0</c:v>
                      </c:pt>
                      <c:pt idx="41">
                        <c:v>0</c:v>
                      </c:pt>
                      <c:pt idx="42">
                        <c:v>2</c:v>
                      </c:pt>
                      <c:pt idx="43">
                        <c:v>5</c:v>
                      </c:pt>
                      <c:pt idx="44">
                        <c:v>3</c:v>
                      </c:pt>
                      <c:pt idx="45">
                        <c:v>3</c:v>
                      </c:pt>
                      <c:pt idx="46">
                        <c:v>3</c:v>
                      </c:pt>
                      <c:pt idx="47">
                        <c:v>2</c:v>
                      </c:pt>
                      <c:pt idx="48">
                        <c:v>2</c:v>
                      </c:pt>
                      <c:pt idx="49">
                        <c:v>1</c:v>
                      </c:pt>
                      <c:pt idx="50">
                        <c:v>0</c:v>
                      </c:pt>
                      <c:pt idx="51">
                        <c:v>0</c:v>
                      </c:pt>
                      <c:pt idx="52">
                        <c:v>1</c:v>
                      </c:pt>
                      <c:pt idx="53">
                        <c:v>1</c:v>
                      </c:pt>
                      <c:pt idx="54">
                        <c:v>2</c:v>
                      </c:pt>
                      <c:pt idx="55">
                        <c:v>1</c:v>
                      </c:pt>
                      <c:pt idx="56">
                        <c:v>0</c:v>
                      </c:pt>
                      <c:pt idx="57">
                        <c:v>0</c:v>
                      </c:pt>
                      <c:pt idx="58">
                        <c:v>0</c:v>
                      </c:pt>
                      <c:pt idx="59">
                        <c:v>0</c:v>
                      </c:pt>
                      <c:pt idx="60">
                        <c:v>1</c:v>
                      </c:pt>
                      <c:pt idx="61">
                        <c:v>1</c:v>
                      </c:pt>
                      <c:pt idx="62">
                        <c:v>2</c:v>
                      </c:pt>
                      <c:pt idx="63">
                        <c:v>2</c:v>
                      </c:pt>
                      <c:pt idx="64">
                        <c:v>2</c:v>
                      </c:pt>
                      <c:pt idx="65">
                        <c:v>3</c:v>
                      </c:pt>
                      <c:pt idx="66">
                        <c:v>1</c:v>
                      </c:pt>
                    </c:numCache>
                  </c:numRef>
                </c:val>
                <c:extLst xmlns:c15="http://schemas.microsoft.com/office/drawing/2012/chart">
                  <c:ext xmlns:c16="http://schemas.microsoft.com/office/drawing/2014/chart" uri="{C3380CC4-5D6E-409C-BE32-E72D297353CC}">
                    <c16:uniqueId val="{00000051-DE8D-488D-855A-43F38F7C7045}"/>
                  </c:ext>
                </c:extLst>
              </c15:ser>
            </c15:filteredBarSeries>
            <c15:filteredBarSeries>
              <c15:ser>
                <c:idx val="71"/>
                <c:order val="71"/>
                <c:tx>
                  <c:strRef>
                    <c:extLst xmlns:c15="http://schemas.microsoft.com/office/drawing/2012/chart">
                      <c:ext xmlns:c15="http://schemas.microsoft.com/office/drawing/2012/chart" uri="{02D57815-91ED-43cb-92C2-25804820EDAC}">
                        <c15:formulaRef>
                          <c15:sqref>'Table for graphs '!$A$73</c15:sqref>
                        </c15:formulaRef>
                      </c:ext>
                    </c:extLst>
                    <c:strCache>
                      <c:ptCount val="1"/>
                      <c:pt idx="0">
                        <c:v>Skin - Reported &gt;103 days</c:v>
                      </c:pt>
                    </c:strCache>
                  </c:strRef>
                </c:tx>
                <c:spPr>
                  <a:solidFill>
                    <a:schemeClr val="accent5">
                      <a:tint val="6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'!$B$73:$CB$73</c15:sqref>
                        </c15:formulaRef>
                      </c:ext>
                    </c:extLst>
                    <c:numCache>
                      <c:formatCode>0</c:formatCode>
                      <c:ptCount val="79"/>
                      <c:pt idx="0">
                        <c:v>5</c:v>
                      </c:pt>
                      <c:pt idx="1">
                        <c:v>5</c:v>
                      </c:pt>
                      <c:pt idx="2">
                        <c:v>6</c:v>
                      </c:pt>
                      <c:pt idx="3">
                        <c:v>6</c:v>
                      </c:pt>
                      <c:pt idx="4">
                        <c:v>6</c:v>
                      </c:pt>
                      <c:pt idx="5">
                        <c:v>5</c:v>
                      </c:pt>
                      <c:pt idx="6">
                        <c:v>6</c:v>
                      </c:pt>
                      <c:pt idx="7">
                        <c:v>6</c:v>
                      </c:pt>
                      <c:pt idx="8">
                        <c:v>8</c:v>
                      </c:pt>
                      <c:pt idx="9">
                        <c:v>6</c:v>
                      </c:pt>
                      <c:pt idx="10">
                        <c:v>7</c:v>
                      </c:pt>
                      <c:pt idx="11">
                        <c:v>5</c:v>
                      </c:pt>
                      <c:pt idx="12">
                        <c:v>5</c:v>
                      </c:pt>
                      <c:pt idx="13">
                        <c:v>6</c:v>
                      </c:pt>
                      <c:pt idx="14">
                        <c:v>6</c:v>
                      </c:pt>
                      <c:pt idx="15">
                        <c:v>9</c:v>
                      </c:pt>
                      <c:pt idx="16">
                        <c:v>9</c:v>
                      </c:pt>
                      <c:pt idx="17">
                        <c:v>7</c:v>
                      </c:pt>
                      <c:pt idx="18">
                        <c:v>9</c:v>
                      </c:pt>
                      <c:pt idx="19">
                        <c:v>13</c:v>
                      </c:pt>
                      <c:pt idx="20">
                        <c:v>13</c:v>
                      </c:pt>
                      <c:pt idx="21">
                        <c:v>17</c:v>
                      </c:pt>
                      <c:pt idx="22">
                        <c:v>15</c:v>
                      </c:pt>
                      <c:pt idx="23">
                        <c:v>15</c:v>
                      </c:pt>
                      <c:pt idx="24">
                        <c:v>17</c:v>
                      </c:pt>
                      <c:pt idx="25">
                        <c:v>14</c:v>
                      </c:pt>
                      <c:pt idx="26">
                        <c:v>8</c:v>
                      </c:pt>
                      <c:pt idx="27">
                        <c:v>7</c:v>
                      </c:pt>
                      <c:pt idx="28">
                        <c:v>5</c:v>
                      </c:pt>
                      <c:pt idx="29">
                        <c:v>5</c:v>
                      </c:pt>
                      <c:pt idx="30">
                        <c:v>4</c:v>
                      </c:pt>
                      <c:pt idx="31">
                        <c:v>2</c:v>
                      </c:pt>
                      <c:pt idx="32">
                        <c:v>3</c:v>
                      </c:pt>
                      <c:pt idx="33">
                        <c:v>3</c:v>
                      </c:pt>
                      <c:pt idx="34">
                        <c:v>4</c:v>
                      </c:pt>
                      <c:pt idx="35">
                        <c:v>3</c:v>
                      </c:pt>
                      <c:pt idx="36">
                        <c:v>4</c:v>
                      </c:pt>
                      <c:pt idx="37">
                        <c:v>2</c:v>
                      </c:pt>
                      <c:pt idx="38">
                        <c:v>3</c:v>
                      </c:pt>
                      <c:pt idx="39">
                        <c:v>6</c:v>
                      </c:pt>
                      <c:pt idx="40">
                        <c:v>5</c:v>
                      </c:pt>
                      <c:pt idx="41">
                        <c:v>5</c:v>
                      </c:pt>
                      <c:pt idx="42">
                        <c:v>2</c:v>
                      </c:pt>
                      <c:pt idx="43">
                        <c:v>3</c:v>
                      </c:pt>
                      <c:pt idx="44">
                        <c:v>1</c:v>
                      </c:pt>
                      <c:pt idx="45">
                        <c:v>2</c:v>
                      </c:pt>
                      <c:pt idx="46">
                        <c:v>5</c:v>
                      </c:pt>
                      <c:pt idx="47">
                        <c:v>6</c:v>
                      </c:pt>
                      <c:pt idx="48">
                        <c:v>8</c:v>
                      </c:pt>
                      <c:pt idx="49">
                        <c:v>8</c:v>
                      </c:pt>
                      <c:pt idx="50">
                        <c:v>7</c:v>
                      </c:pt>
                      <c:pt idx="51">
                        <c:v>10</c:v>
                      </c:pt>
                      <c:pt idx="52">
                        <c:v>9</c:v>
                      </c:pt>
                      <c:pt idx="53">
                        <c:v>8</c:v>
                      </c:pt>
                      <c:pt idx="54">
                        <c:v>6</c:v>
                      </c:pt>
                      <c:pt idx="55">
                        <c:v>7</c:v>
                      </c:pt>
                      <c:pt idx="56">
                        <c:v>6</c:v>
                      </c:pt>
                      <c:pt idx="57">
                        <c:v>12</c:v>
                      </c:pt>
                      <c:pt idx="58">
                        <c:v>7</c:v>
                      </c:pt>
                      <c:pt idx="59">
                        <c:v>9</c:v>
                      </c:pt>
                      <c:pt idx="60">
                        <c:v>9</c:v>
                      </c:pt>
                      <c:pt idx="61">
                        <c:v>8</c:v>
                      </c:pt>
                      <c:pt idx="62">
                        <c:v>6</c:v>
                      </c:pt>
                      <c:pt idx="63">
                        <c:v>6</c:v>
                      </c:pt>
                      <c:pt idx="64">
                        <c:v>8</c:v>
                      </c:pt>
                      <c:pt idx="65">
                        <c:v>8</c:v>
                      </c:pt>
                      <c:pt idx="66">
                        <c:v>8</c:v>
                      </c:pt>
                    </c:numCache>
                  </c:numRef>
                </c:val>
                <c:extLst xmlns:c15="http://schemas.microsoft.com/office/drawing/2012/chart">
                  <c:ext xmlns:c16="http://schemas.microsoft.com/office/drawing/2014/chart" uri="{C3380CC4-5D6E-409C-BE32-E72D297353CC}">
                    <c16:uniqueId val="{00000052-DE8D-488D-855A-43F38F7C7045}"/>
                  </c:ext>
                </c:extLst>
              </c15:ser>
            </c15:filteredBarSeries>
            <c15:filteredBarSeries>
              <c15:ser>
                <c:idx val="72"/>
                <c:order val="72"/>
                <c:tx>
                  <c:strRef>
                    <c:extLst xmlns:c15="http://schemas.microsoft.com/office/drawing/2012/chart">
                      <c:ext xmlns:c15="http://schemas.microsoft.com/office/drawing/2012/chart" uri="{02D57815-91ED-43cb-92C2-25804820EDAC}">
                        <c15:formulaRef>
                          <c15:sqref>'Table for graphs '!$A$74</c15:sqref>
                        </c15:formulaRef>
                      </c:ext>
                    </c:extLst>
                    <c:strCache>
                      <c:ptCount val="1"/>
                      <c:pt idx="0">
                        <c:v>Upper Gastrointestinal - Reported &gt;103 days</c:v>
                      </c:pt>
                    </c:strCache>
                  </c:strRef>
                </c:tx>
                <c:spPr>
                  <a:solidFill>
                    <a:schemeClr val="accent5">
                      <a:tint val="6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'!$B$74:$CB$74</c15:sqref>
                        </c15:formulaRef>
                      </c:ext>
                    </c:extLst>
                    <c:numCache>
                      <c:formatCode>0</c:formatCode>
                      <c:ptCount val="79"/>
                      <c:pt idx="0">
                        <c:v>30</c:v>
                      </c:pt>
                      <c:pt idx="1">
                        <c:v>33</c:v>
                      </c:pt>
                      <c:pt idx="2">
                        <c:v>28</c:v>
                      </c:pt>
                      <c:pt idx="3">
                        <c:v>25</c:v>
                      </c:pt>
                      <c:pt idx="4">
                        <c:v>27</c:v>
                      </c:pt>
                      <c:pt idx="5">
                        <c:v>29</c:v>
                      </c:pt>
                      <c:pt idx="6">
                        <c:v>32</c:v>
                      </c:pt>
                      <c:pt idx="7">
                        <c:v>32</c:v>
                      </c:pt>
                      <c:pt idx="8">
                        <c:v>30</c:v>
                      </c:pt>
                      <c:pt idx="9">
                        <c:v>33</c:v>
                      </c:pt>
                      <c:pt idx="10">
                        <c:v>29</c:v>
                      </c:pt>
                      <c:pt idx="11">
                        <c:v>27</c:v>
                      </c:pt>
                      <c:pt idx="12">
                        <c:v>30</c:v>
                      </c:pt>
                      <c:pt idx="13">
                        <c:v>38</c:v>
                      </c:pt>
                      <c:pt idx="14">
                        <c:v>44</c:v>
                      </c:pt>
                      <c:pt idx="15">
                        <c:v>39</c:v>
                      </c:pt>
                      <c:pt idx="16">
                        <c:v>35</c:v>
                      </c:pt>
                      <c:pt idx="17">
                        <c:v>35</c:v>
                      </c:pt>
                      <c:pt idx="18">
                        <c:v>34</c:v>
                      </c:pt>
                      <c:pt idx="19">
                        <c:v>26</c:v>
                      </c:pt>
                      <c:pt idx="20">
                        <c:v>25</c:v>
                      </c:pt>
                      <c:pt idx="21">
                        <c:v>24</c:v>
                      </c:pt>
                      <c:pt idx="22">
                        <c:v>21</c:v>
                      </c:pt>
                      <c:pt idx="23">
                        <c:v>18</c:v>
                      </c:pt>
                      <c:pt idx="24">
                        <c:v>17</c:v>
                      </c:pt>
                      <c:pt idx="25">
                        <c:v>19</c:v>
                      </c:pt>
                      <c:pt idx="26">
                        <c:v>20</c:v>
                      </c:pt>
                      <c:pt idx="27">
                        <c:v>18</c:v>
                      </c:pt>
                      <c:pt idx="28">
                        <c:v>13</c:v>
                      </c:pt>
                      <c:pt idx="29">
                        <c:v>15</c:v>
                      </c:pt>
                      <c:pt idx="30">
                        <c:v>19</c:v>
                      </c:pt>
                      <c:pt idx="31">
                        <c:v>22</c:v>
                      </c:pt>
                      <c:pt idx="32">
                        <c:v>18</c:v>
                      </c:pt>
                      <c:pt idx="33">
                        <c:v>19</c:v>
                      </c:pt>
                      <c:pt idx="34">
                        <c:v>17</c:v>
                      </c:pt>
                      <c:pt idx="35">
                        <c:v>17</c:v>
                      </c:pt>
                      <c:pt idx="36">
                        <c:v>10</c:v>
                      </c:pt>
                      <c:pt idx="37">
                        <c:v>12</c:v>
                      </c:pt>
                      <c:pt idx="38">
                        <c:v>12</c:v>
                      </c:pt>
                      <c:pt idx="39">
                        <c:v>15</c:v>
                      </c:pt>
                      <c:pt idx="40">
                        <c:v>10</c:v>
                      </c:pt>
                      <c:pt idx="41">
                        <c:v>16</c:v>
                      </c:pt>
                      <c:pt idx="42">
                        <c:v>15</c:v>
                      </c:pt>
                      <c:pt idx="43">
                        <c:v>13</c:v>
                      </c:pt>
                      <c:pt idx="44">
                        <c:v>13</c:v>
                      </c:pt>
                      <c:pt idx="45">
                        <c:v>13</c:v>
                      </c:pt>
                      <c:pt idx="46">
                        <c:v>12</c:v>
                      </c:pt>
                      <c:pt idx="47">
                        <c:v>14</c:v>
                      </c:pt>
                      <c:pt idx="48">
                        <c:v>11</c:v>
                      </c:pt>
                      <c:pt idx="49">
                        <c:v>12</c:v>
                      </c:pt>
                      <c:pt idx="50">
                        <c:v>15</c:v>
                      </c:pt>
                      <c:pt idx="51">
                        <c:v>16</c:v>
                      </c:pt>
                      <c:pt idx="52">
                        <c:v>17</c:v>
                      </c:pt>
                      <c:pt idx="53">
                        <c:v>20</c:v>
                      </c:pt>
                      <c:pt idx="54">
                        <c:v>16</c:v>
                      </c:pt>
                      <c:pt idx="55">
                        <c:v>17</c:v>
                      </c:pt>
                      <c:pt idx="56">
                        <c:v>17</c:v>
                      </c:pt>
                      <c:pt idx="57">
                        <c:v>18</c:v>
                      </c:pt>
                      <c:pt idx="58">
                        <c:v>15</c:v>
                      </c:pt>
                      <c:pt idx="59">
                        <c:v>17</c:v>
                      </c:pt>
                      <c:pt idx="60">
                        <c:v>17</c:v>
                      </c:pt>
                      <c:pt idx="61">
                        <c:v>19</c:v>
                      </c:pt>
                      <c:pt idx="62">
                        <c:v>17</c:v>
                      </c:pt>
                      <c:pt idx="63">
                        <c:v>17</c:v>
                      </c:pt>
                      <c:pt idx="64">
                        <c:v>15</c:v>
                      </c:pt>
                      <c:pt idx="65">
                        <c:v>15</c:v>
                      </c:pt>
                      <c:pt idx="66">
                        <c:v>16</c:v>
                      </c:pt>
                    </c:numCache>
                  </c:numRef>
                </c:val>
                <c:extLst xmlns:c15="http://schemas.microsoft.com/office/drawing/2012/chart">
                  <c:ext xmlns:c16="http://schemas.microsoft.com/office/drawing/2014/chart" uri="{C3380CC4-5D6E-409C-BE32-E72D297353CC}">
                    <c16:uniqueId val="{00000053-DE8D-488D-855A-43F38F7C7045}"/>
                  </c:ext>
                </c:extLst>
              </c15:ser>
            </c15:filteredBarSeries>
            <c15:filteredBarSeries>
              <c15:ser>
                <c:idx val="73"/>
                <c:order val="73"/>
                <c:tx>
                  <c:strRef>
                    <c:extLst xmlns:c15="http://schemas.microsoft.com/office/drawing/2012/chart">
                      <c:ext xmlns:c15="http://schemas.microsoft.com/office/drawing/2012/chart" uri="{02D57815-91ED-43cb-92C2-25804820EDAC}">
                        <c15:formulaRef>
                          <c15:sqref>'Table for graphs '!$A$75</c15:sqref>
                        </c15:formulaRef>
                      </c:ext>
                    </c:extLst>
                    <c:strCache>
                      <c:ptCount val="1"/>
                      <c:pt idx="0">
                        <c:v>Urological - Reported &gt;103 days</c:v>
                      </c:pt>
                    </c:strCache>
                  </c:strRef>
                </c:tx>
                <c:spPr>
                  <a:solidFill>
                    <a:schemeClr val="accent5">
                      <a:tint val="6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'!$B$75:$CB$75</c15:sqref>
                        </c15:formulaRef>
                      </c:ext>
                    </c:extLst>
                    <c:numCache>
                      <c:formatCode>0</c:formatCode>
                      <c:ptCount val="79"/>
                      <c:pt idx="0">
                        <c:v>34</c:v>
                      </c:pt>
                      <c:pt idx="1">
                        <c:v>36</c:v>
                      </c:pt>
                      <c:pt idx="2">
                        <c:v>36</c:v>
                      </c:pt>
                      <c:pt idx="3">
                        <c:v>30</c:v>
                      </c:pt>
                      <c:pt idx="4">
                        <c:v>28</c:v>
                      </c:pt>
                      <c:pt idx="5">
                        <c:v>30</c:v>
                      </c:pt>
                      <c:pt idx="6">
                        <c:v>37</c:v>
                      </c:pt>
                      <c:pt idx="7">
                        <c:v>35</c:v>
                      </c:pt>
                      <c:pt idx="8">
                        <c:v>36</c:v>
                      </c:pt>
                      <c:pt idx="9">
                        <c:v>36</c:v>
                      </c:pt>
                      <c:pt idx="10">
                        <c:v>30</c:v>
                      </c:pt>
                      <c:pt idx="11">
                        <c:v>29</c:v>
                      </c:pt>
                      <c:pt idx="12">
                        <c:v>29</c:v>
                      </c:pt>
                      <c:pt idx="13">
                        <c:v>29</c:v>
                      </c:pt>
                      <c:pt idx="14">
                        <c:v>28</c:v>
                      </c:pt>
                      <c:pt idx="15">
                        <c:v>21</c:v>
                      </c:pt>
                      <c:pt idx="16">
                        <c:v>21</c:v>
                      </c:pt>
                      <c:pt idx="17">
                        <c:v>20</c:v>
                      </c:pt>
                      <c:pt idx="18">
                        <c:v>22</c:v>
                      </c:pt>
                      <c:pt idx="19">
                        <c:v>20</c:v>
                      </c:pt>
                      <c:pt idx="20">
                        <c:v>21</c:v>
                      </c:pt>
                      <c:pt idx="21">
                        <c:v>24</c:v>
                      </c:pt>
                      <c:pt idx="22">
                        <c:v>22</c:v>
                      </c:pt>
                      <c:pt idx="23">
                        <c:v>20</c:v>
                      </c:pt>
                      <c:pt idx="24">
                        <c:v>25</c:v>
                      </c:pt>
                      <c:pt idx="25">
                        <c:v>24</c:v>
                      </c:pt>
                      <c:pt idx="26">
                        <c:v>25</c:v>
                      </c:pt>
                      <c:pt idx="27">
                        <c:v>23</c:v>
                      </c:pt>
                      <c:pt idx="28">
                        <c:v>24</c:v>
                      </c:pt>
                      <c:pt idx="29">
                        <c:v>20</c:v>
                      </c:pt>
                      <c:pt idx="30">
                        <c:v>19</c:v>
                      </c:pt>
                      <c:pt idx="31">
                        <c:v>21</c:v>
                      </c:pt>
                      <c:pt idx="32">
                        <c:v>19</c:v>
                      </c:pt>
                      <c:pt idx="33">
                        <c:v>21</c:v>
                      </c:pt>
                      <c:pt idx="34">
                        <c:v>19</c:v>
                      </c:pt>
                      <c:pt idx="35">
                        <c:v>22</c:v>
                      </c:pt>
                      <c:pt idx="36">
                        <c:v>24</c:v>
                      </c:pt>
                      <c:pt idx="37">
                        <c:v>24</c:v>
                      </c:pt>
                      <c:pt idx="38">
                        <c:v>23</c:v>
                      </c:pt>
                      <c:pt idx="39">
                        <c:v>22</c:v>
                      </c:pt>
                      <c:pt idx="40">
                        <c:v>21</c:v>
                      </c:pt>
                      <c:pt idx="41">
                        <c:v>20</c:v>
                      </c:pt>
                      <c:pt idx="42">
                        <c:v>20</c:v>
                      </c:pt>
                      <c:pt idx="43">
                        <c:v>19</c:v>
                      </c:pt>
                      <c:pt idx="44">
                        <c:v>20</c:v>
                      </c:pt>
                      <c:pt idx="45">
                        <c:v>16</c:v>
                      </c:pt>
                      <c:pt idx="46">
                        <c:v>13</c:v>
                      </c:pt>
                      <c:pt idx="47">
                        <c:v>17</c:v>
                      </c:pt>
                      <c:pt idx="48">
                        <c:v>19</c:v>
                      </c:pt>
                      <c:pt idx="49">
                        <c:v>21</c:v>
                      </c:pt>
                      <c:pt idx="50">
                        <c:v>22</c:v>
                      </c:pt>
                      <c:pt idx="51">
                        <c:v>23</c:v>
                      </c:pt>
                      <c:pt idx="52">
                        <c:v>24</c:v>
                      </c:pt>
                      <c:pt idx="53">
                        <c:v>21</c:v>
                      </c:pt>
                      <c:pt idx="54">
                        <c:v>24</c:v>
                      </c:pt>
                      <c:pt idx="55">
                        <c:v>26</c:v>
                      </c:pt>
                      <c:pt idx="56">
                        <c:v>25</c:v>
                      </c:pt>
                      <c:pt idx="57">
                        <c:v>23</c:v>
                      </c:pt>
                      <c:pt idx="58">
                        <c:v>26</c:v>
                      </c:pt>
                      <c:pt idx="59">
                        <c:v>24</c:v>
                      </c:pt>
                      <c:pt idx="60">
                        <c:v>20</c:v>
                      </c:pt>
                      <c:pt idx="61">
                        <c:v>19</c:v>
                      </c:pt>
                      <c:pt idx="62">
                        <c:v>20</c:v>
                      </c:pt>
                      <c:pt idx="63">
                        <c:v>19</c:v>
                      </c:pt>
                      <c:pt idx="64">
                        <c:v>24</c:v>
                      </c:pt>
                      <c:pt idx="65">
                        <c:v>27</c:v>
                      </c:pt>
                      <c:pt idx="66">
                        <c:v>25</c:v>
                      </c:pt>
                    </c:numCache>
                  </c:numRef>
                </c:val>
                <c:extLst xmlns:c15="http://schemas.microsoft.com/office/drawing/2012/chart">
                  <c:ext xmlns:c16="http://schemas.microsoft.com/office/drawing/2014/chart" uri="{C3380CC4-5D6E-409C-BE32-E72D297353CC}">
                    <c16:uniqueId val="{00000054-DE8D-488D-855A-43F38F7C7045}"/>
                  </c:ext>
                </c:extLst>
              </c15:ser>
            </c15:filteredBarSeries>
            <c15:filteredBarSeries>
              <c15:ser>
                <c:idx val="75"/>
                <c:order val="75"/>
                <c:tx>
                  <c:strRef>
                    <c:extLst xmlns:c15="http://schemas.microsoft.com/office/drawing/2012/chart">
                      <c:ext xmlns:c15="http://schemas.microsoft.com/office/drawing/2012/chart" uri="{02D57815-91ED-43cb-92C2-25804820EDAC}">
                        <c15:formulaRef>
                          <c15:sqref>'Table for graphs '!$A$77</c15:sqref>
                        </c15:formulaRef>
                      </c:ext>
                    </c:extLst>
                    <c:strCache>
                      <c:ptCount val="1"/>
                      <c:pt idx="0">
                        <c:v>Acute Leukaemia - Reported Backlog Total</c:v>
                      </c:pt>
                    </c:strCache>
                  </c:strRef>
                </c:tx>
                <c:spPr>
                  <a:solidFill>
                    <a:schemeClr val="accent5">
                      <a:tint val="5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'!$B$77:$CB$77</c15:sqref>
                        </c15:formulaRef>
                      </c:ext>
                    </c:extLst>
                    <c:numCache>
                      <c:formatCode>0</c:formatCode>
                      <c:ptCount val="79"/>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numCache>
                  </c:numRef>
                </c:val>
                <c:extLst xmlns:c15="http://schemas.microsoft.com/office/drawing/2012/chart">
                  <c:ext xmlns:c16="http://schemas.microsoft.com/office/drawing/2014/chart" uri="{C3380CC4-5D6E-409C-BE32-E72D297353CC}">
                    <c16:uniqueId val="{00000055-DE8D-488D-855A-43F38F7C7045}"/>
                  </c:ext>
                </c:extLst>
              </c15:ser>
            </c15:filteredBarSeries>
            <c15:filteredBarSeries>
              <c15:ser>
                <c:idx val="76"/>
                <c:order val="76"/>
                <c:tx>
                  <c:strRef>
                    <c:extLst xmlns:c15="http://schemas.microsoft.com/office/drawing/2012/chart">
                      <c:ext xmlns:c15="http://schemas.microsoft.com/office/drawing/2012/chart" uri="{02D57815-91ED-43cb-92C2-25804820EDAC}">
                        <c15:formulaRef>
                          <c15:sqref>'Table for graphs '!$A$78</c15:sqref>
                        </c15:formulaRef>
                      </c:ext>
                    </c:extLst>
                    <c:strCache>
                      <c:ptCount val="1"/>
                      <c:pt idx="0">
                        <c:v>Brain/CNS - Reported Backlog Total</c:v>
                      </c:pt>
                    </c:strCache>
                  </c:strRef>
                </c:tx>
                <c:spPr>
                  <a:solidFill>
                    <a:schemeClr val="accent5">
                      <a:tint val="5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'!$B$78:$CB$78</c15:sqref>
                        </c15:formulaRef>
                      </c:ext>
                    </c:extLst>
                    <c:numCache>
                      <c:formatCode>0</c:formatCode>
                      <c:ptCount val="79"/>
                      <c:pt idx="0">
                        <c:v>1</c:v>
                      </c:pt>
                      <c:pt idx="1">
                        <c:v>1</c:v>
                      </c:pt>
                      <c:pt idx="2">
                        <c:v>1</c:v>
                      </c:pt>
                      <c:pt idx="3">
                        <c:v>2</c:v>
                      </c:pt>
                      <c:pt idx="4">
                        <c:v>0</c:v>
                      </c:pt>
                      <c:pt idx="5">
                        <c:v>0</c:v>
                      </c:pt>
                      <c:pt idx="6">
                        <c:v>1</c:v>
                      </c:pt>
                      <c:pt idx="7">
                        <c:v>2</c:v>
                      </c:pt>
                      <c:pt idx="8">
                        <c:v>2</c:v>
                      </c:pt>
                      <c:pt idx="9">
                        <c:v>0</c:v>
                      </c:pt>
                      <c:pt idx="10">
                        <c:v>1</c:v>
                      </c:pt>
                      <c:pt idx="11">
                        <c:v>1</c:v>
                      </c:pt>
                      <c:pt idx="12">
                        <c:v>2</c:v>
                      </c:pt>
                      <c:pt idx="13">
                        <c:v>2</c:v>
                      </c:pt>
                      <c:pt idx="14">
                        <c:v>2</c:v>
                      </c:pt>
                      <c:pt idx="15">
                        <c:v>2</c:v>
                      </c:pt>
                      <c:pt idx="16">
                        <c:v>3</c:v>
                      </c:pt>
                      <c:pt idx="17">
                        <c:v>0</c:v>
                      </c:pt>
                      <c:pt idx="18">
                        <c:v>0</c:v>
                      </c:pt>
                      <c:pt idx="19">
                        <c:v>0</c:v>
                      </c:pt>
                      <c:pt idx="20">
                        <c:v>0</c:v>
                      </c:pt>
                      <c:pt idx="21">
                        <c:v>0</c:v>
                      </c:pt>
                      <c:pt idx="22">
                        <c:v>1</c:v>
                      </c:pt>
                      <c:pt idx="23">
                        <c:v>1</c:v>
                      </c:pt>
                      <c:pt idx="24">
                        <c:v>1</c:v>
                      </c:pt>
                      <c:pt idx="25">
                        <c:v>0</c:v>
                      </c:pt>
                      <c:pt idx="26">
                        <c:v>2</c:v>
                      </c:pt>
                      <c:pt idx="27">
                        <c:v>1</c:v>
                      </c:pt>
                      <c:pt idx="28">
                        <c:v>1</c:v>
                      </c:pt>
                      <c:pt idx="29">
                        <c:v>1</c:v>
                      </c:pt>
                      <c:pt idx="30">
                        <c:v>1</c:v>
                      </c:pt>
                      <c:pt idx="31">
                        <c:v>1</c:v>
                      </c:pt>
                      <c:pt idx="32">
                        <c:v>2</c:v>
                      </c:pt>
                      <c:pt idx="33">
                        <c:v>3</c:v>
                      </c:pt>
                      <c:pt idx="34">
                        <c:v>3</c:v>
                      </c:pt>
                      <c:pt idx="35">
                        <c:v>2</c:v>
                      </c:pt>
                      <c:pt idx="36">
                        <c:v>2</c:v>
                      </c:pt>
                      <c:pt idx="37">
                        <c:v>3</c:v>
                      </c:pt>
                      <c:pt idx="38">
                        <c:v>3</c:v>
                      </c:pt>
                      <c:pt idx="39">
                        <c:v>2</c:v>
                      </c:pt>
                      <c:pt idx="40">
                        <c:v>1</c:v>
                      </c:pt>
                      <c:pt idx="41">
                        <c:v>1</c:v>
                      </c:pt>
                      <c:pt idx="42">
                        <c:v>1</c:v>
                      </c:pt>
                      <c:pt idx="43">
                        <c:v>1</c:v>
                      </c:pt>
                      <c:pt idx="44">
                        <c:v>2</c:v>
                      </c:pt>
                      <c:pt idx="45">
                        <c:v>2</c:v>
                      </c:pt>
                      <c:pt idx="46">
                        <c:v>2</c:v>
                      </c:pt>
                      <c:pt idx="47">
                        <c:v>1</c:v>
                      </c:pt>
                      <c:pt idx="48">
                        <c:v>1</c:v>
                      </c:pt>
                      <c:pt idx="49">
                        <c:v>1</c:v>
                      </c:pt>
                      <c:pt idx="50">
                        <c:v>1</c:v>
                      </c:pt>
                      <c:pt idx="51">
                        <c:v>0</c:v>
                      </c:pt>
                      <c:pt idx="52">
                        <c:v>2</c:v>
                      </c:pt>
                      <c:pt idx="53">
                        <c:v>2</c:v>
                      </c:pt>
                      <c:pt idx="54">
                        <c:v>2</c:v>
                      </c:pt>
                      <c:pt idx="55">
                        <c:v>1</c:v>
                      </c:pt>
                      <c:pt idx="56">
                        <c:v>0</c:v>
                      </c:pt>
                      <c:pt idx="57">
                        <c:v>0</c:v>
                      </c:pt>
                      <c:pt idx="58">
                        <c:v>0</c:v>
                      </c:pt>
                      <c:pt idx="59">
                        <c:v>0</c:v>
                      </c:pt>
                      <c:pt idx="60">
                        <c:v>0</c:v>
                      </c:pt>
                      <c:pt idx="61">
                        <c:v>0</c:v>
                      </c:pt>
                      <c:pt idx="62">
                        <c:v>0</c:v>
                      </c:pt>
                      <c:pt idx="63">
                        <c:v>0</c:v>
                      </c:pt>
                      <c:pt idx="64">
                        <c:v>0</c:v>
                      </c:pt>
                      <c:pt idx="65">
                        <c:v>0</c:v>
                      </c:pt>
                      <c:pt idx="66">
                        <c:v>0</c:v>
                      </c:pt>
                    </c:numCache>
                  </c:numRef>
                </c:val>
                <c:extLst xmlns:c15="http://schemas.microsoft.com/office/drawing/2012/chart">
                  <c:ext xmlns:c16="http://schemas.microsoft.com/office/drawing/2014/chart" uri="{C3380CC4-5D6E-409C-BE32-E72D297353CC}">
                    <c16:uniqueId val="{00000056-DE8D-488D-855A-43F38F7C7045}"/>
                  </c:ext>
                </c:extLst>
              </c15:ser>
            </c15:filteredBarSeries>
            <c15:filteredBarSeries>
              <c15:ser>
                <c:idx val="77"/>
                <c:order val="77"/>
                <c:tx>
                  <c:strRef>
                    <c:extLst xmlns:c15="http://schemas.microsoft.com/office/drawing/2012/chart">
                      <c:ext xmlns:c15="http://schemas.microsoft.com/office/drawing/2012/chart" uri="{02D57815-91ED-43cb-92C2-25804820EDAC}">
                        <c15:formulaRef>
                          <c15:sqref>'Table for graphs '!$A$79</c15:sqref>
                        </c15:formulaRef>
                      </c:ext>
                    </c:extLst>
                    <c:strCache>
                      <c:ptCount val="1"/>
                      <c:pt idx="0">
                        <c:v>Breast - Reported Backlog Total</c:v>
                      </c:pt>
                    </c:strCache>
                  </c:strRef>
                </c:tx>
                <c:spPr>
                  <a:solidFill>
                    <a:schemeClr val="accent5">
                      <a:tint val="5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'!$B$79:$CB$79</c15:sqref>
                        </c15:formulaRef>
                      </c:ext>
                    </c:extLst>
                    <c:numCache>
                      <c:formatCode>0</c:formatCode>
                      <c:ptCount val="79"/>
                      <c:pt idx="0">
                        <c:v>24</c:v>
                      </c:pt>
                      <c:pt idx="1">
                        <c:v>25</c:v>
                      </c:pt>
                      <c:pt idx="2">
                        <c:v>24</c:v>
                      </c:pt>
                      <c:pt idx="3">
                        <c:v>23</c:v>
                      </c:pt>
                      <c:pt idx="4">
                        <c:v>20</c:v>
                      </c:pt>
                      <c:pt idx="5">
                        <c:v>22</c:v>
                      </c:pt>
                      <c:pt idx="6">
                        <c:v>21</c:v>
                      </c:pt>
                      <c:pt idx="7">
                        <c:v>20</c:v>
                      </c:pt>
                      <c:pt idx="8">
                        <c:v>20</c:v>
                      </c:pt>
                      <c:pt idx="9">
                        <c:v>16</c:v>
                      </c:pt>
                      <c:pt idx="10">
                        <c:v>19</c:v>
                      </c:pt>
                      <c:pt idx="11">
                        <c:v>18</c:v>
                      </c:pt>
                      <c:pt idx="12">
                        <c:v>19</c:v>
                      </c:pt>
                      <c:pt idx="13">
                        <c:v>18</c:v>
                      </c:pt>
                      <c:pt idx="14">
                        <c:v>20</c:v>
                      </c:pt>
                      <c:pt idx="15">
                        <c:v>19</c:v>
                      </c:pt>
                      <c:pt idx="16">
                        <c:v>18</c:v>
                      </c:pt>
                      <c:pt idx="17">
                        <c:v>21</c:v>
                      </c:pt>
                      <c:pt idx="18">
                        <c:v>21</c:v>
                      </c:pt>
                      <c:pt idx="19">
                        <c:v>21</c:v>
                      </c:pt>
                      <c:pt idx="20">
                        <c:v>13</c:v>
                      </c:pt>
                      <c:pt idx="21">
                        <c:v>12.74</c:v>
                      </c:pt>
                      <c:pt idx="22">
                        <c:v>12.298999999999999</c:v>
                      </c:pt>
                      <c:pt idx="23">
                        <c:v>8</c:v>
                      </c:pt>
                      <c:pt idx="24">
                        <c:v>8</c:v>
                      </c:pt>
                      <c:pt idx="25">
                        <c:v>8</c:v>
                      </c:pt>
                      <c:pt idx="26">
                        <c:v>11</c:v>
                      </c:pt>
                      <c:pt idx="27">
                        <c:v>11</c:v>
                      </c:pt>
                      <c:pt idx="28">
                        <c:v>7</c:v>
                      </c:pt>
                      <c:pt idx="29">
                        <c:v>10</c:v>
                      </c:pt>
                      <c:pt idx="30">
                        <c:v>13</c:v>
                      </c:pt>
                      <c:pt idx="31">
                        <c:v>13</c:v>
                      </c:pt>
                      <c:pt idx="32">
                        <c:v>19</c:v>
                      </c:pt>
                      <c:pt idx="33">
                        <c:v>17</c:v>
                      </c:pt>
                      <c:pt idx="34">
                        <c:v>21</c:v>
                      </c:pt>
                      <c:pt idx="35">
                        <c:v>20</c:v>
                      </c:pt>
                      <c:pt idx="36">
                        <c:v>19</c:v>
                      </c:pt>
                      <c:pt idx="37">
                        <c:v>21</c:v>
                      </c:pt>
                      <c:pt idx="38">
                        <c:v>17</c:v>
                      </c:pt>
                      <c:pt idx="39">
                        <c:v>14</c:v>
                      </c:pt>
                      <c:pt idx="40">
                        <c:v>13</c:v>
                      </c:pt>
                      <c:pt idx="41">
                        <c:v>14</c:v>
                      </c:pt>
                      <c:pt idx="42">
                        <c:v>14</c:v>
                      </c:pt>
                      <c:pt idx="43">
                        <c:v>9</c:v>
                      </c:pt>
                      <c:pt idx="44">
                        <c:v>10</c:v>
                      </c:pt>
                      <c:pt idx="45">
                        <c:v>14</c:v>
                      </c:pt>
                      <c:pt idx="46">
                        <c:v>16</c:v>
                      </c:pt>
                      <c:pt idx="47">
                        <c:v>16</c:v>
                      </c:pt>
                      <c:pt idx="48">
                        <c:v>20</c:v>
                      </c:pt>
                      <c:pt idx="49">
                        <c:v>20</c:v>
                      </c:pt>
                      <c:pt idx="50">
                        <c:v>18</c:v>
                      </c:pt>
                      <c:pt idx="51">
                        <c:v>17</c:v>
                      </c:pt>
                      <c:pt idx="52">
                        <c:v>16</c:v>
                      </c:pt>
                      <c:pt idx="53">
                        <c:v>20</c:v>
                      </c:pt>
                      <c:pt idx="54">
                        <c:v>26</c:v>
                      </c:pt>
                      <c:pt idx="55">
                        <c:v>29</c:v>
                      </c:pt>
                      <c:pt idx="56">
                        <c:v>27</c:v>
                      </c:pt>
                      <c:pt idx="57">
                        <c:v>29</c:v>
                      </c:pt>
                      <c:pt idx="58">
                        <c:v>28</c:v>
                      </c:pt>
                      <c:pt idx="59">
                        <c:v>29</c:v>
                      </c:pt>
                      <c:pt idx="60">
                        <c:v>32</c:v>
                      </c:pt>
                      <c:pt idx="61">
                        <c:v>26</c:v>
                      </c:pt>
                      <c:pt idx="62">
                        <c:v>27</c:v>
                      </c:pt>
                      <c:pt idx="63">
                        <c:v>22</c:v>
                      </c:pt>
                      <c:pt idx="64">
                        <c:v>18</c:v>
                      </c:pt>
                      <c:pt idx="65">
                        <c:v>19</c:v>
                      </c:pt>
                      <c:pt idx="66">
                        <c:v>18</c:v>
                      </c:pt>
                    </c:numCache>
                  </c:numRef>
                </c:val>
                <c:extLst xmlns:c15="http://schemas.microsoft.com/office/drawing/2012/chart">
                  <c:ext xmlns:c16="http://schemas.microsoft.com/office/drawing/2014/chart" uri="{C3380CC4-5D6E-409C-BE32-E72D297353CC}">
                    <c16:uniqueId val="{00000057-DE8D-488D-855A-43F38F7C7045}"/>
                  </c:ext>
                </c:extLst>
              </c15:ser>
            </c15:filteredBarSeries>
            <c15:filteredBarSeries>
              <c15:ser>
                <c:idx val="78"/>
                <c:order val="78"/>
                <c:tx>
                  <c:strRef>
                    <c:extLst xmlns:c15="http://schemas.microsoft.com/office/drawing/2012/chart">
                      <c:ext xmlns:c15="http://schemas.microsoft.com/office/drawing/2012/chart" uri="{02D57815-91ED-43cb-92C2-25804820EDAC}">
                        <c15:formulaRef>
                          <c15:sqref>'Table for graphs '!$A$80</c15:sqref>
                        </c15:formulaRef>
                      </c:ext>
                    </c:extLst>
                    <c:strCache>
                      <c:ptCount val="1"/>
                      <c:pt idx="0">
                        <c:v>Children's cancer - Reported Backlog Total</c:v>
                      </c:pt>
                    </c:strCache>
                  </c:strRef>
                </c:tx>
                <c:spPr>
                  <a:solidFill>
                    <a:schemeClr val="accent5">
                      <a:tint val="5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'!$B$80:$CB$80</c15:sqref>
                        </c15:formulaRef>
                      </c:ext>
                    </c:extLst>
                    <c:numCache>
                      <c:formatCode>0</c:formatCode>
                      <c:ptCount val="79"/>
                      <c:pt idx="0">
                        <c:v>0</c:v>
                      </c:pt>
                      <c:pt idx="1">
                        <c:v>0</c:v>
                      </c:pt>
                      <c:pt idx="2">
                        <c:v>0</c:v>
                      </c:pt>
                      <c:pt idx="3">
                        <c:v>0</c:v>
                      </c:pt>
                      <c:pt idx="4">
                        <c:v>0</c:v>
                      </c:pt>
                      <c:pt idx="5">
                        <c:v>0</c:v>
                      </c:pt>
                      <c:pt idx="6">
                        <c:v>0</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1</c:v>
                      </c:pt>
                      <c:pt idx="48">
                        <c:v>0</c:v>
                      </c:pt>
                      <c:pt idx="49">
                        <c:v>1</c:v>
                      </c:pt>
                      <c:pt idx="50">
                        <c:v>1</c:v>
                      </c:pt>
                      <c:pt idx="51">
                        <c:v>2</c:v>
                      </c:pt>
                      <c:pt idx="52">
                        <c:v>0</c:v>
                      </c:pt>
                      <c:pt idx="53">
                        <c:v>0</c:v>
                      </c:pt>
                      <c:pt idx="54">
                        <c:v>0</c:v>
                      </c:pt>
                      <c:pt idx="55">
                        <c:v>0</c:v>
                      </c:pt>
                      <c:pt idx="56">
                        <c:v>0</c:v>
                      </c:pt>
                      <c:pt idx="57">
                        <c:v>0</c:v>
                      </c:pt>
                      <c:pt idx="58">
                        <c:v>0</c:v>
                      </c:pt>
                      <c:pt idx="59">
                        <c:v>1</c:v>
                      </c:pt>
                      <c:pt idx="60">
                        <c:v>0</c:v>
                      </c:pt>
                      <c:pt idx="61">
                        <c:v>1</c:v>
                      </c:pt>
                      <c:pt idx="62">
                        <c:v>1</c:v>
                      </c:pt>
                      <c:pt idx="63">
                        <c:v>1</c:v>
                      </c:pt>
                      <c:pt idx="64">
                        <c:v>1</c:v>
                      </c:pt>
                      <c:pt idx="65">
                        <c:v>0</c:v>
                      </c:pt>
                      <c:pt idx="66">
                        <c:v>0</c:v>
                      </c:pt>
                    </c:numCache>
                  </c:numRef>
                </c:val>
                <c:extLst xmlns:c15="http://schemas.microsoft.com/office/drawing/2012/chart">
                  <c:ext xmlns:c16="http://schemas.microsoft.com/office/drawing/2014/chart" uri="{C3380CC4-5D6E-409C-BE32-E72D297353CC}">
                    <c16:uniqueId val="{00000058-DE8D-488D-855A-43F38F7C7045}"/>
                  </c:ext>
                </c:extLst>
              </c15:ser>
            </c15:filteredBarSeries>
            <c15:filteredBarSeries>
              <c15:ser>
                <c:idx val="79"/>
                <c:order val="79"/>
                <c:tx>
                  <c:strRef>
                    <c:extLst xmlns:c15="http://schemas.microsoft.com/office/drawing/2012/chart">
                      <c:ext xmlns:c15="http://schemas.microsoft.com/office/drawing/2012/chart" uri="{02D57815-91ED-43cb-92C2-25804820EDAC}">
                        <c15:formulaRef>
                          <c15:sqref>'Table for graphs '!$A$81</c15:sqref>
                        </c15:formulaRef>
                      </c:ext>
                    </c:extLst>
                    <c:strCache>
                      <c:ptCount val="1"/>
                      <c:pt idx="0">
                        <c:v>Gynaecological - Reported Backlog Total</c:v>
                      </c:pt>
                    </c:strCache>
                  </c:strRef>
                </c:tx>
                <c:spPr>
                  <a:solidFill>
                    <a:schemeClr val="accent5">
                      <a:tint val="5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'!$B$81:$CB$81</c15:sqref>
                        </c15:formulaRef>
                      </c:ext>
                    </c:extLst>
                    <c:numCache>
                      <c:formatCode>0</c:formatCode>
                      <c:ptCount val="79"/>
                      <c:pt idx="0">
                        <c:v>61</c:v>
                      </c:pt>
                      <c:pt idx="1">
                        <c:v>58</c:v>
                      </c:pt>
                      <c:pt idx="2">
                        <c:v>57</c:v>
                      </c:pt>
                      <c:pt idx="3">
                        <c:v>62</c:v>
                      </c:pt>
                      <c:pt idx="4">
                        <c:v>65</c:v>
                      </c:pt>
                      <c:pt idx="5">
                        <c:v>71</c:v>
                      </c:pt>
                      <c:pt idx="6">
                        <c:v>72</c:v>
                      </c:pt>
                      <c:pt idx="7">
                        <c:v>71</c:v>
                      </c:pt>
                      <c:pt idx="8">
                        <c:v>78</c:v>
                      </c:pt>
                      <c:pt idx="9">
                        <c:v>81</c:v>
                      </c:pt>
                      <c:pt idx="10">
                        <c:v>89</c:v>
                      </c:pt>
                      <c:pt idx="11">
                        <c:v>84</c:v>
                      </c:pt>
                      <c:pt idx="12">
                        <c:v>105</c:v>
                      </c:pt>
                      <c:pt idx="13">
                        <c:v>123</c:v>
                      </c:pt>
                      <c:pt idx="14">
                        <c:v>116</c:v>
                      </c:pt>
                      <c:pt idx="15">
                        <c:v>111</c:v>
                      </c:pt>
                      <c:pt idx="16">
                        <c:v>88</c:v>
                      </c:pt>
                      <c:pt idx="17">
                        <c:v>96</c:v>
                      </c:pt>
                      <c:pt idx="18">
                        <c:v>94</c:v>
                      </c:pt>
                      <c:pt idx="19">
                        <c:v>101</c:v>
                      </c:pt>
                      <c:pt idx="20">
                        <c:v>103</c:v>
                      </c:pt>
                      <c:pt idx="21">
                        <c:v>104.25</c:v>
                      </c:pt>
                      <c:pt idx="22">
                        <c:v>95.111999999999995</c:v>
                      </c:pt>
                      <c:pt idx="23">
                        <c:v>97</c:v>
                      </c:pt>
                      <c:pt idx="24">
                        <c:v>118</c:v>
                      </c:pt>
                      <c:pt idx="25">
                        <c:v>119</c:v>
                      </c:pt>
                      <c:pt idx="26">
                        <c:v>112</c:v>
                      </c:pt>
                      <c:pt idx="27">
                        <c:v>124</c:v>
                      </c:pt>
                      <c:pt idx="28">
                        <c:v>111</c:v>
                      </c:pt>
                      <c:pt idx="29">
                        <c:v>110</c:v>
                      </c:pt>
                      <c:pt idx="30">
                        <c:v>116</c:v>
                      </c:pt>
                      <c:pt idx="31">
                        <c:v>118</c:v>
                      </c:pt>
                      <c:pt idx="32">
                        <c:v>115</c:v>
                      </c:pt>
                      <c:pt idx="33">
                        <c:v>111</c:v>
                      </c:pt>
                      <c:pt idx="34">
                        <c:v>122</c:v>
                      </c:pt>
                      <c:pt idx="35">
                        <c:v>115</c:v>
                      </c:pt>
                      <c:pt idx="36">
                        <c:v>101</c:v>
                      </c:pt>
                      <c:pt idx="37">
                        <c:v>109</c:v>
                      </c:pt>
                      <c:pt idx="38">
                        <c:v>106</c:v>
                      </c:pt>
                      <c:pt idx="39">
                        <c:v>90</c:v>
                      </c:pt>
                      <c:pt idx="40">
                        <c:v>93</c:v>
                      </c:pt>
                      <c:pt idx="41">
                        <c:v>100</c:v>
                      </c:pt>
                      <c:pt idx="42">
                        <c:v>93</c:v>
                      </c:pt>
                      <c:pt idx="43">
                        <c:v>81</c:v>
                      </c:pt>
                      <c:pt idx="44">
                        <c:v>88</c:v>
                      </c:pt>
                      <c:pt idx="45">
                        <c:v>90</c:v>
                      </c:pt>
                      <c:pt idx="46">
                        <c:v>94</c:v>
                      </c:pt>
                      <c:pt idx="47">
                        <c:v>98</c:v>
                      </c:pt>
                      <c:pt idx="48">
                        <c:v>99</c:v>
                      </c:pt>
                      <c:pt idx="49">
                        <c:v>105</c:v>
                      </c:pt>
                      <c:pt idx="50">
                        <c:v>81</c:v>
                      </c:pt>
                      <c:pt idx="51">
                        <c:v>75</c:v>
                      </c:pt>
                      <c:pt idx="52">
                        <c:v>64</c:v>
                      </c:pt>
                      <c:pt idx="53">
                        <c:v>59</c:v>
                      </c:pt>
                      <c:pt idx="54">
                        <c:v>67</c:v>
                      </c:pt>
                      <c:pt idx="55">
                        <c:v>71</c:v>
                      </c:pt>
                      <c:pt idx="56">
                        <c:v>68</c:v>
                      </c:pt>
                      <c:pt idx="57">
                        <c:v>64</c:v>
                      </c:pt>
                      <c:pt idx="58">
                        <c:v>63</c:v>
                      </c:pt>
                      <c:pt idx="59">
                        <c:v>60</c:v>
                      </c:pt>
                      <c:pt idx="60">
                        <c:v>55</c:v>
                      </c:pt>
                      <c:pt idx="61">
                        <c:v>52</c:v>
                      </c:pt>
                      <c:pt idx="62">
                        <c:v>54</c:v>
                      </c:pt>
                      <c:pt idx="63">
                        <c:v>58</c:v>
                      </c:pt>
                      <c:pt idx="64">
                        <c:v>50</c:v>
                      </c:pt>
                      <c:pt idx="65">
                        <c:v>55</c:v>
                      </c:pt>
                      <c:pt idx="66">
                        <c:v>60</c:v>
                      </c:pt>
                    </c:numCache>
                  </c:numRef>
                </c:val>
                <c:extLst xmlns:c15="http://schemas.microsoft.com/office/drawing/2012/chart">
                  <c:ext xmlns:c16="http://schemas.microsoft.com/office/drawing/2014/chart" uri="{C3380CC4-5D6E-409C-BE32-E72D297353CC}">
                    <c16:uniqueId val="{00000059-DE8D-488D-855A-43F38F7C7045}"/>
                  </c:ext>
                </c:extLst>
              </c15:ser>
            </c15:filteredBarSeries>
            <c15:filteredBarSeries>
              <c15:ser>
                <c:idx val="80"/>
                <c:order val="80"/>
                <c:tx>
                  <c:strRef>
                    <c:extLst xmlns:c15="http://schemas.microsoft.com/office/drawing/2012/chart">
                      <c:ext xmlns:c15="http://schemas.microsoft.com/office/drawing/2012/chart" uri="{02D57815-91ED-43cb-92C2-25804820EDAC}">
                        <c15:formulaRef>
                          <c15:sqref>'Table for graphs '!$A$82</c15:sqref>
                        </c15:formulaRef>
                      </c:ext>
                    </c:extLst>
                    <c:strCache>
                      <c:ptCount val="1"/>
                      <c:pt idx="0">
                        <c:v>Haematological - Reported Backlog Total</c:v>
                      </c:pt>
                    </c:strCache>
                  </c:strRef>
                </c:tx>
                <c:spPr>
                  <a:solidFill>
                    <a:schemeClr val="accent5">
                      <a:tint val="5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'!$B$82:$CB$82</c15:sqref>
                        </c15:formulaRef>
                      </c:ext>
                    </c:extLst>
                    <c:numCache>
                      <c:formatCode>0</c:formatCode>
                      <c:ptCount val="79"/>
                      <c:pt idx="0">
                        <c:v>19</c:v>
                      </c:pt>
                      <c:pt idx="1">
                        <c:v>20</c:v>
                      </c:pt>
                      <c:pt idx="2">
                        <c:v>23</c:v>
                      </c:pt>
                      <c:pt idx="3">
                        <c:v>24</c:v>
                      </c:pt>
                      <c:pt idx="4">
                        <c:v>24</c:v>
                      </c:pt>
                      <c:pt idx="5">
                        <c:v>25</c:v>
                      </c:pt>
                      <c:pt idx="6">
                        <c:v>23</c:v>
                      </c:pt>
                      <c:pt idx="7">
                        <c:v>16</c:v>
                      </c:pt>
                      <c:pt idx="8">
                        <c:v>13</c:v>
                      </c:pt>
                      <c:pt idx="9">
                        <c:v>12</c:v>
                      </c:pt>
                      <c:pt idx="10">
                        <c:v>15</c:v>
                      </c:pt>
                      <c:pt idx="11">
                        <c:v>17</c:v>
                      </c:pt>
                      <c:pt idx="12">
                        <c:v>21</c:v>
                      </c:pt>
                      <c:pt idx="13">
                        <c:v>23</c:v>
                      </c:pt>
                      <c:pt idx="14">
                        <c:v>28</c:v>
                      </c:pt>
                      <c:pt idx="15">
                        <c:v>27</c:v>
                      </c:pt>
                      <c:pt idx="16">
                        <c:v>26</c:v>
                      </c:pt>
                      <c:pt idx="17">
                        <c:v>18</c:v>
                      </c:pt>
                      <c:pt idx="18">
                        <c:v>19</c:v>
                      </c:pt>
                      <c:pt idx="19">
                        <c:v>19</c:v>
                      </c:pt>
                      <c:pt idx="20">
                        <c:v>18</c:v>
                      </c:pt>
                      <c:pt idx="21">
                        <c:v>17.759999999999998</c:v>
                      </c:pt>
                      <c:pt idx="22">
                        <c:v>15.407999999999999</c:v>
                      </c:pt>
                      <c:pt idx="23">
                        <c:v>17</c:v>
                      </c:pt>
                      <c:pt idx="24">
                        <c:v>14</c:v>
                      </c:pt>
                      <c:pt idx="25">
                        <c:v>18</c:v>
                      </c:pt>
                      <c:pt idx="26">
                        <c:v>17</c:v>
                      </c:pt>
                      <c:pt idx="27">
                        <c:v>21</c:v>
                      </c:pt>
                      <c:pt idx="28">
                        <c:v>18</c:v>
                      </c:pt>
                      <c:pt idx="29">
                        <c:v>20</c:v>
                      </c:pt>
                      <c:pt idx="30">
                        <c:v>20</c:v>
                      </c:pt>
                      <c:pt idx="31">
                        <c:v>22</c:v>
                      </c:pt>
                      <c:pt idx="32">
                        <c:v>19</c:v>
                      </c:pt>
                      <c:pt idx="33">
                        <c:v>18</c:v>
                      </c:pt>
                      <c:pt idx="34">
                        <c:v>20</c:v>
                      </c:pt>
                      <c:pt idx="35">
                        <c:v>13</c:v>
                      </c:pt>
                      <c:pt idx="36">
                        <c:v>14</c:v>
                      </c:pt>
                      <c:pt idx="37">
                        <c:v>12</c:v>
                      </c:pt>
                      <c:pt idx="38">
                        <c:v>13</c:v>
                      </c:pt>
                      <c:pt idx="39">
                        <c:v>15</c:v>
                      </c:pt>
                      <c:pt idx="40">
                        <c:v>12</c:v>
                      </c:pt>
                      <c:pt idx="41">
                        <c:v>14</c:v>
                      </c:pt>
                      <c:pt idx="42">
                        <c:v>13</c:v>
                      </c:pt>
                      <c:pt idx="43">
                        <c:v>14</c:v>
                      </c:pt>
                      <c:pt idx="44">
                        <c:v>12</c:v>
                      </c:pt>
                      <c:pt idx="45">
                        <c:v>12</c:v>
                      </c:pt>
                      <c:pt idx="46">
                        <c:v>12</c:v>
                      </c:pt>
                      <c:pt idx="47">
                        <c:v>12</c:v>
                      </c:pt>
                      <c:pt idx="48">
                        <c:v>9</c:v>
                      </c:pt>
                      <c:pt idx="49">
                        <c:v>10</c:v>
                      </c:pt>
                      <c:pt idx="50">
                        <c:v>9</c:v>
                      </c:pt>
                      <c:pt idx="51">
                        <c:v>10</c:v>
                      </c:pt>
                      <c:pt idx="52">
                        <c:v>14</c:v>
                      </c:pt>
                      <c:pt idx="53">
                        <c:v>13</c:v>
                      </c:pt>
                      <c:pt idx="54">
                        <c:v>14</c:v>
                      </c:pt>
                      <c:pt idx="55">
                        <c:v>15</c:v>
                      </c:pt>
                      <c:pt idx="56">
                        <c:v>13</c:v>
                      </c:pt>
                      <c:pt idx="57">
                        <c:v>13</c:v>
                      </c:pt>
                      <c:pt idx="58">
                        <c:v>12</c:v>
                      </c:pt>
                      <c:pt idx="59">
                        <c:v>15</c:v>
                      </c:pt>
                      <c:pt idx="60">
                        <c:v>13</c:v>
                      </c:pt>
                      <c:pt idx="61">
                        <c:v>10</c:v>
                      </c:pt>
                      <c:pt idx="62">
                        <c:v>11</c:v>
                      </c:pt>
                      <c:pt idx="63">
                        <c:v>10</c:v>
                      </c:pt>
                      <c:pt idx="64">
                        <c:v>11</c:v>
                      </c:pt>
                      <c:pt idx="65">
                        <c:v>10</c:v>
                      </c:pt>
                      <c:pt idx="66">
                        <c:v>14</c:v>
                      </c:pt>
                    </c:numCache>
                  </c:numRef>
                </c:val>
                <c:extLst xmlns:c15="http://schemas.microsoft.com/office/drawing/2012/chart">
                  <c:ext xmlns:c16="http://schemas.microsoft.com/office/drawing/2014/chart" uri="{C3380CC4-5D6E-409C-BE32-E72D297353CC}">
                    <c16:uniqueId val="{0000005A-DE8D-488D-855A-43F38F7C7045}"/>
                  </c:ext>
                </c:extLst>
              </c15:ser>
            </c15:filteredBarSeries>
            <c15:filteredBarSeries>
              <c15:ser>
                <c:idx val="81"/>
                <c:order val="81"/>
                <c:tx>
                  <c:strRef>
                    <c:extLst xmlns:c15="http://schemas.microsoft.com/office/drawing/2012/chart">
                      <c:ext xmlns:c15="http://schemas.microsoft.com/office/drawing/2012/chart" uri="{02D57815-91ED-43cb-92C2-25804820EDAC}">
                        <c15:formulaRef>
                          <c15:sqref>'Table for graphs '!$A$83</c15:sqref>
                        </c15:formulaRef>
                      </c:ext>
                    </c:extLst>
                    <c:strCache>
                      <c:ptCount val="1"/>
                      <c:pt idx="0">
                        <c:v>Head and neck - Reported Backlog Total</c:v>
                      </c:pt>
                    </c:strCache>
                  </c:strRef>
                </c:tx>
                <c:spPr>
                  <a:solidFill>
                    <a:schemeClr val="accent5">
                      <a:tint val="5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'!$B$83:$CB$83</c15:sqref>
                        </c15:formulaRef>
                      </c:ext>
                    </c:extLst>
                    <c:numCache>
                      <c:formatCode>0</c:formatCode>
                      <c:ptCount val="79"/>
                      <c:pt idx="0">
                        <c:v>34</c:v>
                      </c:pt>
                      <c:pt idx="1">
                        <c:v>27</c:v>
                      </c:pt>
                      <c:pt idx="2">
                        <c:v>25</c:v>
                      </c:pt>
                      <c:pt idx="3">
                        <c:v>26</c:v>
                      </c:pt>
                      <c:pt idx="4">
                        <c:v>19</c:v>
                      </c:pt>
                      <c:pt idx="5">
                        <c:v>20</c:v>
                      </c:pt>
                      <c:pt idx="6">
                        <c:v>23</c:v>
                      </c:pt>
                      <c:pt idx="7">
                        <c:v>20</c:v>
                      </c:pt>
                      <c:pt idx="8">
                        <c:v>22</c:v>
                      </c:pt>
                      <c:pt idx="9">
                        <c:v>21</c:v>
                      </c:pt>
                      <c:pt idx="10">
                        <c:v>20</c:v>
                      </c:pt>
                      <c:pt idx="11">
                        <c:v>23</c:v>
                      </c:pt>
                      <c:pt idx="12">
                        <c:v>28</c:v>
                      </c:pt>
                      <c:pt idx="13">
                        <c:v>31</c:v>
                      </c:pt>
                      <c:pt idx="14">
                        <c:v>37</c:v>
                      </c:pt>
                      <c:pt idx="15">
                        <c:v>32</c:v>
                      </c:pt>
                      <c:pt idx="16">
                        <c:v>38</c:v>
                      </c:pt>
                      <c:pt idx="17">
                        <c:v>31</c:v>
                      </c:pt>
                      <c:pt idx="18">
                        <c:v>27</c:v>
                      </c:pt>
                      <c:pt idx="19">
                        <c:v>29</c:v>
                      </c:pt>
                      <c:pt idx="20">
                        <c:v>26</c:v>
                      </c:pt>
                      <c:pt idx="21">
                        <c:v>25.950000000000003</c:v>
                      </c:pt>
                      <c:pt idx="22">
                        <c:v>21.247500000000002</c:v>
                      </c:pt>
                      <c:pt idx="23">
                        <c:v>23</c:v>
                      </c:pt>
                      <c:pt idx="24">
                        <c:v>23</c:v>
                      </c:pt>
                      <c:pt idx="25">
                        <c:v>19</c:v>
                      </c:pt>
                      <c:pt idx="26">
                        <c:v>18</c:v>
                      </c:pt>
                      <c:pt idx="27">
                        <c:v>28</c:v>
                      </c:pt>
                      <c:pt idx="28">
                        <c:v>22</c:v>
                      </c:pt>
                      <c:pt idx="29">
                        <c:v>22</c:v>
                      </c:pt>
                      <c:pt idx="30">
                        <c:v>16</c:v>
                      </c:pt>
                      <c:pt idx="31">
                        <c:v>20</c:v>
                      </c:pt>
                      <c:pt idx="32">
                        <c:v>16</c:v>
                      </c:pt>
                      <c:pt idx="33">
                        <c:v>18</c:v>
                      </c:pt>
                      <c:pt idx="34">
                        <c:v>16</c:v>
                      </c:pt>
                      <c:pt idx="35">
                        <c:v>14</c:v>
                      </c:pt>
                      <c:pt idx="36">
                        <c:v>17</c:v>
                      </c:pt>
                      <c:pt idx="37">
                        <c:v>16</c:v>
                      </c:pt>
                      <c:pt idx="38">
                        <c:v>12</c:v>
                      </c:pt>
                      <c:pt idx="39">
                        <c:v>17</c:v>
                      </c:pt>
                      <c:pt idx="40">
                        <c:v>19</c:v>
                      </c:pt>
                      <c:pt idx="41">
                        <c:v>12</c:v>
                      </c:pt>
                      <c:pt idx="42">
                        <c:v>16</c:v>
                      </c:pt>
                      <c:pt idx="43">
                        <c:v>17</c:v>
                      </c:pt>
                      <c:pt idx="44">
                        <c:v>14</c:v>
                      </c:pt>
                      <c:pt idx="45">
                        <c:v>12</c:v>
                      </c:pt>
                      <c:pt idx="46">
                        <c:v>18</c:v>
                      </c:pt>
                      <c:pt idx="47">
                        <c:v>24</c:v>
                      </c:pt>
                      <c:pt idx="48">
                        <c:v>28</c:v>
                      </c:pt>
                      <c:pt idx="49">
                        <c:v>32</c:v>
                      </c:pt>
                      <c:pt idx="50">
                        <c:v>35</c:v>
                      </c:pt>
                      <c:pt idx="51">
                        <c:v>26</c:v>
                      </c:pt>
                      <c:pt idx="52">
                        <c:v>24</c:v>
                      </c:pt>
                      <c:pt idx="53">
                        <c:v>19</c:v>
                      </c:pt>
                      <c:pt idx="54">
                        <c:v>15</c:v>
                      </c:pt>
                      <c:pt idx="55">
                        <c:v>15</c:v>
                      </c:pt>
                      <c:pt idx="56">
                        <c:v>11</c:v>
                      </c:pt>
                      <c:pt idx="57">
                        <c:v>7</c:v>
                      </c:pt>
                      <c:pt idx="58">
                        <c:v>7</c:v>
                      </c:pt>
                      <c:pt idx="59">
                        <c:v>11</c:v>
                      </c:pt>
                      <c:pt idx="60">
                        <c:v>8</c:v>
                      </c:pt>
                      <c:pt idx="61">
                        <c:v>9</c:v>
                      </c:pt>
                      <c:pt idx="62">
                        <c:v>8</c:v>
                      </c:pt>
                      <c:pt idx="63">
                        <c:v>8</c:v>
                      </c:pt>
                      <c:pt idx="64">
                        <c:v>9</c:v>
                      </c:pt>
                      <c:pt idx="65">
                        <c:v>11</c:v>
                      </c:pt>
                      <c:pt idx="66">
                        <c:v>10</c:v>
                      </c:pt>
                    </c:numCache>
                  </c:numRef>
                </c:val>
                <c:extLst xmlns:c15="http://schemas.microsoft.com/office/drawing/2012/chart">
                  <c:ext xmlns:c16="http://schemas.microsoft.com/office/drawing/2014/chart" uri="{C3380CC4-5D6E-409C-BE32-E72D297353CC}">
                    <c16:uniqueId val="{0000005B-DE8D-488D-855A-43F38F7C7045}"/>
                  </c:ext>
                </c:extLst>
              </c15:ser>
            </c15:filteredBarSeries>
            <c15:filteredBarSeries>
              <c15:ser>
                <c:idx val="82"/>
                <c:order val="82"/>
                <c:tx>
                  <c:strRef>
                    <c:extLst xmlns:c15="http://schemas.microsoft.com/office/drawing/2012/chart">
                      <c:ext xmlns:c15="http://schemas.microsoft.com/office/drawing/2012/chart" uri="{02D57815-91ED-43cb-92C2-25804820EDAC}">
                        <c15:formulaRef>
                          <c15:sqref>'Table for graphs '!$A$84</c15:sqref>
                        </c15:formulaRef>
                      </c:ext>
                    </c:extLst>
                    <c:strCache>
                      <c:ptCount val="1"/>
                      <c:pt idx="0">
                        <c:v>Lower Gastrointestinal - Reported Backlog Total</c:v>
                      </c:pt>
                    </c:strCache>
                  </c:strRef>
                </c:tx>
                <c:spPr>
                  <a:solidFill>
                    <a:schemeClr val="accent5">
                      <a:tint val="4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'!$B$84:$CB$84</c15:sqref>
                        </c15:formulaRef>
                      </c:ext>
                    </c:extLst>
                    <c:numCache>
                      <c:formatCode>0</c:formatCode>
                      <c:ptCount val="79"/>
                      <c:pt idx="0">
                        <c:v>209</c:v>
                      </c:pt>
                      <c:pt idx="1">
                        <c:v>208</c:v>
                      </c:pt>
                      <c:pt idx="2">
                        <c:v>199</c:v>
                      </c:pt>
                      <c:pt idx="3">
                        <c:v>172</c:v>
                      </c:pt>
                      <c:pt idx="4">
                        <c:v>188</c:v>
                      </c:pt>
                      <c:pt idx="5">
                        <c:v>169</c:v>
                      </c:pt>
                      <c:pt idx="6">
                        <c:v>155</c:v>
                      </c:pt>
                      <c:pt idx="7">
                        <c:v>157</c:v>
                      </c:pt>
                      <c:pt idx="8">
                        <c:v>138</c:v>
                      </c:pt>
                      <c:pt idx="9">
                        <c:v>135</c:v>
                      </c:pt>
                      <c:pt idx="10">
                        <c:v>124</c:v>
                      </c:pt>
                      <c:pt idx="11">
                        <c:v>141</c:v>
                      </c:pt>
                      <c:pt idx="12">
                        <c:v>160</c:v>
                      </c:pt>
                      <c:pt idx="13">
                        <c:v>150</c:v>
                      </c:pt>
                      <c:pt idx="14">
                        <c:v>145</c:v>
                      </c:pt>
                      <c:pt idx="15">
                        <c:v>130</c:v>
                      </c:pt>
                      <c:pt idx="16">
                        <c:v>113</c:v>
                      </c:pt>
                      <c:pt idx="17">
                        <c:v>105</c:v>
                      </c:pt>
                      <c:pt idx="18">
                        <c:v>96</c:v>
                      </c:pt>
                      <c:pt idx="19">
                        <c:v>89</c:v>
                      </c:pt>
                      <c:pt idx="20">
                        <c:v>89</c:v>
                      </c:pt>
                      <c:pt idx="21">
                        <c:v>86.34</c:v>
                      </c:pt>
                      <c:pt idx="22">
                        <c:v>71.075999999999993</c:v>
                      </c:pt>
                      <c:pt idx="23">
                        <c:v>77</c:v>
                      </c:pt>
                      <c:pt idx="24">
                        <c:v>78</c:v>
                      </c:pt>
                      <c:pt idx="25">
                        <c:v>81</c:v>
                      </c:pt>
                      <c:pt idx="26">
                        <c:v>77</c:v>
                      </c:pt>
                      <c:pt idx="27">
                        <c:v>82</c:v>
                      </c:pt>
                      <c:pt idx="28">
                        <c:v>85</c:v>
                      </c:pt>
                      <c:pt idx="29">
                        <c:v>81</c:v>
                      </c:pt>
                      <c:pt idx="30">
                        <c:v>79</c:v>
                      </c:pt>
                      <c:pt idx="31">
                        <c:v>69</c:v>
                      </c:pt>
                      <c:pt idx="32">
                        <c:v>69</c:v>
                      </c:pt>
                      <c:pt idx="33">
                        <c:v>68</c:v>
                      </c:pt>
                      <c:pt idx="34">
                        <c:v>71</c:v>
                      </c:pt>
                      <c:pt idx="35">
                        <c:v>77</c:v>
                      </c:pt>
                      <c:pt idx="36">
                        <c:v>73</c:v>
                      </c:pt>
                      <c:pt idx="37">
                        <c:v>65</c:v>
                      </c:pt>
                      <c:pt idx="38">
                        <c:v>68</c:v>
                      </c:pt>
                      <c:pt idx="39">
                        <c:v>59</c:v>
                      </c:pt>
                      <c:pt idx="40">
                        <c:v>55</c:v>
                      </c:pt>
                      <c:pt idx="41">
                        <c:v>51</c:v>
                      </c:pt>
                      <c:pt idx="42">
                        <c:v>62</c:v>
                      </c:pt>
                      <c:pt idx="43">
                        <c:v>66</c:v>
                      </c:pt>
                      <c:pt idx="44">
                        <c:v>71</c:v>
                      </c:pt>
                      <c:pt idx="45">
                        <c:v>75</c:v>
                      </c:pt>
                      <c:pt idx="46">
                        <c:v>74</c:v>
                      </c:pt>
                      <c:pt idx="47">
                        <c:v>58</c:v>
                      </c:pt>
                      <c:pt idx="48">
                        <c:v>67</c:v>
                      </c:pt>
                      <c:pt idx="49">
                        <c:v>77</c:v>
                      </c:pt>
                      <c:pt idx="50">
                        <c:v>76</c:v>
                      </c:pt>
                      <c:pt idx="51">
                        <c:v>69</c:v>
                      </c:pt>
                      <c:pt idx="52">
                        <c:v>60</c:v>
                      </c:pt>
                      <c:pt idx="53">
                        <c:v>49</c:v>
                      </c:pt>
                      <c:pt idx="54">
                        <c:v>47</c:v>
                      </c:pt>
                      <c:pt idx="55">
                        <c:v>45</c:v>
                      </c:pt>
                      <c:pt idx="56">
                        <c:v>47</c:v>
                      </c:pt>
                      <c:pt idx="57">
                        <c:v>40</c:v>
                      </c:pt>
                      <c:pt idx="58">
                        <c:v>37</c:v>
                      </c:pt>
                      <c:pt idx="59">
                        <c:v>37</c:v>
                      </c:pt>
                      <c:pt idx="60">
                        <c:v>40</c:v>
                      </c:pt>
                      <c:pt idx="61">
                        <c:v>37</c:v>
                      </c:pt>
                      <c:pt idx="62">
                        <c:v>36</c:v>
                      </c:pt>
                      <c:pt idx="63">
                        <c:v>34</c:v>
                      </c:pt>
                      <c:pt idx="64">
                        <c:v>43</c:v>
                      </c:pt>
                      <c:pt idx="65">
                        <c:v>54</c:v>
                      </c:pt>
                      <c:pt idx="66">
                        <c:v>52</c:v>
                      </c:pt>
                    </c:numCache>
                  </c:numRef>
                </c:val>
                <c:extLst xmlns:c15="http://schemas.microsoft.com/office/drawing/2012/chart">
                  <c:ext xmlns:c16="http://schemas.microsoft.com/office/drawing/2014/chart" uri="{C3380CC4-5D6E-409C-BE32-E72D297353CC}">
                    <c16:uniqueId val="{0000005C-DE8D-488D-855A-43F38F7C7045}"/>
                  </c:ext>
                </c:extLst>
              </c15:ser>
            </c15:filteredBarSeries>
            <c15:filteredBarSeries>
              <c15:ser>
                <c:idx val="83"/>
                <c:order val="83"/>
                <c:tx>
                  <c:strRef>
                    <c:extLst xmlns:c15="http://schemas.microsoft.com/office/drawing/2012/chart">
                      <c:ext xmlns:c15="http://schemas.microsoft.com/office/drawing/2012/chart" uri="{02D57815-91ED-43cb-92C2-25804820EDAC}">
                        <c15:formulaRef>
                          <c15:sqref>'Table for graphs '!$A$85</c15:sqref>
                        </c15:formulaRef>
                      </c:ext>
                    </c:extLst>
                    <c:strCache>
                      <c:ptCount val="1"/>
                      <c:pt idx="0">
                        <c:v>Lung - Reported Backlog Total</c:v>
                      </c:pt>
                    </c:strCache>
                  </c:strRef>
                </c:tx>
                <c:spPr>
                  <a:solidFill>
                    <a:schemeClr val="accent5">
                      <a:tint val="4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'!$B$85:$CB$85</c15:sqref>
                        </c15:formulaRef>
                      </c:ext>
                    </c:extLst>
                    <c:numCache>
                      <c:formatCode>0</c:formatCode>
                      <c:ptCount val="79"/>
                      <c:pt idx="0">
                        <c:v>21</c:v>
                      </c:pt>
                      <c:pt idx="1">
                        <c:v>22</c:v>
                      </c:pt>
                      <c:pt idx="2">
                        <c:v>21</c:v>
                      </c:pt>
                      <c:pt idx="3">
                        <c:v>18</c:v>
                      </c:pt>
                      <c:pt idx="4">
                        <c:v>22</c:v>
                      </c:pt>
                      <c:pt idx="5">
                        <c:v>26</c:v>
                      </c:pt>
                      <c:pt idx="6">
                        <c:v>27</c:v>
                      </c:pt>
                      <c:pt idx="7">
                        <c:v>26</c:v>
                      </c:pt>
                      <c:pt idx="8">
                        <c:v>23</c:v>
                      </c:pt>
                      <c:pt idx="9">
                        <c:v>18</c:v>
                      </c:pt>
                      <c:pt idx="10">
                        <c:v>16</c:v>
                      </c:pt>
                      <c:pt idx="11">
                        <c:v>19</c:v>
                      </c:pt>
                      <c:pt idx="12">
                        <c:v>18</c:v>
                      </c:pt>
                      <c:pt idx="13">
                        <c:v>21</c:v>
                      </c:pt>
                      <c:pt idx="14">
                        <c:v>22</c:v>
                      </c:pt>
                      <c:pt idx="15">
                        <c:v>20</c:v>
                      </c:pt>
                      <c:pt idx="16">
                        <c:v>21</c:v>
                      </c:pt>
                      <c:pt idx="17">
                        <c:v>22</c:v>
                      </c:pt>
                      <c:pt idx="18">
                        <c:v>27</c:v>
                      </c:pt>
                      <c:pt idx="19">
                        <c:v>26</c:v>
                      </c:pt>
                      <c:pt idx="20">
                        <c:v>23</c:v>
                      </c:pt>
                      <c:pt idx="21">
                        <c:v>19.2</c:v>
                      </c:pt>
                      <c:pt idx="22">
                        <c:v>18.600000000000001</c:v>
                      </c:pt>
                      <c:pt idx="23">
                        <c:v>23</c:v>
                      </c:pt>
                      <c:pt idx="24">
                        <c:v>24</c:v>
                      </c:pt>
                      <c:pt idx="25">
                        <c:v>23</c:v>
                      </c:pt>
                      <c:pt idx="26">
                        <c:v>26</c:v>
                      </c:pt>
                      <c:pt idx="27">
                        <c:v>28</c:v>
                      </c:pt>
                      <c:pt idx="28">
                        <c:v>27</c:v>
                      </c:pt>
                      <c:pt idx="29">
                        <c:v>28</c:v>
                      </c:pt>
                      <c:pt idx="30">
                        <c:v>35</c:v>
                      </c:pt>
                      <c:pt idx="31">
                        <c:v>32</c:v>
                      </c:pt>
                      <c:pt idx="32">
                        <c:v>37</c:v>
                      </c:pt>
                      <c:pt idx="33">
                        <c:v>34</c:v>
                      </c:pt>
                      <c:pt idx="34">
                        <c:v>38</c:v>
                      </c:pt>
                      <c:pt idx="35">
                        <c:v>42</c:v>
                      </c:pt>
                      <c:pt idx="36">
                        <c:v>47</c:v>
                      </c:pt>
                      <c:pt idx="37">
                        <c:v>46</c:v>
                      </c:pt>
                      <c:pt idx="38">
                        <c:v>44</c:v>
                      </c:pt>
                      <c:pt idx="39">
                        <c:v>32</c:v>
                      </c:pt>
                      <c:pt idx="40">
                        <c:v>26</c:v>
                      </c:pt>
                      <c:pt idx="41">
                        <c:v>29</c:v>
                      </c:pt>
                      <c:pt idx="42">
                        <c:v>30</c:v>
                      </c:pt>
                      <c:pt idx="43">
                        <c:v>27</c:v>
                      </c:pt>
                      <c:pt idx="44">
                        <c:v>29</c:v>
                      </c:pt>
                      <c:pt idx="45">
                        <c:v>27</c:v>
                      </c:pt>
                      <c:pt idx="46">
                        <c:v>24</c:v>
                      </c:pt>
                      <c:pt idx="47">
                        <c:v>26</c:v>
                      </c:pt>
                      <c:pt idx="48">
                        <c:v>25</c:v>
                      </c:pt>
                      <c:pt idx="49">
                        <c:v>24</c:v>
                      </c:pt>
                      <c:pt idx="50">
                        <c:v>22</c:v>
                      </c:pt>
                      <c:pt idx="51">
                        <c:v>20</c:v>
                      </c:pt>
                      <c:pt idx="52">
                        <c:v>23</c:v>
                      </c:pt>
                      <c:pt idx="53">
                        <c:v>19</c:v>
                      </c:pt>
                      <c:pt idx="54">
                        <c:v>19</c:v>
                      </c:pt>
                      <c:pt idx="55">
                        <c:v>18</c:v>
                      </c:pt>
                      <c:pt idx="56">
                        <c:v>21</c:v>
                      </c:pt>
                      <c:pt idx="57">
                        <c:v>23</c:v>
                      </c:pt>
                      <c:pt idx="58">
                        <c:v>24</c:v>
                      </c:pt>
                      <c:pt idx="59">
                        <c:v>25</c:v>
                      </c:pt>
                      <c:pt idx="60">
                        <c:v>25</c:v>
                      </c:pt>
                      <c:pt idx="61">
                        <c:v>19</c:v>
                      </c:pt>
                      <c:pt idx="62">
                        <c:v>24</c:v>
                      </c:pt>
                      <c:pt idx="63">
                        <c:v>25</c:v>
                      </c:pt>
                      <c:pt idx="64">
                        <c:v>25</c:v>
                      </c:pt>
                      <c:pt idx="65">
                        <c:v>26</c:v>
                      </c:pt>
                      <c:pt idx="66">
                        <c:v>25</c:v>
                      </c:pt>
                    </c:numCache>
                  </c:numRef>
                </c:val>
                <c:extLst xmlns:c15="http://schemas.microsoft.com/office/drawing/2012/chart">
                  <c:ext xmlns:c16="http://schemas.microsoft.com/office/drawing/2014/chart" uri="{C3380CC4-5D6E-409C-BE32-E72D297353CC}">
                    <c16:uniqueId val="{0000005D-DE8D-488D-855A-43F38F7C7045}"/>
                  </c:ext>
                </c:extLst>
              </c15:ser>
            </c15:filteredBarSeries>
            <c15:filteredBarSeries>
              <c15:ser>
                <c:idx val="84"/>
                <c:order val="84"/>
                <c:tx>
                  <c:strRef>
                    <c:extLst xmlns:c15="http://schemas.microsoft.com/office/drawing/2012/chart">
                      <c:ext xmlns:c15="http://schemas.microsoft.com/office/drawing/2012/chart" uri="{02D57815-91ED-43cb-92C2-25804820EDAC}">
                        <c15:formulaRef>
                          <c15:sqref>'Table for graphs '!$A$86</c15:sqref>
                        </c15:formulaRef>
                      </c:ext>
                    </c:extLst>
                    <c:strCache>
                      <c:ptCount val="1"/>
                      <c:pt idx="0">
                        <c:v>Other - Reported Backlog Total</c:v>
                      </c:pt>
                    </c:strCache>
                  </c:strRef>
                </c:tx>
                <c:spPr>
                  <a:solidFill>
                    <a:schemeClr val="accent5">
                      <a:tint val="4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'!$B$86:$CB$86</c15:sqref>
                        </c15:formulaRef>
                      </c:ext>
                    </c:extLst>
                    <c:numCache>
                      <c:formatCode>0</c:formatCode>
                      <c:ptCount val="79"/>
                      <c:pt idx="0">
                        <c:v>5</c:v>
                      </c:pt>
                      <c:pt idx="1">
                        <c:v>6</c:v>
                      </c:pt>
                      <c:pt idx="2">
                        <c:v>7</c:v>
                      </c:pt>
                      <c:pt idx="3">
                        <c:v>7</c:v>
                      </c:pt>
                      <c:pt idx="4">
                        <c:v>10</c:v>
                      </c:pt>
                      <c:pt idx="5">
                        <c:v>9</c:v>
                      </c:pt>
                      <c:pt idx="6">
                        <c:v>10</c:v>
                      </c:pt>
                      <c:pt idx="7">
                        <c:v>8</c:v>
                      </c:pt>
                      <c:pt idx="8">
                        <c:v>10</c:v>
                      </c:pt>
                      <c:pt idx="9">
                        <c:v>11</c:v>
                      </c:pt>
                      <c:pt idx="10">
                        <c:v>9</c:v>
                      </c:pt>
                      <c:pt idx="11">
                        <c:v>8</c:v>
                      </c:pt>
                      <c:pt idx="12">
                        <c:v>9</c:v>
                      </c:pt>
                      <c:pt idx="13">
                        <c:v>6</c:v>
                      </c:pt>
                      <c:pt idx="14">
                        <c:v>7</c:v>
                      </c:pt>
                      <c:pt idx="15">
                        <c:v>8</c:v>
                      </c:pt>
                      <c:pt idx="16">
                        <c:v>11</c:v>
                      </c:pt>
                      <c:pt idx="17">
                        <c:v>14</c:v>
                      </c:pt>
                      <c:pt idx="18">
                        <c:v>10</c:v>
                      </c:pt>
                      <c:pt idx="19">
                        <c:v>12</c:v>
                      </c:pt>
                      <c:pt idx="20">
                        <c:v>10</c:v>
                      </c:pt>
                      <c:pt idx="21">
                        <c:v>12</c:v>
                      </c:pt>
                      <c:pt idx="22">
                        <c:v>8</c:v>
                      </c:pt>
                      <c:pt idx="23">
                        <c:v>7</c:v>
                      </c:pt>
                      <c:pt idx="24">
                        <c:v>6</c:v>
                      </c:pt>
                      <c:pt idx="25">
                        <c:v>4</c:v>
                      </c:pt>
                      <c:pt idx="26">
                        <c:v>3</c:v>
                      </c:pt>
                      <c:pt idx="27">
                        <c:v>9</c:v>
                      </c:pt>
                      <c:pt idx="28">
                        <c:v>1</c:v>
                      </c:pt>
                      <c:pt idx="29">
                        <c:v>2</c:v>
                      </c:pt>
                      <c:pt idx="30">
                        <c:v>4</c:v>
                      </c:pt>
                      <c:pt idx="31">
                        <c:v>3</c:v>
                      </c:pt>
                      <c:pt idx="32">
                        <c:v>5</c:v>
                      </c:pt>
                      <c:pt idx="33">
                        <c:v>4</c:v>
                      </c:pt>
                      <c:pt idx="34">
                        <c:v>5</c:v>
                      </c:pt>
                      <c:pt idx="35">
                        <c:v>5</c:v>
                      </c:pt>
                      <c:pt idx="36">
                        <c:v>6</c:v>
                      </c:pt>
                      <c:pt idx="37">
                        <c:v>5</c:v>
                      </c:pt>
                      <c:pt idx="38">
                        <c:v>4</c:v>
                      </c:pt>
                      <c:pt idx="39">
                        <c:v>6</c:v>
                      </c:pt>
                      <c:pt idx="40">
                        <c:v>4</c:v>
                      </c:pt>
                      <c:pt idx="41">
                        <c:v>3</c:v>
                      </c:pt>
                      <c:pt idx="42">
                        <c:v>5</c:v>
                      </c:pt>
                      <c:pt idx="43">
                        <c:v>4</c:v>
                      </c:pt>
                      <c:pt idx="44">
                        <c:v>2</c:v>
                      </c:pt>
                      <c:pt idx="45">
                        <c:v>2</c:v>
                      </c:pt>
                      <c:pt idx="46">
                        <c:v>2</c:v>
                      </c:pt>
                      <c:pt idx="47">
                        <c:v>2</c:v>
                      </c:pt>
                      <c:pt idx="48">
                        <c:v>1</c:v>
                      </c:pt>
                      <c:pt idx="49">
                        <c:v>4</c:v>
                      </c:pt>
                      <c:pt idx="50">
                        <c:v>4</c:v>
                      </c:pt>
                      <c:pt idx="51">
                        <c:v>5</c:v>
                      </c:pt>
                      <c:pt idx="52">
                        <c:v>3</c:v>
                      </c:pt>
                      <c:pt idx="53">
                        <c:v>3</c:v>
                      </c:pt>
                      <c:pt idx="54">
                        <c:v>3</c:v>
                      </c:pt>
                      <c:pt idx="55">
                        <c:v>2</c:v>
                      </c:pt>
                      <c:pt idx="56">
                        <c:v>3</c:v>
                      </c:pt>
                      <c:pt idx="57">
                        <c:v>3</c:v>
                      </c:pt>
                      <c:pt idx="58">
                        <c:v>5</c:v>
                      </c:pt>
                      <c:pt idx="59">
                        <c:v>3</c:v>
                      </c:pt>
                      <c:pt idx="60">
                        <c:v>1</c:v>
                      </c:pt>
                      <c:pt idx="61">
                        <c:v>1</c:v>
                      </c:pt>
                      <c:pt idx="62">
                        <c:v>1</c:v>
                      </c:pt>
                      <c:pt idx="63">
                        <c:v>1</c:v>
                      </c:pt>
                      <c:pt idx="64">
                        <c:v>1</c:v>
                      </c:pt>
                      <c:pt idx="65">
                        <c:v>1</c:v>
                      </c:pt>
                      <c:pt idx="66">
                        <c:v>3</c:v>
                      </c:pt>
                    </c:numCache>
                  </c:numRef>
                </c:val>
                <c:extLst xmlns:c15="http://schemas.microsoft.com/office/drawing/2012/chart">
                  <c:ext xmlns:c16="http://schemas.microsoft.com/office/drawing/2014/chart" uri="{C3380CC4-5D6E-409C-BE32-E72D297353CC}">
                    <c16:uniqueId val="{0000005E-DE8D-488D-855A-43F38F7C7045}"/>
                  </c:ext>
                </c:extLst>
              </c15:ser>
            </c15:filteredBarSeries>
            <c15:filteredBarSeries>
              <c15:ser>
                <c:idx val="85"/>
                <c:order val="85"/>
                <c:tx>
                  <c:strRef>
                    <c:extLst xmlns:c15="http://schemas.microsoft.com/office/drawing/2012/chart">
                      <c:ext xmlns:c15="http://schemas.microsoft.com/office/drawing/2012/chart" uri="{02D57815-91ED-43cb-92C2-25804820EDAC}">
                        <c15:formulaRef>
                          <c15:sqref>'Table for graphs '!$A$87</c15:sqref>
                        </c15:formulaRef>
                      </c:ext>
                    </c:extLst>
                    <c:strCache>
                      <c:ptCount val="1"/>
                      <c:pt idx="0">
                        <c:v>Sarcoma - Reported Backlog Total</c:v>
                      </c:pt>
                    </c:strCache>
                  </c:strRef>
                </c:tx>
                <c:spPr>
                  <a:solidFill>
                    <a:schemeClr val="accent5">
                      <a:tint val="4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'!$B$87:$CB$87</c15:sqref>
                        </c15:formulaRef>
                      </c:ext>
                    </c:extLst>
                    <c:numCache>
                      <c:formatCode>0</c:formatCode>
                      <c:ptCount val="79"/>
                      <c:pt idx="0">
                        <c:v>9</c:v>
                      </c:pt>
                      <c:pt idx="1">
                        <c:v>9</c:v>
                      </c:pt>
                      <c:pt idx="2">
                        <c:v>9</c:v>
                      </c:pt>
                      <c:pt idx="3">
                        <c:v>8</c:v>
                      </c:pt>
                      <c:pt idx="4">
                        <c:v>9</c:v>
                      </c:pt>
                      <c:pt idx="5">
                        <c:v>9</c:v>
                      </c:pt>
                      <c:pt idx="6">
                        <c:v>7</c:v>
                      </c:pt>
                      <c:pt idx="7">
                        <c:v>6</c:v>
                      </c:pt>
                      <c:pt idx="8">
                        <c:v>4</c:v>
                      </c:pt>
                      <c:pt idx="9">
                        <c:v>5</c:v>
                      </c:pt>
                      <c:pt idx="10">
                        <c:v>4</c:v>
                      </c:pt>
                      <c:pt idx="11">
                        <c:v>3</c:v>
                      </c:pt>
                      <c:pt idx="12">
                        <c:v>4</c:v>
                      </c:pt>
                      <c:pt idx="13">
                        <c:v>4</c:v>
                      </c:pt>
                      <c:pt idx="14">
                        <c:v>7</c:v>
                      </c:pt>
                      <c:pt idx="15">
                        <c:v>7</c:v>
                      </c:pt>
                      <c:pt idx="16">
                        <c:v>11</c:v>
                      </c:pt>
                      <c:pt idx="17">
                        <c:v>9</c:v>
                      </c:pt>
                      <c:pt idx="18">
                        <c:v>11</c:v>
                      </c:pt>
                      <c:pt idx="19">
                        <c:v>10</c:v>
                      </c:pt>
                      <c:pt idx="20">
                        <c:v>9</c:v>
                      </c:pt>
                      <c:pt idx="21">
                        <c:v>9</c:v>
                      </c:pt>
                      <c:pt idx="22">
                        <c:v>7</c:v>
                      </c:pt>
                      <c:pt idx="23">
                        <c:v>8</c:v>
                      </c:pt>
                      <c:pt idx="24">
                        <c:v>9</c:v>
                      </c:pt>
                      <c:pt idx="25">
                        <c:v>7</c:v>
                      </c:pt>
                      <c:pt idx="26">
                        <c:v>6</c:v>
                      </c:pt>
                      <c:pt idx="27">
                        <c:v>8</c:v>
                      </c:pt>
                      <c:pt idx="28">
                        <c:v>7</c:v>
                      </c:pt>
                      <c:pt idx="29">
                        <c:v>5</c:v>
                      </c:pt>
                      <c:pt idx="30">
                        <c:v>4</c:v>
                      </c:pt>
                      <c:pt idx="31">
                        <c:v>3</c:v>
                      </c:pt>
                      <c:pt idx="32">
                        <c:v>2</c:v>
                      </c:pt>
                      <c:pt idx="33">
                        <c:v>2</c:v>
                      </c:pt>
                      <c:pt idx="34">
                        <c:v>3</c:v>
                      </c:pt>
                      <c:pt idx="35">
                        <c:v>2</c:v>
                      </c:pt>
                      <c:pt idx="36">
                        <c:v>4</c:v>
                      </c:pt>
                      <c:pt idx="37">
                        <c:v>4</c:v>
                      </c:pt>
                      <c:pt idx="38">
                        <c:v>5</c:v>
                      </c:pt>
                      <c:pt idx="39">
                        <c:v>5</c:v>
                      </c:pt>
                      <c:pt idx="40">
                        <c:v>4</c:v>
                      </c:pt>
                      <c:pt idx="41">
                        <c:v>4</c:v>
                      </c:pt>
                      <c:pt idx="42">
                        <c:v>6</c:v>
                      </c:pt>
                      <c:pt idx="43">
                        <c:v>8</c:v>
                      </c:pt>
                      <c:pt idx="44">
                        <c:v>7</c:v>
                      </c:pt>
                      <c:pt idx="45">
                        <c:v>5</c:v>
                      </c:pt>
                      <c:pt idx="46">
                        <c:v>6</c:v>
                      </c:pt>
                      <c:pt idx="47">
                        <c:v>7</c:v>
                      </c:pt>
                      <c:pt idx="48">
                        <c:v>6</c:v>
                      </c:pt>
                      <c:pt idx="49">
                        <c:v>5</c:v>
                      </c:pt>
                      <c:pt idx="50">
                        <c:v>3</c:v>
                      </c:pt>
                      <c:pt idx="51">
                        <c:v>6</c:v>
                      </c:pt>
                      <c:pt idx="52">
                        <c:v>6</c:v>
                      </c:pt>
                      <c:pt idx="53">
                        <c:v>4</c:v>
                      </c:pt>
                      <c:pt idx="54">
                        <c:v>4</c:v>
                      </c:pt>
                      <c:pt idx="55">
                        <c:v>4</c:v>
                      </c:pt>
                      <c:pt idx="56">
                        <c:v>2</c:v>
                      </c:pt>
                      <c:pt idx="57">
                        <c:v>2</c:v>
                      </c:pt>
                      <c:pt idx="58">
                        <c:v>2</c:v>
                      </c:pt>
                      <c:pt idx="59">
                        <c:v>2</c:v>
                      </c:pt>
                      <c:pt idx="60">
                        <c:v>1</c:v>
                      </c:pt>
                      <c:pt idx="61">
                        <c:v>1</c:v>
                      </c:pt>
                      <c:pt idx="62">
                        <c:v>5</c:v>
                      </c:pt>
                      <c:pt idx="63">
                        <c:v>6</c:v>
                      </c:pt>
                      <c:pt idx="64">
                        <c:v>7</c:v>
                      </c:pt>
                      <c:pt idx="65">
                        <c:v>8</c:v>
                      </c:pt>
                      <c:pt idx="66">
                        <c:v>7</c:v>
                      </c:pt>
                    </c:numCache>
                  </c:numRef>
                </c:val>
                <c:extLst xmlns:c15="http://schemas.microsoft.com/office/drawing/2012/chart">
                  <c:ext xmlns:c16="http://schemas.microsoft.com/office/drawing/2014/chart" uri="{C3380CC4-5D6E-409C-BE32-E72D297353CC}">
                    <c16:uniqueId val="{0000005F-DE8D-488D-855A-43F38F7C7045}"/>
                  </c:ext>
                </c:extLst>
              </c15:ser>
            </c15:filteredBarSeries>
            <c15:filteredBarSeries>
              <c15:ser>
                <c:idx val="86"/>
                <c:order val="86"/>
                <c:tx>
                  <c:strRef>
                    <c:extLst xmlns:c15="http://schemas.microsoft.com/office/drawing/2012/chart">
                      <c:ext xmlns:c15="http://schemas.microsoft.com/office/drawing/2012/chart" uri="{02D57815-91ED-43cb-92C2-25804820EDAC}">
                        <c15:formulaRef>
                          <c15:sqref>'Table for graphs '!$A$88</c15:sqref>
                        </c15:formulaRef>
                      </c:ext>
                    </c:extLst>
                    <c:strCache>
                      <c:ptCount val="1"/>
                      <c:pt idx="0">
                        <c:v>Skin - Reported Backlog Total</c:v>
                      </c:pt>
                    </c:strCache>
                  </c:strRef>
                </c:tx>
                <c:spPr>
                  <a:solidFill>
                    <a:schemeClr val="accent5">
                      <a:tint val="4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'!$B$88:$CB$88</c15:sqref>
                        </c15:formulaRef>
                      </c:ext>
                    </c:extLst>
                    <c:numCache>
                      <c:formatCode>0</c:formatCode>
                      <c:ptCount val="79"/>
                      <c:pt idx="0">
                        <c:v>20</c:v>
                      </c:pt>
                      <c:pt idx="1">
                        <c:v>26</c:v>
                      </c:pt>
                      <c:pt idx="2">
                        <c:v>32</c:v>
                      </c:pt>
                      <c:pt idx="3">
                        <c:v>31</c:v>
                      </c:pt>
                      <c:pt idx="4">
                        <c:v>33</c:v>
                      </c:pt>
                      <c:pt idx="5">
                        <c:v>32</c:v>
                      </c:pt>
                      <c:pt idx="6">
                        <c:v>32</c:v>
                      </c:pt>
                      <c:pt idx="7">
                        <c:v>34</c:v>
                      </c:pt>
                      <c:pt idx="8">
                        <c:v>31</c:v>
                      </c:pt>
                      <c:pt idx="9">
                        <c:v>24</c:v>
                      </c:pt>
                      <c:pt idx="10">
                        <c:v>26</c:v>
                      </c:pt>
                      <c:pt idx="11">
                        <c:v>28</c:v>
                      </c:pt>
                      <c:pt idx="12">
                        <c:v>32</c:v>
                      </c:pt>
                      <c:pt idx="13">
                        <c:v>44</c:v>
                      </c:pt>
                      <c:pt idx="14">
                        <c:v>40</c:v>
                      </c:pt>
                      <c:pt idx="15">
                        <c:v>41</c:v>
                      </c:pt>
                      <c:pt idx="16">
                        <c:v>43</c:v>
                      </c:pt>
                      <c:pt idx="17">
                        <c:v>32</c:v>
                      </c:pt>
                      <c:pt idx="18">
                        <c:v>36</c:v>
                      </c:pt>
                      <c:pt idx="19">
                        <c:v>35</c:v>
                      </c:pt>
                      <c:pt idx="20">
                        <c:v>34</c:v>
                      </c:pt>
                      <c:pt idx="21">
                        <c:v>32</c:v>
                      </c:pt>
                      <c:pt idx="22">
                        <c:v>27</c:v>
                      </c:pt>
                      <c:pt idx="23">
                        <c:v>25</c:v>
                      </c:pt>
                      <c:pt idx="24">
                        <c:v>28</c:v>
                      </c:pt>
                      <c:pt idx="25">
                        <c:v>24</c:v>
                      </c:pt>
                      <c:pt idx="26">
                        <c:v>21</c:v>
                      </c:pt>
                      <c:pt idx="27">
                        <c:v>23</c:v>
                      </c:pt>
                      <c:pt idx="28">
                        <c:v>14</c:v>
                      </c:pt>
                      <c:pt idx="29">
                        <c:v>18</c:v>
                      </c:pt>
                      <c:pt idx="30">
                        <c:v>20</c:v>
                      </c:pt>
                      <c:pt idx="31">
                        <c:v>14</c:v>
                      </c:pt>
                      <c:pt idx="32">
                        <c:v>16</c:v>
                      </c:pt>
                      <c:pt idx="33">
                        <c:v>14</c:v>
                      </c:pt>
                      <c:pt idx="34">
                        <c:v>16</c:v>
                      </c:pt>
                      <c:pt idx="35">
                        <c:v>19</c:v>
                      </c:pt>
                      <c:pt idx="36">
                        <c:v>19</c:v>
                      </c:pt>
                      <c:pt idx="37">
                        <c:v>16</c:v>
                      </c:pt>
                      <c:pt idx="38">
                        <c:v>12</c:v>
                      </c:pt>
                      <c:pt idx="39">
                        <c:v>18</c:v>
                      </c:pt>
                      <c:pt idx="40">
                        <c:v>17</c:v>
                      </c:pt>
                      <c:pt idx="41">
                        <c:v>18</c:v>
                      </c:pt>
                      <c:pt idx="42">
                        <c:v>16</c:v>
                      </c:pt>
                      <c:pt idx="43">
                        <c:v>15</c:v>
                      </c:pt>
                      <c:pt idx="44">
                        <c:v>15</c:v>
                      </c:pt>
                      <c:pt idx="45">
                        <c:v>29</c:v>
                      </c:pt>
                      <c:pt idx="46">
                        <c:v>35</c:v>
                      </c:pt>
                      <c:pt idx="47">
                        <c:v>37</c:v>
                      </c:pt>
                      <c:pt idx="48">
                        <c:v>44</c:v>
                      </c:pt>
                      <c:pt idx="49">
                        <c:v>36</c:v>
                      </c:pt>
                      <c:pt idx="50">
                        <c:v>31</c:v>
                      </c:pt>
                      <c:pt idx="51">
                        <c:v>38</c:v>
                      </c:pt>
                      <c:pt idx="52">
                        <c:v>50</c:v>
                      </c:pt>
                      <c:pt idx="53">
                        <c:v>45</c:v>
                      </c:pt>
                      <c:pt idx="54">
                        <c:v>42</c:v>
                      </c:pt>
                      <c:pt idx="55">
                        <c:v>43</c:v>
                      </c:pt>
                      <c:pt idx="56">
                        <c:v>42</c:v>
                      </c:pt>
                      <c:pt idx="57">
                        <c:v>42</c:v>
                      </c:pt>
                      <c:pt idx="58">
                        <c:v>35</c:v>
                      </c:pt>
                      <c:pt idx="59">
                        <c:v>38</c:v>
                      </c:pt>
                      <c:pt idx="60">
                        <c:v>36</c:v>
                      </c:pt>
                      <c:pt idx="61">
                        <c:v>30</c:v>
                      </c:pt>
                      <c:pt idx="62">
                        <c:v>19</c:v>
                      </c:pt>
                      <c:pt idx="63">
                        <c:v>22</c:v>
                      </c:pt>
                      <c:pt idx="64">
                        <c:v>24</c:v>
                      </c:pt>
                      <c:pt idx="65">
                        <c:v>26</c:v>
                      </c:pt>
                      <c:pt idx="66">
                        <c:v>20</c:v>
                      </c:pt>
                    </c:numCache>
                  </c:numRef>
                </c:val>
                <c:extLst xmlns:c15="http://schemas.microsoft.com/office/drawing/2012/chart">
                  <c:ext xmlns:c16="http://schemas.microsoft.com/office/drawing/2014/chart" uri="{C3380CC4-5D6E-409C-BE32-E72D297353CC}">
                    <c16:uniqueId val="{00000060-DE8D-488D-855A-43F38F7C7045}"/>
                  </c:ext>
                </c:extLst>
              </c15:ser>
            </c15:filteredBarSeries>
            <c15:filteredBarSeries>
              <c15:ser>
                <c:idx val="87"/>
                <c:order val="87"/>
                <c:tx>
                  <c:strRef>
                    <c:extLst xmlns:c15="http://schemas.microsoft.com/office/drawing/2012/chart">
                      <c:ext xmlns:c15="http://schemas.microsoft.com/office/drawing/2012/chart" uri="{02D57815-91ED-43cb-92C2-25804820EDAC}">
                        <c15:formulaRef>
                          <c15:sqref>'Table for graphs '!$A$89</c15:sqref>
                        </c15:formulaRef>
                      </c:ext>
                    </c:extLst>
                    <c:strCache>
                      <c:ptCount val="1"/>
                      <c:pt idx="0">
                        <c:v>Upper Gastrointestinal - Reported Backlog Total</c:v>
                      </c:pt>
                    </c:strCache>
                  </c:strRef>
                </c:tx>
                <c:spPr>
                  <a:solidFill>
                    <a:schemeClr val="accent5">
                      <a:tint val="4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'!$B$89:$CB$89</c15:sqref>
                        </c15:formulaRef>
                      </c:ext>
                    </c:extLst>
                    <c:numCache>
                      <c:formatCode>0</c:formatCode>
                      <c:ptCount val="79"/>
                      <c:pt idx="0">
                        <c:v>83</c:v>
                      </c:pt>
                      <c:pt idx="1">
                        <c:v>92</c:v>
                      </c:pt>
                      <c:pt idx="2">
                        <c:v>85</c:v>
                      </c:pt>
                      <c:pt idx="3">
                        <c:v>77</c:v>
                      </c:pt>
                      <c:pt idx="4">
                        <c:v>76</c:v>
                      </c:pt>
                      <c:pt idx="5">
                        <c:v>78</c:v>
                      </c:pt>
                      <c:pt idx="6">
                        <c:v>78</c:v>
                      </c:pt>
                      <c:pt idx="7">
                        <c:v>76</c:v>
                      </c:pt>
                      <c:pt idx="8">
                        <c:v>75</c:v>
                      </c:pt>
                      <c:pt idx="9">
                        <c:v>75</c:v>
                      </c:pt>
                      <c:pt idx="10">
                        <c:v>74</c:v>
                      </c:pt>
                      <c:pt idx="11">
                        <c:v>79</c:v>
                      </c:pt>
                      <c:pt idx="12">
                        <c:v>84</c:v>
                      </c:pt>
                      <c:pt idx="13">
                        <c:v>97</c:v>
                      </c:pt>
                      <c:pt idx="14">
                        <c:v>91</c:v>
                      </c:pt>
                      <c:pt idx="15">
                        <c:v>77</c:v>
                      </c:pt>
                      <c:pt idx="16">
                        <c:v>68</c:v>
                      </c:pt>
                      <c:pt idx="17">
                        <c:v>64</c:v>
                      </c:pt>
                      <c:pt idx="18">
                        <c:v>59</c:v>
                      </c:pt>
                      <c:pt idx="19">
                        <c:v>46</c:v>
                      </c:pt>
                      <c:pt idx="20">
                        <c:v>43</c:v>
                      </c:pt>
                      <c:pt idx="21">
                        <c:v>41</c:v>
                      </c:pt>
                      <c:pt idx="22">
                        <c:v>32</c:v>
                      </c:pt>
                      <c:pt idx="23">
                        <c:v>31</c:v>
                      </c:pt>
                      <c:pt idx="24">
                        <c:v>36</c:v>
                      </c:pt>
                      <c:pt idx="25">
                        <c:v>45</c:v>
                      </c:pt>
                      <c:pt idx="26">
                        <c:v>45</c:v>
                      </c:pt>
                      <c:pt idx="27">
                        <c:v>49</c:v>
                      </c:pt>
                      <c:pt idx="28">
                        <c:v>41</c:v>
                      </c:pt>
                      <c:pt idx="29">
                        <c:v>42</c:v>
                      </c:pt>
                      <c:pt idx="30">
                        <c:v>50</c:v>
                      </c:pt>
                      <c:pt idx="31">
                        <c:v>56</c:v>
                      </c:pt>
                      <c:pt idx="32">
                        <c:v>40</c:v>
                      </c:pt>
                      <c:pt idx="33">
                        <c:v>38</c:v>
                      </c:pt>
                      <c:pt idx="34">
                        <c:v>47</c:v>
                      </c:pt>
                      <c:pt idx="35">
                        <c:v>47</c:v>
                      </c:pt>
                      <c:pt idx="36">
                        <c:v>44</c:v>
                      </c:pt>
                      <c:pt idx="37">
                        <c:v>37</c:v>
                      </c:pt>
                      <c:pt idx="38">
                        <c:v>45</c:v>
                      </c:pt>
                      <c:pt idx="39">
                        <c:v>45</c:v>
                      </c:pt>
                      <c:pt idx="40">
                        <c:v>36</c:v>
                      </c:pt>
                      <c:pt idx="41">
                        <c:v>36</c:v>
                      </c:pt>
                      <c:pt idx="42">
                        <c:v>28</c:v>
                      </c:pt>
                      <c:pt idx="43">
                        <c:v>25</c:v>
                      </c:pt>
                      <c:pt idx="44">
                        <c:v>26</c:v>
                      </c:pt>
                      <c:pt idx="45">
                        <c:v>33</c:v>
                      </c:pt>
                      <c:pt idx="46">
                        <c:v>36</c:v>
                      </c:pt>
                      <c:pt idx="47">
                        <c:v>40</c:v>
                      </c:pt>
                      <c:pt idx="48">
                        <c:v>36</c:v>
                      </c:pt>
                      <c:pt idx="49">
                        <c:v>45</c:v>
                      </c:pt>
                      <c:pt idx="50">
                        <c:v>43</c:v>
                      </c:pt>
                      <c:pt idx="51">
                        <c:v>42</c:v>
                      </c:pt>
                      <c:pt idx="52">
                        <c:v>45</c:v>
                      </c:pt>
                      <c:pt idx="53">
                        <c:v>43</c:v>
                      </c:pt>
                      <c:pt idx="54">
                        <c:v>34</c:v>
                      </c:pt>
                      <c:pt idx="55">
                        <c:v>34</c:v>
                      </c:pt>
                      <c:pt idx="56">
                        <c:v>29</c:v>
                      </c:pt>
                      <c:pt idx="57">
                        <c:v>28</c:v>
                      </c:pt>
                      <c:pt idx="58">
                        <c:v>25</c:v>
                      </c:pt>
                      <c:pt idx="59">
                        <c:v>26</c:v>
                      </c:pt>
                      <c:pt idx="60">
                        <c:v>30</c:v>
                      </c:pt>
                      <c:pt idx="61">
                        <c:v>32</c:v>
                      </c:pt>
                      <c:pt idx="62">
                        <c:v>26</c:v>
                      </c:pt>
                      <c:pt idx="63">
                        <c:v>31</c:v>
                      </c:pt>
                      <c:pt idx="64">
                        <c:v>36</c:v>
                      </c:pt>
                      <c:pt idx="65">
                        <c:v>41</c:v>
                      </c:pt>
                      <c:pt idx="66">
                        <c:v>37</c:v>
                      </c:pt>
                    </c:numCache>
                  </c:numRef>
                </c:val>
                <c:extLst xmlns:c15="http://schemas.microsoft.com/office/drawing/2012/chart">
                  <c:ext xmlns:c16="http://schemas.microsoft.com/office/drawing/2014/chart" uri="{C3380CC4-5D6E-409C-BE32-E72D297353CC}">
                    <c16:uniqueId val="{00000061-DE8D-488D-855A-43F38F7C7045}"/>
                  </c:ext>
                </c:extLst>
              </c15:ser>
            </c15:filteredBarSeries>
            <c15:filteredBarSeries>
              <c15:ser>
                <c:idx val="88"/>
                <c:order val="88"/>
                <c:tx>
                  <c:strRef>
                    <c:extLst xmlns:c15="http://schemas.microsoft.com/office/drawing/2012/chart">
                      <c:ext xmlns:c15="http://schemas.microsoft.com/office/drawing/2012/chart" uri="{02D57815-91ED-43cb-92C2-25804820EDAC}">
                        <c15:formulaRef>
                          <c15:sqref>'Table for graphs '!$A$90</c15:sqref>
                        </c15:formulaRef>
                      </c:ext>
                    </c:extLst>
                    <c:strCache>
                      <c:ptCount val="1"/>
                      <c:pt idx="0">
                        <c:v>Urological - Reported Backlog Total</c:v>
                      </c:pt>
                    </c:strCache>
                  </c:strRef>
                </c:tx>
                <c:spPr>
                  <a:solidFill>
                    <a:schemeClr val="accent5">
                      <a:tint val="3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'!$B$90:$CB$90</c15:sqref>
                        </c15:formulaRef>
                      </c:ext>
                    </c:extLst>
                    <c:numCache>
                      <c:formatCode>0</c:formatCode>
                      <c:ptCount val="79"/>
                      <c:pt idx="0">
                        <c:v>86</c:v>
                      </c:pt>
                      <c:pt idx="1">
                        <c:v>92</c:v>
                      </c:pt>
                      <c:pt idx="2">
                        <c:v>90</c:v>
                      </c:pt>
                      <c:pt idx="3">
                        <c:v>83</c:v>
                      </c:pt>
                      <c:pt idx="4">
                        <c:v>79</c:v>
                      </c:pt>
                      <c:pt idx="5">
                        <c:v>84</c:v>
                      </c:pt>
                      <c:pt idx="6">
                        <c:v>79</c:v>
                      </c:pt>
                      <c:pt idx="7">
                        <c:v>70</c:v>
                      </c:pt>
                      <c:pt idx="8">
                        <c:v>63</c:v>
                      </c:pt>
                      <c:pt idx="9">
                        <c:v>68</c:v>
                      </c:pt>
                      <c:pt idx="10">
                        <c:v>55</c:v>
                      </c:pt>
                      <c:pt idx="11">
                        <c:v>52</c:v>
                      </c:pt>
                      <c:pt idx="12">
                        <c:v>60</c:v>
                      </c:pt>
                      <c:pt idx="13">
                        <c:v>65</c:v>
                      </c:pt>
                      <c:pt idx="14">
                        <c:v>59</c:v>
                      </c:pt>
                      <c:pt idx="15">
                        <c:v>61</c:v>
                      </c:pt>
                      <c:pt idx="16">
                        <c:v>65</c:v>
                      </c:pt>
                      <c:pt idx="17">
                        <c:v>72</c:v>
                      </c:pt>
                      <c:pt idx="18">
                        <c:v>69</c:v>
                      </c:pt>
                      <c:pt idx="19">
                        <c:v>59</c:v>
                      </c:pt>
                      <c:pt idx="20">
                        <c:v>65</c:v>
                      </c:pt>
                      <c:pt idx="21">
                        <c:v>60</c:v>
                      </c:pt>
                      <c:pt idx="22">
                        <c:v>55</c:v>
                      </c:pt>
                      <c:pt idx="23">
                        <c:v>50</c:v>
                      </c:pt>
                      <c:pt idx="24">
                        <c:v>54</c:v>
                      </c:pt>
                      <c:pt idx="25">
                        <c:v>59</c:v>
                      </c:pt>
                      <c:pt idx="26">
                        <c:v>53</c:v>
                      </c:pt>
                      <c:pt idx="27">
                        <c:v>53</c:v>
                      </c:pt>
                      <c:pt idx="28">
                        <c:v>56</c:v>
                      </c:pt>
                      <c:pt idx="29">
                        <c:v>48</c:v>
                      </c:pt>
                      <c:pt idx="30">
                        <c:v>51</c:v>
                      </c:pt>
                      <c:pt idx="31">
                        <c:v>60</c:v>
                      </c:pt>
                      <c:pt idx="32">
                        <c:v>54</c:v>
                      </c:pt>
                      <c:pt idx="33">
                        <c:v>61</c:v>
                      </c:pt>
                      <c:pt idx="34">
                        <c:v>52</c:v>
                      </c:pt>
                      <c:pt idx="35">
                        <c:v>58</c:v>
                      </c:pt>
                      <c:pt idx="36">
                        <c:v>56</c:v>
                      </c:pt>
                      <c:pt idx="37">
                        <c:v>51</c:v>
                      </c:pt>
                      <c:pt idx="38">
                        <c:v>51</c:v>
                      </c:pt>
                      <c:pt idx="39">
                        <c:v>50</c:v>
                      </c:pt>
                      <c:pt idx="40">
                        <c:v>45</c:v>
                      </c:pt>
                      <c:pt idx="41">
                        <c:v>46</c:v>
                      </c:pt>
                      <c:pt idx="42">
                        <c:v>49</c:v>
                      </c:pt>
                      <c:pt idx="43">
                        <c:v>56</c:v>
                      </c:pt>
                      <c:pt idx="44">
                        <c:v>55</c:v>
                      </c:pt>
                      <c:pt idx="45">
                        <c:v>56</c:v>
                      </c:pt>
                      <c:pt idx="46">
                        <c:v>46</c:v>
                      </c:pt>
                      <c:pt idx="47">
                        <c:v>46</c:v>
                      </c:pt>
                      <c:pt idx="48">
                        <c:v>52</c:v>
                      </c:pt>
                      <c:pt idx="49">
                        <c:v>57</c:v>
                      </c:pt>
                      <c:pt idx="50">
                        <c:v>55</c:v>
                      </c:pt>
                      <c:pt idx="51">
                        <c:v>52</c:v>
                      </c:pt>
                      <c:pt idx="52">
                        <c:v>53</c:v>
                      </c:pt>
                      <c:pt idx="53">
                        <c:v>53</c:v>
                      </c:pt>
                      <c:pt idx="54">
                        <c:v>54</c:v>
                      </c:pt>
                      <c:pt idx="55">
                        <c:v>55</c:v>
                      </c:pt>
                      <c:pt idx="56">
                        <c:v>53</c:v>
                      </c:pt>
                      <c:pt idx="57">
                        <c:v>53</c:v>
                      </c:pt>
                      <c:pt idx="58">
                        <c:v>53</c:v>
                      </c:pt>
                      <c:pt idx="59">
                        <c:v>51</c:v>
                      </c:pt>
                      <c:pt idx="60">
                        <c:v>44</c:v>
                      </c:pt>
                      <c:pt idx="61">
                        <c:v>45</c:v>
                      </c:pt>
                      <c:pt idx="62">
                        <c:v>47</c:v>
                      </c:pt>
                      <c:pt idx="63">
                        <c:v>46</c:v>
                      </c:pt>
                      <c:pt idx="64">
                        <c:v>49</c:v>
                      </c:pt>
                      <c:pt idx="65">
                        <c:v>54</c:v>
                      </c:pt>
                      <c:pt idx="66">
                        <c:v>56</c:v>
                      </c:pt>
                    </c:numCache>
                  </c:numRef>
                </c:val>
                <c:extLst xmlns:c15="http://schemas.microsoft.com/office/drawing/2012/chart">
                  <c:ext xmlns:c16="http://schemas.microsoft.com/office/drawing/2014/chart" uri="{C3380CC4-5D6E-409C-BE32-E72D297353CC}">
                    <c16:uniqueId val="{00000062-DE8D-488D-855A-43F38F7C7045}"/>
                  </c:ext>
                </c:extLst>
              </c15:ser>
            </c15:filteredBarSeries>
            <c15:filteredBarSeries>
              <c15:ser>
                <c:idx val="90"/>
                <c:order val="90"/>
                <c:tx>
                  <c:strRef>
                    <c:extLst xmlns:c15="http://schemas.microsoft.com/office/drawing/2012/chart">
                      <c:ext xmlns:c15="http://schemas.microsoft.com/office/drawing/2012/chart" uri="{02D57815-91ED-43cb-92C2-25804820EDAC}">
                        <c15:formulaRef>
                          <c15:sqref>'Table for graphs '!$A$92</c15:sqref>
                        </c15:formulaRef>
                      </c:ext>
                    </c:extLst>
                    <c:strCache>
                      <c:ptCount val="1"/>
                      <c:pt idx="0">
                        <c:v>Difference (Trajectory to reported)</c:v>
                      </c:pt>
                    </c:strCache>
                  </c:strRef>
                </c:tx>
                <c:spPr>
                  <a:solidFill>
                    <a:schemeClr val="accent5">
                      <a:tint val="3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'!$B$92:$CB$92</c15:sqref>
                        </c15:formulaRef>
                      </c:ext>
                    </c:extLst>
                    <c:numCache>
                      <c:formatCode>General</c:formatCode>
                      <c:ptCount val="79"/>
                      <c:pt idx="23" formatCode="0">
                        <c:v>12.370935000000031</c:v>
                      </c:pt>
                      <c:pt idx="24" formatCode="0">
                        <c:v>51.493418850000012</c:v>
                      </c:pt>
                      <c:pt idx="25" formatCode="0">
                        <c:v>74.918777023000018</c:v>
                      </c:pt>
                      <c:pt idx="26" formatCode="0">
                        <c:v>66.96304358445002</c:v>
                      </c:pt>
                      <c:pt idx="27" formatCode="0">
                        <c:v>89.249068749349703</c:v>
                      </c:pt>
                      <c:pt idx="28" formatCode="0">
                        <c:v>16.912099202529987</c:v>
                      </c:pt>
                      <c:pt idx="29" formatCode="0">
                        <c:v>32.694930119425862</c:v>
                      </c:pt>
                      <c:pt idx="30" formatCode="0">
                        <c:v>63.030299383594866</c:v>
                      </c:pt>
                      <c:pt idx="31" formatCode="0">
                        <c:v>54.819855306063118</c:v>
                      </c:pt>
                      <c:pt idx="32" formatCode="0">
                        <c:v>16.430565931126011</c:v>
                      </c:pt>
                      <c:pt idx="33" formatCode="0">
                        <c:v>22.419482372226582</c:v>
                      </c:pt>
                      <c:pt idx="34" formatCode="0">
                        <c:v>64.144987285648313</c:v>
                      </c:pt>
                      <c:pt idx="35" formatCode="0">
                        <c:v>44.722845578408851</c:v>
                      </c:pt>
                      <c:pt idx="36" formatCode="0">
                        <c:v>41.625991183614815</c:v>
                      </c:pt>
                      <c:pt idx="37" formatCode="0">
                        <c:v>41.923727556253368</c:v>
                      </c:pt>
                      <c:pt idx="38" formatCode="0">
                        <c:v>49.63667175598539</c:v>
                      </c:pt>
                      <c:pt idx="39" formatCode="0">
                        <c:v>29.832417933537329</c:v>
                      </c:pt>
                      <c:pt idx="40" formatCode="0">
                        <c:v>7.6216444060659114</c:v>
                      </c:pt>
                      <c:pt idx="41" formatCode="0">
                        <c:v>3.3175343498922985</c:v>
                      </c:pt>
                      <c:pt idx="42" formatCode="0">
                        <c:v>-4.9355996642547098</c:v>
                      </c:pt>
                      <c:pt idx="43" formatCode="0">
                        <c:v>-23.947433356534248</c:v>
                      </c:pt>
                      <c:pt idx="44" formatCode="0">
                        <c:v>-1.0524007709057059</c:v>
                      </c:pt>
                      <c:pt idx="45" formatCode="0">
                        <c:v>14.137144865373671</c:v>
                      </c:pt>
                      <c:pt idx="46" formatCode="0">
                        <c:v>25.418953236445248</c:v>
                      </c:pt>
                      <c:pt idx="47" formatCode="0">
                        <c:v>27.294291864528475</c:v>
                      </c:pt>
                      <c:pt idx="48" formatCode="0">
                        <c:v>39.510311555097644</c:v>
                      </c:pt>
                      <c:pt idx="49" formatCode="0">
                        <c:v>81.332875253287511</c:v>
                      </c:pt>
                      <c:pt idx="50" formatCode="0">
                        <c:v>38.378620683888755</c:v>
                      </c:pt>
                      <c:pt idx="51" formatCode="0">
                        <c:v>29.651013037864743</c:v>
                      </c:pt>
                      <c:pt idx="52" formatCode="0">
                        <c:v>39.411560455199776</c:v>
                      </c:pt>
                      <c:pt idx="53" formatCode="0">
                        <c:v>16.529093128132899</c:v>
                      </c:pt>
                      <c:pt idx="54" formatCode="0">
                        <c:v>24.017544438816344</c:v>
                      </c:pt>
                      <c:pt idx="55" formatCode="0">
                        <c:v>47.560650780411322</c:v>
                      </c:pt>
                      <c:pt idx="56" formatCode="0">
                        <c:v>38.364522593460492</c:v>
                      </c:pt>
                      <c:pt idx="57" formatCode="0">
                        <c:v>34.512058885671877</c:v>
                      </c:pt>
                      <c:pt idx="58" formatCode="0">
                        <c:v>30.641137873656874</c:v>
                      </c:pt>
                      <c:pt idx="59" formatCode="0">
                        <c:v>47.190764435862718</c:v>
                      </c:pt>
                      <c:pt idx="60" formatCode="0">
                        <c:v>44.265040462188779</c:v>
                      </c:pt>
                      <c:pt idx="61" formatCode="0">
                        <c:v>30.694852415215507</c:v>
                      </c:pt>
                      <c:pt idx="62" formatCode="0">
                        <c:v>32.401268326053355</c:v>
                      </c:pt>
                      <c:pt idx="63" formatCode="0">
                        <c:v>39.015167238690879</c:v>
                      </c:pt>
                      <c:pt idx="64" formatCode="0">
                        <c:v>36.81364594336992</c:v>
                      </c:pt>
                      <c:pt idx="65" formatCode="0">
                        <c:v>44.726610954314538</c:v>
                      </c:pt>
                      <c:pt idx="66" formatCode="0">
                        <c:v>29.582459885750154</c:v>
                      </c:pt>
                    </c:numCache>
                  </c:numRef>
                </c:val>
                <c:extLst xmlns:c15="http://schemas.microsoft.com/office/drawing/2012/chart">
                  <c:ext xmlns:c16="http://schemas.microsoft.com/office/drawing/2014/chart" uri="{C3380CC4-5D6E-409C-BE32-E72D297353CC}">
                    <c16:uniqueId val="{00000063-DE8D-488D-855A-43F38F7C7045}"/>
                  </c:ext>
                </c:extLst>
              </c15:ser>
            </c15:filteredBarSeries>
            <c15:filteredBarSeries>
              <c15:ser>
                <c:idx val="91"/>
                <c:order val="91"/>
                <c:tx>
                  <c:strRef>
                    <c:extLst xmlns:c15="http://schemas.microsoft.com/office/drawing/2012/chart">
                      <c:ext xmlns:c15="http://schemas.microsoft.com/office/drawing/2012/chart" uri="{02D57815-91ED-43cb-92C2-25804820EDAC}">
                        <c15:formulaRef>
                          <c15:sqref>'Table for graphs '!$A$93</c15:sqref>
                        </c15:formulaRef>
                      </c:ext>
                    </c:extLst>
                    <c:strCache>
                      <c:ptCount val="1"/>
                      <c:pt idx="0">
                        <c:v>% Difference (Trajectory to Reported)</c:v>
                      </c:pt>
                    </c:strCache>
                  </c:strRef>
                </c:tx>
                <c:spPr>
                  <a:solidFill>
                    <a:schemeClr val="accent5">
                      <a:tint val="3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'!$B$93:$CB$93</c15:sqref>
                        </c15:formulaRef>
                      </c:ext>
                    </c:extLst>
                    <c:numCache>
                      <c:formatCode>General</c:formatCode>
                      <c:ptCount val="79"/>
                      <c:pt idx="23" formatCode="0%">
                        <c:v>3.4884154235919812E-2</c:v>
                      </c:pt>
                      <c:pt idx="24" formatCode="0%">
                        <c:v>0.14817969397757408</c:v>
                      </c:pt>
                      <c:pt idx="25" formatCode="0%">
                        <c:v>0.22560377353280497</c:v>
                      </c:pt>
                      <c:pt idx="26" formatCode="0%">
                        <c:v>0.20665248904071171</c:v>
                      </c:pt>
                      <c:pt idx="27" formatCode="0%">
                        <c:v>0.25664652695069612</c:v>
                      </c:pt>
                      <c:pt idx="28" formatCode="0%">
                        <c:v>4.533006609536417E-2</c:v>
                      </c:pt>
                      <c:pt idx="29" formatCode="0%">
                        <c:v>9.2279035494598954E-2</c:v>
                      </c:pt>
                      <c:pt idx="30" formatCode="0%">
                        <c:v>0.18218444930667466</c:v>
                      </c:pt>
                      <c:pt idx="31" formatCode="0%">
                        <c:v>0.15391047514220491</c:v>
                      </c:pt>
                      <c:pt idx="32" formatCode="0%">
                        <c:v>4.3516673884488342E-2</c:v>
                      </c:pt>
                      <c:pt idx="33" formatCode="0%">
                        <c:v>6.1325703343561758E-2</c:v>
                      </c:pt>
                      <c:pt idx="34" formatCode="0%">
                        <c:v>0.18334734376957798</c:v>
                      </c:pt>
                      <c:pt idx="35" formatCode="0%">
                        <c:v>0.1211091589146896</c:v>
                      </c:pt>
                      <c:pt idx="36" formatCode="0%">
                        <c:v>0.11550775074021431</c:v>
                      </c:pt>
                      <c:pt idx="37" formatCode="0%">
                        <c:v>0.12219943762834108</c:v>
                      </c:pt>
                      <c:pt idx="38" formatCode="0%">
                        <c:v>0.1502487337799264</c:v>
                      </c:pt>
                      <c:pt idx="39" formatCode="0%">
                        <c:v>9.2312532534287395E-2</c:v>
                      </c:pt>
                      <c:pt idx="40" formatCode="0%">
                        <c:v>2.4014379908809322E-2</c:v>
                      </c:pt>
                      <c:pt idx="41" formatCode="0%">
                        <c:v>1.0217781065724138E-2</c:v>
                      </c:pt>
                      <c:pt idx="42" formatCode="0%">
                        <c:v>-1.4605148641215426E-2</c:v>
                      </c:pt>
                      <c:pt idx="43" formatCode="0%">
                        <c:v>-6.9023232496218237E-2</c:v>
                      </c:pt>
                      <c:pt idx="44" formatCode="0%">
                        <c:v>-3.1693816050190017E-3</c:v>
                      </c:pt>
                      <c:pt idx="45" formatCode="0%">
                        <c:v>4.1232652221316508E-2</c:v>
                      </c:pt>
                      <c:pt idx="46" formatCode="0%">
                        <c:v>7.4853863249158561E-2</c:v>
                      </c:pt>
                      <c:pt idx="47" formatCode="0%">
                        <c:v>8.0111049544481686E-2</c:v>
                      </c:pt>
                      <c:pt idx="48" formatCode="0%">
                        <c:v>0.11337584113724612</c:v>
                      </c:pt>
                      <c:pt idx="49" formatCode="0%">
                        <c:v>0.24230217753573463</c:v>
                      </c:pt>
                      <c:pt idx="50" formatCode="0%">
                        <c:v>0.11267237764389343</c:v>
                      </c:pt>
                      <c:pt idx="51" formatCode="0%">
                        <c:v>8.9216498924496207E-2</c:v>
                      </c:pt>
                      <c:pt idx="52" formatCode="0%">
                        <c:v>0.12293506438086099</c:v>
                      </c:pt>
                      <c:pt idx="53" formatCode="0%">
                        <c:v>5.2898022710673911E-2</c:v>
                      </c:pt>
                      <c:pt idx="54" formatCode="0%">
                        <c:v>7.9270413180628177E-2</c:v>
                      </c:pt>
                      <c:pt idx="55" formatCode="0%">
                        <c:v>0.16720840808735732</c:v>
                      </c:pt>
                      <c:pt idx="56" formatCode="0%">
                        <c:v>0.13818306994420462</c:v>
                      </c:pt>
                      <c:pt idx="57" formatCode="0%">
                        <c:v>0.12806531803599483</c:v>
                      </c:pt>
                      <c:pt idx="58" formatCode="0%">
                        <c:v>0.11768809259424322</c:v>
                      </c:pt>
                      <c:pt idx="59" formatCode="0%">
                        <c:v>0.18815401406458587</c:v>
                      </c:pt>
                      <c:pt idx="60" formatCode="0%">
                        <c:v>0.183874583679801</c:v>
                      </c:pt>
                      <c:pt idx="61" formatCode="0%">
                        <c:v>0.13213160678677083</c:v>
                      </c:pt>
                      <c:pt idx="62" formatCode="0%">
                        <c:v>0.14298962790610675</c:v>
                      </c:pt>
                      <c:pt idx="63" formatCode="0%">
                        <c:v>0.17341243300646336</c:v>
                      </c:pt>
                      <c:pt idx="64" formatCode="0%">
                        <c:v>0.15520979733336757</c:v>
                      </c:pt>
                      <c:pt idx="65" formatCode="0%">
                        <c:v>0.17184473264173669</c:v>
                      </c:pt>
                      <c:pt idx="66" formatCode="0%">
                        <c:v>0.10859234641551897</c:v>
                      </c:pt>
                    </c:numCache>
                  </c:numRef>
                </c:val>
                <c:extLst xmlns:c15="http://schemas.microsoft.com/office/drawing/2012/chart">
                  <c:ext xmlns:c16="http://schemas.microsoft.com/office/drawing/2014/chart" uri="{C3380CC4-5D6E-409C-BE32-E72D297353CC}">
                    <c16:uniqueId val="{00000064-DE8D-488D-855A-43F38F7C7045}"/>
                  </c:ext>
                </c:extLst>
              </c15:ser>
            </c15:filteredBarSeries>
            <c15:filteredBarSeries>
              <c15:ser>
                <c:idx val="92"/>
                <c:order val="92"/>
                <c:tx>
                  <c:strRef>
                    <c:extLst xmlns:c15="http://schemas.microsoft.com/office/drawing/2012/chart">
                      <c:ext xmlns:c15="http://schemas.microsoft.com/office/drawing/2012/chart" uri="{02D57815-91ED-43cb-92C2-25804820EDAC}">
                        <c15:formulaRef>
                          <c15:sqref>'Table for graphs '!$A$94</c15:sqref>
                        </c15:formulaRef>
                      </c:ext>
                    </c:extLst>
                    <c:strCache>
                      <c:ptCount val="1"/>
                      <c:pt idx="0">
                        <c:v>Difference (Week to Week)</c:v>
                      </c:pt>
                    </c:strCache>
                  </c:strRef>
                </c:tx>
                <c:spPr>
                  <a:solidFill>
                    <a:schemeClr val="accent5">
                      <a:tint val="3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'!$B$94:$CB$94</c15:sqref>
                        </c15:formulaRef>
                      </c:ext>
                    </c:extLst>
                    <c:numCache>
                      <c:formatCode>0</c:formatCode>
                      <c:ptCount val="79"/>
                      <c:pt idx="1">
                        <c:v>14</c:v>
                      </c:pt>
                      <c:pt idx="2">
                        <c:v>-13</c:v>
                      </c:pt>
                      <c:pt idx="3">
                        <c:v>-40</c:v>
                      </c:pt>
                      <c:pt idx="4">
                        <c:v>12</c:v>
                      </c:pt>
                      <c:pt idx="5">
                        <c:v>0</c:v>
                      </c:pt>
                      <c:pt idx="6">
                        <c:v>-17</c:v>
                      </c:pt>
                      <c:pt idx="7">
                        <c:v>-21</c:v>
                      </c:pt>
                      <c:pt idx="8">
                        <c:v>-27</c:v>
                      </c:pt>
                      <c:pt idx="9">
                        <c:v>-13</c:v>
                      </c:pt>
                      <c:pt idx="10">
                        <c:v>-14</c:v>
                      </c:pt>
                      <c:pt idx="11">
                        <c:v>21</c:v>
                      </c:pt>
                      <c:pt idx="12">
                        <c:v>69</c:v>
                      </c:pt>
                      <c:pt idx="13">
                        <c:v>42</c:v>
                      </c:pt>
                      <c:pt idx="14">
                        <c:v>-10</c:v>
                      </c:pt>
                      <c:pt idx="15">
                        <c:v>-39</c:v>
                      </c:pt>
                      <c:pt idx="16">
                        <c:v>-30</c:v>
                      </c:pt>
                      <c:pt idx="17">
                        <c:v>-21</c:v>
                      </c:pt>
                      <c:pt idx="18">
                        <c:v>-15</c:v>
                      </c:pt>
                      <c:pt idx="19">
                        <c:v>-21</c:v>
                      </c:pt>
                      <c:pt idx="20">
                        <c:v>-14</c:v>
                      </c:pt>
                      <c:pt idx="21">
                        <c:v>-12.759999999999991</c:v>
                      </c:pt>
                      <c:pt idx="22">
                        <c:v>-58.497500000000002</c:v>
                      </c:pt>
                      <c:pt idx="23">
                        <c:v>3.2574999999999932</c:v>
                      </c:pt>
                      <c:pt idx="24">
                        <c:v>32</c:v>
                      </c:pt>
                      <c:pt idx="25">
                        <c:v>8</c:v>
                      </c:pt>
                      <c:pt idx="26">
                        <c:v>-16</c:v>
                      </c:pt>
                      <c:pt idx="27">
                        <c:v>46</c:v>
                      </c:pt>
                      <c:pt idx="28">
                        <c:v>-47</c:v>
                      </c:pt>
                      <c:pt idx="29">
                        <c:v>-3</c:v>
                      </c:pt>
                      <c:pt idx="30">
                        <c:v>22</c:v>
                      </c:pt>
                      <c:pt idx="31">
                        <c:v>2</c:v>
                      </c:pt>
                      <c:pt idx="32">
                        <c:v>-17</c:v>
                      </c:pt>
                      <c:pt idx="33">
                        <c:v>-6</c:v>
                      </c:pt>
                      <c:pt idx="34">
                        <c:v>26</c:v>
                      </c:pt>
                      <c:pt idx="35">
                        <c:v>0</c:v>
                      </c:pt>
                      <c:pt idx="36">
                        <c:v>-12</c:v>
                      </c:pt>
                      <c:pt idx="37">
                        <c:v>-17</c:v>
                      </c:pt>
                      <c:pt idx="38">
                        <c:v>-5</c:v>
                      </c:pt>
                      <c:pt idx="39">
                        <c:v>-27</c:v>
                      </c:pt>
                      <c:pt idx="40">
                        <c:v>-28</c:v>
                      </c:pt>
                      <c:pt idx="41">
                        <c:v>3</c:v>
                      </c:pt>
                      <c:pt idx="42">
                        <c:v>5</c:v>
                      </c:pt>
                      <c:pt idx="43">
                        <c:v>-10</c:v>
                      </c:pt>
                      <c:pt idx="44">
                        <c:v>8</c:v>
                      </c:pt>
                      <c:pt idx="45">
                        <c:v>26</c:v>
                      </c:pt>
                      <c:pt idx="46">
                        <c:v>8</c:v>
                      </c:pt>
                      <c:pt idx="47">
                        <c:v>3</c:v>
                      </c:pt>
                      <c:pt idx="48">
                        <c:v>20</c:v>
                      </c:pt>
                      <c:pt idx="49">
                        <c:v>29</c:v>
                      </c:pt>
                      <c:pt idx="50">
                        <c:v>-38</c:v>
                      </c:pt>
                      <c:pt idx="51">
                        <c:v>-17</c:v>
                      </c:pt>
                      <c:pt idx="52">
                        <c:v>-2</c:v>
                      </c:pt>
                      <c:pt idx="53">
                        <c:v>-31</c:v>
                      </c:pt>
                      <c:pt idx="54">
                        <c:v>-2</c:v>
                      </c:pt>
                      <c:pt idx="55">
                        <c:v>5</c:v>
                      </c:pt>
                      <c:pt idx="56">
                        <c:v>-16</c:v>
                      </c:pt>
                      <c:pt idx="57">
                        <c:v>-12</c:v>
                      </c:pt>
                      <c:pt idx="58">
                        <c:v>-13</c:v>
                      </c:pt>
                      <c:pt idx="59">
                        <c:v>7</c:v>
                      </c:pt>
                      <c:pt idx="60">
                        <c:v>-13</c:v>
                      </c:pt>
                      <c:pt idx="61">
                        <c:v>-22</c:v>
                      </c:pt>
                      <c:pt idx="62">
                        <c:v>-4</c:v>
                      </c:pt>
                      <c:pt idx="63">
                        <c:v>5</c:v>
                      </c:pt>
                      <c:pt idx="64">
                        <c:v>10</c:v>
                      </c:pt>
                      <c:pt idx="65">
                        <c:v>31</c:v>
                      </c:pt>
                      <c:pt idx="66">
                        <c:v>-3</c:v>
                      </c:pt>
                    </c:numCache>
                  </c:numRef>
                </c:val>
                <c:extLst xmlns:c15="http://schemas.microsoft.com/office/drawing/2012/chart">
                  <c:ext xmlns:c16="http://schemas.microsoft.com/office/drawing/2014/chart" uri="{C3380CC4-5D6E-409C-BE32-E72D297353CC}">
                    <c16:uniqueId val="{00000065-DE8D-488D-855A-43F38F7C7045}"/>
                  </c:ext>
                </c:extLst>
              </c15:ser>
            </c15:filteredBarSeries>
            <c15:filteredBarSeries>
              <c15:ser>
                <c:idx val="93"/>
                <c:order val="93"/>
                <c:tx>
                  <c:strRef>
                    <c:extLst xmlns:c15="http://schemas.microsoft.com/office/drawing/2012/chart">
                      <c:ext xmlns:c15="http://schemas.microsoft.com/office/drawing/2012/chart" uri="{02D57815-91ED-43cb-92C2-25804820EDAC}">
                        <c15:formulaRef>
                          <c15:sqref>'Table for graphs '!$A$95</c15:sqref>
                        </c15:formulaRef>
                      </c:ext>
                    </c:extLst>
                    <c:strCache>
                      <c:ptCount val="1"/>
                      <c:pt idx="0">
                        <c:v>% Difference (Week to Week)</c:v>
                      </c:pt>
                    </c:strCache>
                  </c:strRef>
                </c:tx>
                <c:spPr>
                  <a:solidFill>
                    <a:schemeClr val="accent5">
                      <a:tint val="3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'!$B$95:$CB$95</c15:sqref>
                        </c15:formulaRef>
                      </c:ext>
                    </c:extLst>
                    <c:numCache>
                      <c:formatCode>0%</c:formatCode>
                      <c:ptCount val="79"/>
                      <c:pt idx="1">
                        <c:v>2.4475524475524476E-2</c:v>
                      </c:pt>
                      <c:pt idx="2">
                        <c:v>-2.2184300341296929E-2</c:v>
                      </c:pt>
                      <c:pt idx="3">
                        <c:v>-6.9808027923211169E-2</c:v>
                      </c:pt>
                      <c:pt idx="4">
                        <c:v>2.2514071294559099E-2</c:v>
                      </c:pt>
                      <c:pt idx="5">
                        <c:v>0</c:v>
                      </c:pt>
                      <c:pt idx="6">
                        <c:v>-3.1192660550458717E-2</c:v>
                      </c:pt>
                      <c:pt idx="7">
                        <c:v>-3.9772727272727272E-2</c:v>
                      </c:pt>
                      <c:pt idx="8">
                        <c:v>-5.3254437869822487E-2</c:v>
                      </c:pt>
                      <c:pt idx="9">
                        <c:v>-2.7083333333333334E-2</c:v>
                      </c:pt>
                      <c:pt idx="10">
                        <c:v>-2.9978586723768737E-2</c:v>
                      </c:pt>
                      <c:pt idx="11">
                        <c:v>4.6357615894039736E-2</c:v>
                      </c:pt>
                      <c:pt idx="12">
                        <c:v>0.14556962025316456</c:v>
                      </c:pt>
                      <c:pt idx="13">
                        <c:v>7.7348066298342538E-2</c:v>
                      </c:pt>
                      <c:pt idx="14">
                        <c:v>-1.7094017094017096E-2</c:v>
                      </c:pt>
                      <c:pt idx="15">
                        <c:v>-6.7826086956521744E-2</c:v>
                      </c:pt>
                      <c:pt idx="16">
                        <c:v>-5.5970149253731345E-2</c:v>
                      </c:pt>
                      <c:pt idx="17">
                        <c:v>-4.1501976284584984E-2</c:v>
                      </c:pt>
                      <c:pt idx="18">
                        <c:v>-3.0927835051546393E-2</c:v>
                      </c:pt>
                      <c:pt idx="19">
                        <c:v>-4.4680851063829789E-2</c:v>
                      </c:pt>
                      <c:pt idx="20">
                        <c:v>-3.1180400890868598E-2</c:v>
                      </c:pt>
                      <c:pt idx="21">
                        <c:v>-2.9333333333333312E-2</c:v>
                      </c:pt>
                      <c:pt idx="22">
                        <c:v>-0.13854087722622205</c:v>
                      </c:pt>
                      <c:pt idx="23">
                        <c:v>8.955511110194693E-3</c:v>
                      </c:pt>
                      <c:pt idx="24">
                        <c:v>8.7193460490463212E-2</c:v>
                      </c:pt>
                      <c:pt idx="25">
                        <c:v>2.0050125313283207E-2</c:v>
                      </c:pt>
                      <c:pt idx="26">
                        <c:v>-3.9312039312039311E-2</c:v>
                      </c:pt>
                      <c:pt idx="27">
                        <c:v>0.11764705882352941</c:v>
                      </c:pt>
                      <c:pt idx="28">
                        <c:v>-0.10755148741418764</c:v>
                      </c:pt>
                      <c:pt idx="29">
                        <c:v>-7.6923076923076927E-3</c:v>
                      </c:pt>
                      <c:pt idx="30">
                        <c:v>5.6847545219638244E-2</c:v>
                      </c:pt>
                      <c:pt idx="31">
                        <c:v>4.8899755501222494E-3</c:v>
                      </c:pt>
                      <c:pt idx="32">
                        <c:v>-4.1362530413625302E-2</c:v>
                      </c:pt>
                      <c:pt idx="33">
                        <c:v>-1.5228426395939087E-2</c:v>
                      </c:pt>
                      <c:pt idx="34">
                        <c:v>6.7010309278350513E-2</c:v>
                      </c:pt>
                      <c:pt idx="35">
                        <c:v>0</c:v>
                      </c:pt>
                      <c:pt idx="36">
                        <c:v>-2.8985507246376812E-2</c:v>
                      </c:pt>
                      <c:pt idx="37">
                        <c:v>-4.228855721393035E-2</c:v>
                      </c:pt>
                      <c:pt idx="38">
                        <c:v>-1.2987012987012988E-2</c:v>
                      </c:pt>
                      <c:pt idx="39">
                        <c:v>-7.1052631578947367E-2</c:v>
                      </c:pt>
                      <c:pt idx="40">
                        <c:v>-7.9320113314447591E-2</c:v>
                      </c:pt>
                      <c:pt idx="41">
                        <c:v>9.2307692307692316E-3</c:v>
                      </c:pt>
                      <c:pt idx="42">
                        <c:v>1.524390243902439E-2</c:v>
                      </c:pt>
                      <c:pt idx="43">
                        <c:v>-3.003003003003003E-2</c:v>
                      </c:pt>
                      <c:pt idx="44">
                        <c:v>2.4767801857585141E-2</c:v>
                      </c:pt>
                      <c:pt idx="45">
                        <c:v>7.8549848942598186E-2</c:v>
                      </c:pt>
                      <c:pt idx="46">
                        <c:v>2.2408963585434174E-2</c:v>
                      </c:pt>
                      <c:pt idx="47">
                        <c:v>8.21917808219178E-3</c:v>
                      </c:pt>
                      <c:pt idx="48">
                        <c:v>5.434782608695652E-2</c:v>
                      </c:pt>
                      <c:pt idx="49">
                        <c:v>7.4742268041237112E-2</c:v>
                      </c:pt>
                      <c:pt idx="50">
                        <c:v>-9.1127098321342928E-2</c:v>
                      </c:pt>
                      <c:pt idx="51">
                        <c:v>-4.4854881266490766E-2</c:v>
                      </c:pt>
                      <c:pt idx="52">
                        <c:v>-5.5248618784530384E-3</c:v>
                      </c:pt>
                      <c:pt idx="53">
                        <c:v>-8.611111111111111E-2</c:v>
                      </c:pt>
                      <c:pt idx="54">
                        <c:v>-6.0790273556231003E-3</c:v>
                      </c:pt>
                      <c:pt idx="55">
                        <c:v>1.5290519877675841E-2</c:v>
                      </c:pt>
                      <c:pt idx="56">
                        <c:v>-4.8192771084337352E-2</c:v>
                      </c:pt>
                      <c:pt idx="57">
                        <c:v>-3.7974683544303799E-2</c:v>
                      </c:pt>
                      <c:pt idx="58">
                        <c:v>-4.2763157894736843E-2</c:v>
                      </c:pt>
                      <c:pt idx="59">
                        <c:v>2.4054982817869417E-2</c:v>
                      </c:pt>
                      <c:pt idx="60">
                        <c:v>-4.3624161073825503E-2</c:v>
                      </c:pt>
                      <c:pt idx="61">
                        <c:v>-7.7192982456140355E-2</c:v>
                      </c:pt>
                      <c:pt idx="62">
                        <c:v>-1.5209125475285171E-2</c:v>
                      </c:pt>
                      <c:pt idx="63">
                        <c:v>1.9305019305019305E-2</c:v>
                      </c:pt>
                      <c:pt idx="64">
                        <c:v>3.787878787878788E-2</c:v>
                      </c:pt>
                      <c:pt idx="65">
                        <c:v>0.11313868613138686</c:v>
                      </c:pt>
                      <c:pt idx="66">
                        <c:v>-9.8360655737704927E-3</c:v>
                      </c:pt>
                    </c:numCache>
                  </c:numRef>
                </c:val>
                <c:extLst xmlns:c15="http://schemas.microsoft.com/office/drawing/2012/chart">
                  <c:ext xmlns:c16="http://schemas.microsoft.com/office/drawing/2014/chart" uri="{C3380CC4-5D6E-409C-BE32-E72D297353CC}">
                    <c16:uniqueId val="{00000066-DE8D-488D-855A-43F38F7C7045}"/>
                  </c:ext>
                </c:extLst>
              </c15:ser>
            </c15:filteredBarSeries>
          </c:ext>
        </c:extLst>
      </c:barChart>
      <c:lineChart>
        <c:grouping val="standard"/>
        <c:varyColors val="0"/>
        <c:ser>
          <c:idx val="44"/>
          <c:order val="44"/>
          <c:tx>
            <c:strRef>
              <c:f>'Table for graphs '!$A$46</c:f>
              <c:strCache>
                <c:ptCount val="1"/>
                <c:pt idx="0">
                  <c:v>Trajectory Total Backlog All Sites</c:v>
                </c:pt>
              </c:strCache>
            </c:strRef>
          </c:tx>
          <c:spPr>
            <a:ln w="28575" cap="rnd">
              <a:solidFill>
                <a:schemeClr val="tx1">
                  <a:lumMod val="50000"/>
                  <a:lumOff val="50000"/>
                </a:schemeClr>
              </a:solidFill>
              <a:round/>
            </a:ln>
            <a:effectLst/>
          </c:spPr>
          <c:marker>
            <c:symbol val="none"/>
          </c:marker>
          <c:dLbls>
            <c:dLbl>
              <c:idx val="60"/>
              <c:delete val="1"/>
              <c:extLst>
                <c:ext xmlns:c15="http://schemas.microsoft.com/office/drawing/2012/chart" uri="{CE6537A1-D6FC-4f65-9D91-7224C49458BB}"/>
                <c:ext xmlns:c16="http://schemas.microsoft.com/office/drawing/2014/chart" uri="{C3380CC4-5D6E-409C-BE32-E72D297353CC}">
                  <c16:uniqueId val="{00000004-DE8D-488D-855A-43F38F7C7045}"/>
                </c:ext>
              </c:extLst>
            </c:dLbl>
            <c:dLbl>
              <c:idx val="64"/>
              <c:delete val="1"/>
              <c:extLst>
                <c:ext xmlns:c15="http://schemas.microsoft.com/office/drawing/2012/chart" uri="{CE6537A1-D6FC-4f65-9D91-7224C49458BB}"/>
                <c:ext xmlns:c16="http://schemas.microsoft.com/office/drawing/2014/chart" uri="{C3380CC4-5D6E-409C-BE32-E72D297353CC}">
                  <c16:uniqueId val="{00000005-DE8D-488D-855A-43F38F7C7045}"/>
                </c:ext>
              </c:extLst>
            </c:dLbl>
            <c:dLbl>
              <c:idx val="66"/>
              <c:dLblPos val="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E8D-488D-855A-43F38F7C7045}"/>
                </c:ext>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'!$B$46:$CB$46</c:f>
              <c:numCache>
                <c:formatCode>General</c:formatCode>
                <c:ptCount val="79"/>
                <c:pt idx="19" formatCode="0">
                  <c:v>449</c:v>
                </c:pt>
                <c:pt idx="20" formatCode="0">
                  <c:v>435</c:v>
                </c:pt>
                <c:pt idx="21" formatCode="0">
                  <c:v>422.24</c:v>
                </c:pt>
                <c:pt idx="22" formatCode="0">
                  <c:v>363.74250000000001</c:v>
                </c:pt>
                <c:pt idx="23" formatCode="0">
                  <c:v>354.62906499999997</c:v>
                </c:pt>
                <c:pt idx="24" formatCode="0">
                  <c:v>347.50658114999999</c:v>
                </c:pt>
                <c:pt idx="25" formatCode="0">
                  <c:v>332.08122297699998</c:v>
                </c:pt>
                <c:pt idx="26" formatCode="0">
                  <c:v>324.03695641554998</c:v>
                </c:pt>
                <c:pt idx="27" formatCode="0">
                  <c:v>347.7509312506503</c:v>
                </c:pt>
                <c:pt idx="28" formatCode="0">
                  <c:v>373.08790079747001</c:v>
                </c:pt>
                <c:pt idx="29" formatCode="0">
                  <c:v>354.30506988057414</c:v>
                </c:pt>
                <c:pt idx="30" formatCode="0">
                  <c:v>345.96970061640513</c:v>
                </c:pt>
                <c:pt idx="31" formatCode="0">
                  <c:v>356.18014469393688</c:v>
                </c:pt>
                <c:pt idx="32" formatCode="0">
                  <c:v>377.56943406887399</c:v>
                </c:pt>
                <c:pt idx="33" formatCode="0">
                  <c:v>365.58051762777342</c:v>
                </c:pt>
                <c:pt idx="34" formatCode="0">
                  <c:v>349.85501271435169</c:v>
                </c:pt>
                <c:pt idx="35" formatCode="0">
                  <c:v>369.27715442159115</c:v>
                </c:pt>
                <c:pt idx="36" formatCode="0">
                  <c:v>360.37400881638519</c:v>
                </c:pt>
                <c:pt idx="37" formatCode="0">
                  <c:v>343.07627244374663</c:v>
                </c:pt>
                <c:pt idx="38" formatCode="0">
                  <c:v>330.36332824401461</c:v>
                </c:pt>
                <c:pt idx="39" formatCode="0">
                  <c:v>323.16758206646267</c:v>
                </c:pt>
                <c:pt idx="40" formatCode="0">
                  <c:v>317.37835559393409</c:v>
                </c:pt>
                <c:pt idx="41" formatCode="0">
                  <c:v>324.6824656501077</c:v>
                </c:pt>
                <c:pt idx="42" formatCode="0">
                  <c:v>337.93559966425471</c:v>
                </c:pt>
                <c:pt idx="43" formatCode="0">
                  <c:v>346.94743335653425</c:v>
                </c:pt>
                <c:pt idx="44" formatCode="0">
                  <c:v>332.05240077090571</c:v>
                </c:pt>
                <c:pt idx="45" formatCode="0">
                  <c:v>342.86285513462633</c:v>
                </c:pt>
                <c:pt idx="46" formatCode="0">
                  <c:v>339.58104676355475</c:v>
                </c:pt>
                <c:pt idx="47" formatCode="0">
                  <c:v>340.70570813547153</c:v>
                </c:pt>
                <c:pt idx="48" formatCode="0">
                  <c:v>348.48968844490236</c:v>
                </c:pt>
                <c:pt idx="49" formatCode="0">
                  <c:v>335.66712474671249</c:v>
                </c:pt>
                <c:pt idx="50" formatCode="0">
                  <c:v>340.62137931611124</c:v>
                </c:pt>
                <c:pt idx="51" formatCode="0">
                  <c:v>332.34898696213526</c:v>
                </c:pt>
                <c:pt idx="52" formatCode="0">
                  <c:v>320.58843954480022</c:v>
                </c:pt>
                <c:pt idx="53" formatCode="0">
                  <c:v>312.4709068718671</c:v>
                </c:pt>
                <c:pt idx="54" formatCode="0">
                  <c:v>302.98245556118366</c:v>
                </c:pt>
                <c:pt idx="55" formatCode="0">
                  <c:v>284.43934921958868</c:v>
                </c:pt>
                <c:pt idx="56" formatCode="0">
                  <c:v>277.63547740653951</c:v>
                </c:pt>
                <c:pt idx="57" formatCode="0">
                  <c:v>269.48794111432812</c:v>
                </c:pt>
                <c:pt idx="58" formatCode="0">
                  <c:v>260.35886212634313</c:v>
                </c:pt>
                <c:pt idx="59" formatCode="0">
                  <c:v>250.80923556413728</c:v>
                </c:pt>
                <c:pt idx="60" formatCode="0">
                  <c:v>240.73495953781122</c:v>
                </c:pt>
                <c:pt idx="61" formatCode="0">
                  <c:v>232.30514758478449</c:v>
                </c:pt>
                <c:pt idx="62" formatCode="0">
                  <c:v>226.59873167394665</c:v>
                </c:pt>
                <c:pt idx="63" formatCode="0">
                  <c:v>224.98483276130912</c:v>
                </c:pt>
                <c:pt idx="64" formatCode="0">
                  <c:v>237.18635405663008</c:v>
                </c:pt>
                <c:pt idx="65" formatCode="0">
                  <c:v>260.27338904568546</c:v>
                </c:pt>
                <c:pt idx="66" formatCode="0">
                  <c:v>272.41754011424985</c:v>
                </c:pt>
                <c:pt idx="67" formatCode="0">
                  <c:v>249.98780746245498</c:v>
                </c:pt>
                <c:pt idx="68" formatCode="0">
                  <c:v>237.38237845607017</c:v>
                </c:pt>
                <c:pt idx="69" formatCode="0">
                  <c:v>230.86773915955138</c:v>
                </c:pt>
                <c:pt idx="70" formatCode="0">
                  <c:v>224.21657413344468</c:v>
                </c:pt>
                <c:pt idx="71" formatCode="0">
                  <c:v>219.30212202464742</c:v>
                </c:pt>
                <c:pt idx="72" formatCode="0">
                  <c:v>218.49792231277826</c:v>
                </c:pt>
                <c:pt idx="73" formatCode="0">
                  <c:v>215.81214437005522</c:v>
                </c:pt>
                <c:pt idx="74" formatCode="0">
                  <c:v>213.89700865745732</c:v>
                </c:pt>
                <c:pt idx="75" formatCode="0">
                  <c:v>207.84734541638161</c:v>
                </c:pt>
                <c:pt idx="76" formatCode="0">
                  <c:v>207.78177849939016</c:v>
                </c:pt>
                <c:pt idx="77" formatCode="0">
                  <c:v>208.30580889720582</c:v>
                </c:pt>
                <c:pt idx="78" formatCode="0">
                  <c:v>231.76378226764805</c:v>
                </c:pt>
              </c:numCache>
            </c:numRef>
          </c:val>
          <c:smooth val="0"/>
          <c:extLst>
            <c:ext xmlns:c16="http://schemas.microsoft.com/office/drawing/2014/chart" uri="{C3380CC4-5D6E-409C-BE32-E72D297353CC}">
              <c16:uniqueId val="{00000007-DE8D-488D-855A-43F38F7C7045}"/>
            </c:ext>
          </c:extLst>
        </c:ser>
        <c:ser>
          <c:idx val="89"/>
          <c:order val="89"/>
          <c:tx>
            <c:strRef>
              <c:f>'Table for graphs '!$A$91</c:f>
              <c:strCache>
                <c:ptCount val="1"/>
                <c:pt idx="0">
                  <c:v>Total Reported Backlog All Sites</c:v>
                </c:pt>
              </c:strCache>
            </c:strRef>
          </c:tx>
          <c:spPr>
            <a:ln w="28575" cap="rnd">
              <a:solidFill>
                <a:schemeClr val="accent2"/>
              </a:solidFill>
              <a:round/>
            </a:ln>
            <a:effectLst/>
          </c:spPr>
          <c:marker>
            <c:symbol val="none"/>
          </c:marker>
          <c:dLbls>
            <c:dLbl>
              <c:idx val="61"/>
              <c:delete val="1"/>
              <c:extLst>
                <c:ext xmlns:c15="http://schemas.microsoft.com/office/drawing/2012/chart" uri="{CE6537A1-D6FC-4f65-9D91-7224C49458BB}"/>
                <c:ext xmlns:c16="http://schemas.microsoft.com/office/drawing/2014/chart" uri="{C3380CC4-5D6E-409C-BE32-E72D297353CC}">
                  <c16:uniqueId val="{00000008-DE8D-488D-855A-43F38F7C7045}"/>
                </c:ext>
              </c:extLst>
            </c:dLbl>
            <c:dLbl>
              <c:idx val="63"/>
              <c:delete val="1"/>
              <c:extLst>
                <c:ext xmlns:c15="http://schemas.microsoft.com/office/drawing/2012/chart" uri="{CE6537A1-D6FC-4f65-9D91-7224C49458BB}"/>
                <c:ext xmlns:c16="http://schemas.microsoft.com/office/drawing/2014/chart" uri="{C3380CC4-5D6E-409C-BE32-E72D297353CC}">
                  <c16:uniqueId val="{00000009-DE8D-488D-855A-43F38F7C7045}"/>
                </c:ext>
              </c:extLst>
            </c:dLbl>
            <c:dLbl>
              <c:idx val="64"/>
              <c:delete val="1"/>
              <c:extLst>
                <c:ext xmlns:c15="http://schemas.microsoft.com/office/drawing/2012/chart" uri="{CE6537A1-D6FC-4f65-9D91-7224C49458BB}"/>
                <c:ext xmlns:c16="http://schemas.microsoft.com/office/drawing/2014/chart" uri="{C3380CC4-5D6E-409C-BE32-E72D297353CC}">
                  <c16:uniqueId val="{0000000A-DE8D-488D-855A-43F38F7C7045}"/>
                </c:ext>
              </c:extLst>
            </c:dLbl>
            <c:dLbl>
              <c:idx val="66"/>
              <c:layout>
                <c:manualLayout>
                  <c:x val="-2.3856621187891475E-2"/>
                  <c:y val="-0.12501143118427069"/>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DE8D-488D-855A-43F38F7C7045}"/>
                </c:ext>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accent2"/>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'!$B$1:$CB$1</c:f>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f>'Table for graphs '!$B$91:$CB$91</c:f>
              <c:numCache>
                <c:formatCode>0</c:formatCode>
                <c:ptCount val="79"/>
                <c:pt idx="0">
                  <c:v>572</c:v>
                </c:pt>
                <c:pt idx="1">
                  <c:v>586</c:v>
                </c:pt>
                <c:pt idx="2">
                  <c:v>573</c:v>
                </c:pt>
                <c:pt idx="3">
                  <c:v>533</c:v>
                </c:pt>
                <c:pt idx="4">
                  <c:v>545</c:v>
                </c:pt>
                <c:pt idx="5">
                  <c:v>545</c:v>
                </c:pt>
                <c:pt idx="6">
                  <c:v>528</c:v>
                </c:pt>
                <c:pt idx="7">
                  <c:v>507</c:v>
                </c:pt>
                <c:pt idx="8">
                  <c:v>480</c:v>
                </c:pt>
                <c:pt idx="9">
                  <c:v>467</c:v>
                </c:pt>
                <c:pt idx="10">
                  <c:v>453</c:v>
                </c:pt>
                <c:pt idx="11">
                  <c:v>474</c:v>
                </c:pt>
                <c:pt idx="12">
                  <c:v>543</c:v>
                </c:pt>
                <c:pt idx="13">
                  <c:v>585</c:v>
                </c:pt>
                <c:pt idx="14">
                  <c:v>575</c:v>
                </c:pt>
                <c:pt idx="15">
                  <c:v>536</c:v>
                </c:pt>
                <c:pt idx="16">
                  <c:v>506</c:v>
                </c:pt>
                <c:pt idx="17">
                  <c:v>485</c:v>
                </c:pt>
                <c:pt idx="18">
                  <c:v>470</c:v>
                </c:pt>
                <c:pt idx="19">
                  <c:v>449</c:v>
                </c:pt>
                <c:pt idx="20">
                  <c:v>435</c:v>
                </c:pt>
                <c:pt idx="21">
                  <c:v>422.24</c:v>
                </c:pt>
                <c:pt idx="22">
                  <c:v>363.74250000000001</c:v>
                </c:pt>
                <c:pt idx="23">
                  <c:v>367</c:v>
                </c:pt>
                <c:pt idx="24">
                  <c:v>399</c:v>
                </c:pt>
                <c:pt idx="25">
                  <c:v>407</c:v>
                </c:pt>
                <c:pt idx="26">
                  <c:v>391</c:v>
                </c:pt>
                <c:pt idx="27">
                  <c:v>437</c:v>
                </c:pt>
                <c:pt idx="28">
                  <c:v>390</c:v>
                </c:pt>
                <c:pt idx="29">
                  <c:v>387</c:v>
                </c:pt>
                <c:pt idx="30">
                  <c:v>409</c:v>
                </c:pt>
                <c:pt idx="31">
                  <c:v>411</c:v>
                </c:pt>
                <c:pt idx="32">
                  <c:v>394</c:v>
                </c:pt>
                <c:pt idx="33">
                  <c:v>388</c:v>
                </c:pt>
                <c:pt idx="34">
                  <c:v>414</c:v>
                </c:pt>
                <c:pt idx="35">
                  <c:v>414</c:v>
                </c:pt>
                <c:pt idx="36">
                  <c:v>402</c:v>
                </c:pt>
                <c:pt idx="37">
                  <c:v>385</c:v>
                </c:pt>
                <c:pt idx="38">
                  <c:v>380</c:v>
                </c:pt>
                <c:pt idx="39">
                  <c:v>353</c:v>
                </c:pt>
                <c:pt idx="40">
                  <c:v>325</c:v>
                </c:pt>
                <c:pt idx="41">
                  <c:v>328</c:v>
                </c:pt>
                <c:pt idx="42">
                  <c:v>333</c:v>
                </c:pt>
                <c:pt idx="43">
                  <c:v>323</c:v>
                </c:pt>
                <c:pt idx="44">
                  <c:v>331</c:v>
                </c:pt>
                <c:pt idx="45">
                  <c:v>357</c:v>
                </c:pt>
                <c:pt idx="46">
                  <c:v>365</c:v>
                </c:pt>
                <c:pt idx="47">
                  <c:v>368</c:v>
                </c:pt>
                <c:pt idx="48">
                  <c:v>388</c:v>
                </c:pt>
                <c:pt idx="49">
                  <c:v>417</c:v>
                </c:pt>
                <c:pt idx="50">
                  <c:v>379</c:v>
                </c:pt>
                <c:pt idx="51">
                  <c:v>362</c:v>
                </c:pt>
                <c:pt idx="52">
                  <c:v>360</c:v>
                </c:pt>
                <c:pt idx="53">
                  <c:v>329</c:v>
                </c:pt>
                <c:pt idx="54">
                  <c:v>327</c:v>
                </c:pt>
                <c:pt idx="55">
                  <c:v>332</c:v>
                </c:pt>
                <c:pt idx="56">
                  <c:v>316</c:v>
                </c:pt>
                <c:pt idx="57">
                  <c:v>304</c:v>
                </c:pt>
                <c:pt idx="58">
                  <c:v>291</c:v>
                </c:pt>
                <c:pt idx="59">
                  <c:v>298</c:v>
                </c:pt>
                <c:pt idx="60">
                  <c:v>285</c:v>
                </c:pt>
                <c:pt idx="61">
                  <c:v>263</c:v>
                </c:pt>
                <c:pt idx="62">
                  <c:v>259</c:v>
                </c:pt>
                <c:pt idx="63">
                  <c:v>264</c:v>
                </c:pt>
                <c:pt idx="64">
                  <c:v>274</c:v>
                </c:pt>
                <c:pt idx="65">
                  <c:v>305</c:v>
                </c:pt>
                <c:pt idx="66">
                  <c:v>302</c:v>
                </c:pt>
              </c:numCache>
            </c:numRef>
          </c:val>
          <c:smooth val="0"/>
          <c:extLst>
            <c:ext xmlns:c16="http://schemas.microsoft.com/office/drawing/2014/chart" uri="{C3380CC4-5D6E-409C-BE32-E72D297353CC}">
              <c16:uniqueId val="{0000000C-DE8D-488D-855A-43F38F7C7045}"/>
            </c:ext>
          </c:extLst>
        </c:ser>
        <c:dLbls>
          <c:showLegendKey val="0"/>
          <c:showVal val="0"/>
          <c:showCatName val="0"/>
          <c:showSerName val="0"/>
          <c:showPercent val="0"/>
          <c:showBubbleSize val="0"/>
        </c:dLbls>
        <c:marker val="1"/>
        <c:smooth val="0"/>
        <c:axId val="562671663"/>
        <c:axId val="562657519"/>
        <c:extLst>
          <c:ext xmlns:c15="http://schemas.microsoft.com/office/drawing/2012/chart" uri="{02D57815-91ED-43cb-92C2-25804820EDAC}">
            <c15:filteredLineSeries>
              <c15:ser>
                <c:idx val="0"/>
                <c:order val="0"/>
                <c:tx>
                  <c:strRef>
                    <c:extLst>
                      <c:ext uri="{02D57815-91ED-43cb-92C2-25804820EDAC}">
                        <c15:formulaRef>
                          <c15:sqref>'Table for graphs '!$A$2</c15:sqref>
                        </c15:formulaRef>
                      </c:ext>
                    </c:extLst>
                    <c:strCache>
                      <c:ptCount val="1"/>
                      <c:pt idx="0">
                        <c:v>Acute Leukaemia - Trajectory 63- 103 days</c:v>
                      </c:pt>
                    </c:strCache>
                  </c:strRef>
                </c:tx>
                <c:spPr>
                  <a:ln w="28575" cap="rnd">
                    <a:solidFill>
                      <a:schemeClr val="accent5">
                        <a:shade val="31000"/>
                      </a:schemeClr>
                    </a:solidFill>
                    <a:round/>
                  </a:ln>
                  <a:effectLst/>
                </c:spPr>
                <c:marker>
                  <c:symbol val="none"/>
                </c:marker>
                <c:cat>
                  <c:numRef>
                    <c:extLst>
                      <c:ex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c:ext uri="{02D57815-91ED-43cb-92C2-25804820EDAC}">
                        <c15:formulaRef>
                          <c15:sqref>'Table for graphs '!$B$2:$CB$2</c15:sqref>
                        </c15:formulaRef>
                      </c:ext>
                    </c:extLst>
                    <c:numCache>
                      <c:formatCode>General</c:formatCode>
                      <c:ptCount val="79"/>
                      <c:pt idx="19" formatCode="0">
                        <c:v>0</c:v>
                      </c:pt>
                      <c:pt idx="20" formatCode="0">
                        <c:v>0</c:v>
                      </c:pt>
                      <c:pt idx="21" formatCode="0">
                        <c:v>0</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c:ext xmlns:c16="http://schemas.microsoft.com/office/drawing/2014/chart" uri="{C3380CC4-5D6E-409C-BE32-E72D297353CC}">
                    <c16:uniqueId val="{0000000D-DE8D-488D-855A-43F38F7C7045}"/>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'Table for graphs '!$A$3</c15:sqref>
                        </c15:formulaRef>
                      </c:ext>
                    </c:extLst>
                    <c:strCache>
                      <c:ptCount val="1"/>
                      <c:pt idx="0">
                        <c:v>Brain/CNS - Trajectory 63- 103 days</c:v>
                      </c:pt>
                    </c:strCache>
                  </c:strRef>
                </c:tx>
                <c:spPr>
                  <a:ln w="28575" cap="rnd">
                    <a:solidFill>
                      <a:schemeClr val="accent5">
                        <a:shade val="3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'!$B$3:$CB$3</c15:sqref>
                        </c15:formulaRef>
                      </c:ext>
                    </c:extLst>
                    <c:numCache>
                      <c:formatCode>General</c:formatCode>
                      <c:ptCount val="79"/>
                      <c:pt idx="19" formatCode="0">
                        <c:v>0</c:v>
                      </c:pt>
                      <c:pt idx="20" formatCode="0">
                        <c:v>0</c:v>
                      </c:pt>
                      <c:pt idx="21" formatCode="0">
                        <c:v>0</c:v>
                      </c:pt>
                      <c:pt idx="22" formatCode="0">
                        <c:v>1</c:v>
                      </c:pt>
                      <c:pt idx="23" formatCode="0">
                        <c:v>1</c:v>
                      </c:pt>
                      <c:pt idx="24" formatCode="0">
                        <c:v>1</c:v>
                      </c:pt>
                      <c:pt idx="25" formatCode="0">
                        <c:v>1</c:v>
                      </c:pt>
                      <c:pt idx="26" formatCode="0">
                        <c:v>1</c:v>
                      </c:pt>
                      <c:pt idx="27" formatCode="0">
                        <c:v>1</c:v>
                      </c:pt>
                      <c:pt idx="28" formatCode="0">
                        <c:v>1</c:v>
                      </c:pt>
                      <c:pt idx="29" formatCode="0">
                        <c:v>1</c:v>
                      </c:pt>
                      <c:pt idx="30" formatCode="0">
                        <c:v>1</c:v>
                      </c:pt>
                      <c:pt idx="31" formatCode="0">
                        <c:v>1</c:v>
                      </c:pt>
                      <c:pt idx="32" formatCode="0">
                        <c:v>1</c:v>
                      </c:pt>
                      <c:pt idx="33" formatCode="0">
                        <c:v>1</c:v>
                      </c:pt>
                      <c:pt idx="34" formatCode="0">
                        <c:v>1</c:v>
                      </c:pt>
                      <c:pt idx="35" formatCode="0">
                        <c:v>1</c:v>
                      </c:pt>
                      <c:pt idx="36" formatCode="0">
                        <c:v>1</c:v>
                      </c:pt>
                      <c:pt idx="37" formatCode="0">
                        <c:v>1</c:v>
                      </c:pt>
                      <c:pt idx="38" formatCode="0">
                        <c:v>1</c:v>
                      </c:pt>
                      <c:pt idx="39" formatCode="0">
                        <c:v>1</c:v>
                      </c:pt>
                      <c:pt idx="40" formatCode="0">
                        <c:v>1</c:v>
                      </c:pt>
                      <c:pt idx="41" formatCode="0">
                        <c:v>1</c:v>
                      </c:pt>
                      <c:pt idx="42" formatCode="0">
                        <c:v>1</c:v>
                      </c:pt>
                      <c:pt idx="43" formatCode="0">
                        <c:v>1</c:v>
                      </c:pt>
                      <c:pt idx="44" formatCode="0">
                        <c:v>1</c:v>
                      </c:pt>
                      <c:pt idx="45" formatCode="0">
                        <c:v>1</c:v>
                      </c:pt>
                      <c:pt idx="46" formatCode="0">
                        <c:v>1</c:v>
                      </c:pt>
                      <c:pt idx="47" formatCode="0">
                        <c:v>1</c:v>
                      </c:pt>
                      <c:pt idx="48" formatCode="0">
                        <c:v>1</c:v>
                      </c:pt>
                      <c:pt idx="49" formatCode="0">
                        <c:v>1</c:v>
                      </c:pt>
                      <c:pt idx="50" formatCode="0">
                        <c:v>1</c:v>
                      </c:pt>
                      <c:pt idx="51" formatCode="0">
                        <c:v>1</c:v>
                      </c:pt>
                      <c:pt idx="52" formatCode="0">
                        <c:v>1</c:v>
                      </c:pt>
                      <c:pt idx="53" formatCode="0">
                        <c:v>1</c:v>
                      </c:pt>
                      <c:pt idx="54" formatCode="0">
                        <c:v>1</c:v>
                      </c:pt>
                      <c:pt idx="55" formatCode="0">
                        <c:v>1</c:v>
                      </c:pt>
                      <c:pt idx="56" formatCode="0">
                        <c:v>1</c:v>
                      </c:pt>
                      <c:pt idx="57" formatCode="0">
                        <c:v>1</c:v>
                      </c:pt>
                      <c:pt idx="58" formatCode="0">
                        <c:v>1</c:v>
                      </c:pt>
                      <c:pt idx="59" formatCode="0">
                        <c:v>1</c:v>
                      </c:pt>
                      <c:pt idx="60" formatCode="0">
                        <c:v>1</c:v>
                      </c:pt>
                      <c:pt idx="61" formatCode="0">
                        <c:v>1</c:v>
                      </c:pt>
                      <c:pt idx="62" formatCode="0">
                        <c:v>1</c:v>
                      </c:pt>
                      <c:pt idx="63" formatCode="0">
                        <c:v>1</c:v>
                      </c:pt>
                      <c:pt idx="64" formatCode="0">
                        <c:v>1</c:v>
                      </c:pt>
                      <c:pt idx="65" formatCode="0">
                        <c:v>1</c:v>
                      </c:pt>
                      <c:pt idx="66" formatCode="0">
                        <c:v>1</c:v>
                      </c:pt>
                      <c:pt idx="67" formatCode="0">
                        <c:v>1</c:v>
                      </c:pt>
                      <c:pt idx="68" formatCode="0">
                        <c:v>1</c:v>
                      </c:pt>
                      <c:pt idx="69" formatCode="0">
                        <c:v>1</c:v>
                      </c:pt>
                      <c:pt idx="70" formatCode="0">
                        <c:v>1</c:v>
                      </c:pt>
                      <c:pt idx="71" formatCode="0">
                        <c:v>1</c:v>
                      </c:pt>
                      <c:pt idx="72" formatCode="0">
                        <c:v>1</c:v>
                      </c:pt>
                      <c:pt idx="73" formatCode="0">
                        <c:v>1</c:v>
                      </c:pt>
                      <c:pt idx="74" formatCode="0">
                        <c:v>1</c:v>
                      </c:pt>
                      <c:pt idx="75" formatCode="0">
                        <c:v>1</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0E-DE8D-488D-855A-43F38F7C7045}"/>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'Table for graphs '!$A$4</c15:sqref>
                        </c15:formulaRef>
                      </c:ext>
                    </c:extLst>
                    <c:strCache>
                      <c:ptCount val="1"/>
                      <c:pt idx="0">
                        <c:v>Breast - Trajectory 63- 103 days</c:v>
                      </c:pt>
                    </c:strCache>
                  </c:strRef>
                </c:tx>
                <c:spPr>
                  <a:ln w="28575" cap="rnd">
                    <a:solidFill>
                      <a:schemeClr val="accent5">
                        <a:shade val="3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'!$B$4:$CB$4</c15:sqref>
                        </c15:formulaRef>
                      </c:ext>
                    </c:extLst>
                    <c:numCache>
                      <c:formatCode>General</c:formatCode>
                      <c:ptCount val="79"/>
                      <c:pt idx="19" formatCode="0">
                        <c:v>15</c:v>
                      </c:pt>
                      <c:pt idx="20" formatCode="0">
                        <c:v>8</c:v>
                      </c:pt>
                      <c:pt idx="21" formatCode="0">
                        <c:v>7.84</c:v>
                      </c:pt>
                      <c:pt idx="22" formatCode="0">
                        <c:v>7.84</c:v>
                      </c:pt>
                      <c:pt idx="23" formatCode="0">
                        <c:v>7.6831999999999994</c:v>
                      </c:pt>
                      <c:pt idx="24" formatCode="0">
                        <c:v>7.0685440000000002</c:v>
                      </c:pt>
                      <c:pt idx="25" formatCode="0">
                        <c:v>6.92717312</c:v>
                      </c:pt>
                      <c:pt idx="26" formatCode="0">
                        <c:v>6.7886296575999996</c:v>
                      </c:pt>
                      <c:pt idx="27" formatCode="0">
                        <c:v>7.8069241062399986</c:v>
                      </c:pt>
                      <c:pt idx="28" formatCode="0">
                        <c:v>8.977962722175997</c:v>
                      </c:pt>
                      <c:pt idx="29" formatCode="0">
                        <c:v>8.2597257044019177</c:v>
                      </c:pt>
                      <c:pt idx="30" formatCode="0">
                        <c:v>7.4337531339617264</c:v>
                      </c:pt>
                      <c:pt idx="31" formatCode="0">
                        <c:v>8.9205037607540714</c:v>
                      </c:pt>
                      <c:pt idx="32" formatCode="0">
                        <c:v>10.258579324867181</c:v>
                      </c:pt>
                      <c:pt idx="33" formatCode="0">
                        <c:v>8.7197924261371043</c:v>
                      </c:pt>
                      <c:pt idx="34" formatCode="0">
                        <c:v>7.8478131835233942</c:v>
                      </c:pt>
                      <c:pt idx="35" formatCode="0">
                        <c:v>9.0249851610519034</c:v>
                      </c:pt>
                      <c:pt idx="36" formatCode="0">
                        <c:v>8.1224866449467132</c:v>
                      </c:pt>
                      <c:pt idx="37" formatCode="0">
                        <c:v>6.9041136482047056</c:v>
                      </c:pt>
                      <c:pt idx="38" formatCode="0">
                        <c:v>6.2137022833842348</c:v>
                      </c:pt>
                      <c:pt idx="39" formatCode="0">
                        <c:v>5.2816469408765991</c:v>
                      </c:pt>
                      <c:pt idx="40" formatCode="0">
                        <c:v>4.7534822467889395</c:v>
                      </c:pt>
                      <c:pt idx="41" formatCode="0">
                        <c:v>4.2781340221100459</c:v>
                      </c:pt>
                      <c:pt idx="42" formatCode="0">
                        <c:v>4.2781340221100459</c:v>
                      </c:pt>
                      <c:pt idx="43" formatCode="0">
                        <c:v>4.0642273210045436</c:v>
                      </c:pt>
                      <c:pt idx="44" formatCode="0">
                        <c:v>3.8610159549543162</c:v>
                      </c:pt>
                      <c:pt idx="45" formatCode="0">
                        <c:v>4.054066752702032</c:v>
                      </c:pt>
                      <c:pt idx="46" formatCode="0">
                        <c:v>3.8513634150669303</c:v>
                      </c:pt>
                      <c:pt idx="47" formatCode="0">
                        <c:v>3.6587952443135836</c:v>
                      </c:pt>
                      <c:pt idx="48" formatCode="0">
                        <c:v>4.7564338176076593</c:v>
                      </c:pt>
                      <c:pt idx="49" formatCode="0">
                        <c:v>4.2807904358468933</c:v>
                      </c:pt>
                      <c:pt idx="50" formatCode="0">
                        <c:v>4.0667509140545484</c:v>
                      </c:pt>
                      <c:pt idx="51" formatCode="0">
                        <c:v>3.6600758226490937</c:v>
                      </c:pt>
                      <c:pt idx="52" formatCode="0">
                        <c:v>3.6600758226490937</c:v>
                      </c:pt>
                      <c:pt idx="53" formatCode="0">
                        <c:v>3.6600758226490937</c:v>
                      </c:pt>
                      <c:pt idx="54" formatCode="0">
                        <c:v>3.6600758226490937</c:v>
                      </c:pt>
                      <c:pt idx="55" formatCode="0">
                        <c:v>3.6600758226490937</c:v>
                      </c:pt>
                      <c:pt idx="56" formatCode="0">
                        <c:v>3.6600758226490937</c:v>
                      </c:pt>
                      <c:pt idx="57" formatCode="0">
                        <c:v>3.6600758226490937</c:v>
                      </c:pt>
                      <c:pt idx="58" formatCode="0">
                        <c:v>3.6600758226490937</c:v>
                      </c:pt>
                      <c:pt idx="59" formatCode="0">
                        <c:v>3.6600758226490937</c:v>
                      </c:pt>
                      <c:pt idx="60" formatCode="0">
                        <c:v>3.6600758226490937</c:v>
                      </c:pt>
                      <c:pt idx="61" formatCode="0">
                        <c:v>3.1110644492517294</c:v>
                      </c:pt>
                      <c:pt idx="62" formatCode="0">
                        <c:v>3.1110644492517294</c:v>
                      </c:pt>
                      <c:pt idx="63" formatCode="0">
                        <c:v>3.1110644492517294</c:v>
                      </c:pt>
                      <c:pt idx="64" formatCode="0">
                        <c:v>3.1110644492517294</c:v>
                      </c:pt>
                      <c:pt idx="65" formatCode="0">
                        <c:v>4.6665966738775939</c:v>
                      </c:pt>
                      <c:pt idx="66" formatCode="0">
                        <c:v>5.8332458423469919</c:v>
                      </c:pt>
                      <c:pt idx="67" formatCode="0">
                        <c:v>4.6665966738775939</c:v>
                      </c:pt>
                      <c:pt idx="68" formatCode="0">
                        <c:v>4.1999370064898347</c:v>
                      </c:pt>
                      <c:pt idx="69" formatCode="0">
                        <c:v>4.1999370064898347</c:v>
                      </c:pt>
                      <c:pt idx="70" formatCode="0">
                        <c:v>4.1999370064898347</c:v>
                      </c:pt>
                      <c:pt idx="71" formatCode="0">
                        <c:v>4.1999370064898347</c:v>
                      </c:pt>
                      <c:pt idx="72" formatCode="0">
                        <c:v>4.1999370064898347</c:v>
                      </c:pt>
                      <c:pt idx="73" formatCode="0">
                        <c:v>4.1999370064898347</c:v>
                      </c:pt>
                      <c:pt idx="74" formatCode="0">
                        <c:v>4.1999370064898347</c:v>
                      </c:pt>
                      <c:pt idx="75" formatCode="0">
                        <c:v>4.1999370064898347</c:v>
                      </c:pt>
                      <c:pt idx="76" formatCode="0">
                        <c:v>4.1999370064898347</c:v>
                      </c:pt>
                      <c:pt idx="77" formatCode="0">
                        <c:v>4.1999370064898347</c:v>
                      </c:pt>
                      <c:pt idx="78" formatCode="0">
                        <c:v>5.2499212581122929</c:v>
                      </c:pt>
                    </c:numCache>
                  </c:numRef>
                </c:val>
                <c:smooth val="0"/>
                <c:extLst xmlns:c15="http://schemas.microsoft.com/office/drawing/2012/chart">
                  <c:ext xmlns:c16="http://schemas.microsoft.com/office/drawing/2014/chart" uri="{C3380CC4-5D6E-409C-BE32-E72D297353CC}">
                    <c16:uniqueId val="{0000000F-DE8D-488D-855A-43F38F7C7045}"/>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'Table for graphs '!$A$5</c15:sqref>
                        </c15:formulaRef>
                      </c:ext>
                    </c:extLst>
                    <c:strCache>
                      <c:ptCount val="1"/>
                      <c:pt idx="0">
                        <c:v>Children's cancer - Trajectory 63- 103 days</c:v>
                      </c:pt>
                    </c:strCache>
                  </c:strRef>
                </c:tx>
                <c:spPr>
                  <a:ln w="28575" cap="rnd">
                    <a:solidFill>
                      <a:schemeClr val="accent5">
                        <a:shade val="3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'!$B$5:$CB$5</c15:sqref>
                        </c15:formulaRef>
                      </c:ext>
                    </c:extLst>
                    <c:numCache>
                      <c:formatCode>General</c:formatCode>
                      <c:ptCount val="79"/>
                      <c:pt idx="19" formatCode="0">
                        <c:v>0</c:v>
                      </c:pt>
                      <c:pt idx="20" formatCode="0">
                        <c:v>0</c:v>
                      </c:pt>
                      <c:pt idx="21" formatCode="0">
                        <c:v>0</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0-DE8D-488D-855A-43F38F7C7045}"/>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'Table for graphs '!$A$6</c15:sqref>
                        </c15:formulaRef>
                      </c:ext>
                    </c:extLst>
                    <c:strCache>
                      <c:ptCount val="1"/>
                      <c:pt idx="0">
                        <c:v>Gynaecological - Trajectory 63- 103 days</c:v>
                      </c:pt>
                    </c:strCache>
                  </c:strRef>
                </c:tx>
                <c:spPr>
                  <a:ln w="28575" cap="rnd">
                    <a:solidFill>
                      <a:schemeClr val="accent5">
                        <a:shade val="3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'!$B$6:$CB$6</c15:sqref>
                        </c15:formulaRef>
                      </c:ext>
                    </c:extLst>
                    <c:numCache>
                      <c:formatCode>General</c:formatCode>
                      <c:ptCount val="79"/>
                      <c:pt idx="19" formatCode="0">
                        <c:v>67</c:v>
                      </c:pt>
                      <c:pt idx="20" formatCode="0">
                        <c:v>65</c:v>
                      </c:pt>
                      <c:pt idx="21" formatCode="0">
                        <c:v>64.349999999999994</c:v>
                      </c:pt>
                      <c:pt idx="22" formatCode="0">
                        <c:v>59.201999999999998</c:v>
                      </c:pt>
                      <c:pt idx="23" formatCode="0">
                        <c:v>59.794019999999996</c:v>
                      </c:pt>
                      <c:pt idx="24" formatCode="0">
                        <c:v>59.196079799999993</c:v>
                      </c:pt>
                      <c:pt idx="25" formatCode="0">
                        <c:v>58.012158203999995</c:v>
                      </c:pt>
                      <c:pt idx="26" formatCode="0">
                        <c:v>57.432036621959995</c:v>
                      </c:pt>
                      <c:pt idx="27" formatCode="0">
                        <c:v>59.154997720618795</c:v>
                      </c:pt>
                      <c:pt idx="28" formatCode="0">
                        <c:v>60.929647652237357</c:v>
                      </c:pt>
                      <c:pt idx="29" formatCode="0">
                        <c:v>60.320351175714983</c:v>
                      </c:pt>
                      <c:pt idx="30" formatCode="0">
                        <c:v>59.717147663957832</c:v>
                      </c:pt>
                      <c:pt idx="31" formatCode="0">
                        <c:v>61.508662093876566</c:v>
                      </c:pt>
                      <c:pt idx="32" formatCode="0">
                        <c:v>63.353921956692865</c:v>
                      </c:pt>
                      <c:pt idx="33" formatCode="0">
                        <c:v>62.720382737125938</c:v>
                      </c:pt>
                      <c:pt idx="34" formatCode="0">
                        <c:v>62.093178909754677</c:v>
                      </c:pt>
                      <c:pt idx="35" formatCode="0">
                        <c:v>63.955974277047318</c:v>
                      </c:pt>
                      <c:pt idx="36" formatCode="0">
                        <c:v>63.316414534276845</c:v>
                      </c:pt>
                      <c:pt idx="37" formatCode="0">
                        <c:v>62.683250388934077</c:v>
                      </c:pt>
                      <c:pt idx="38" formatCode="0">
                        <c:v>62.056417885044738</c:v>
                      </c:pt>
                      <c:pt idx="39" formatCode="0">
                        <c:v>62.676982063895188</c:v>
                      </c:pt>
                      <c:pt idx="40" formatCode="0">
                        <c:v>61.423442422617285</c:v>
                      </c:pt>
                      <c:pt idx="41" formatCode="0">
                        <c:v>60.194973574164941</c:v>
                      </c:pt>
                      <c:pt idx="42" formatCode="0">
                        <c:v>60.796923309906589</c:v>
                      </c:pt>
                      <c:pt idx="43" formatCode="0">
                        <c:v>61.404892543005658</c:v>
                      </c:pt>
                      <c:pt idx="44" formatCode="0">
                        <c:v>60.790843617575604</c:v>
                      </c:pt>
                      <c:pt idx="45" formatCode="0">
                        <c:v>60.182935181399849</c:v>
                      </c:pt>
                      <c:pt idx="46" formatCode="0">
                        <c:v>59.581105829585852</c:v>
                      </c:pt>
                      <c:pt idx="47" formatCode="0">
                        <c:v>58.985294771289993</c:v>
                      </c:pt>
                      <c:pt idx="48" formatCode="0">
                        <c:v>60.754853614428697</c:v>
                      </c:pt>
                      <c:pt idx="49" formatCode="0">
                        <c:v>60.147305078284411</c:v>
                      </c:pt>
                      <c:pt idx="50" formatCode="0">
                        <c:v>59.545832027501568</c:v>
                      </c:pt>
                      <c:pt idx="51" formatCode="0">
                        <c:v>58.950373707226554</c:v>
                      </c:pt>
                      <c:pt idx="52" formatCode="0">
                        <c:v>57.181862496009757</c:v>
                      </c:pt>
                      <c:pt idx="53" formatCode="0">
                        <c:v>55.466406621129465</c:v>
                      </c:pt>
                      <c:pt idx="54" formatCode="0">
                        <c:v>53.80241442249558</c:v>
                      </c:pt>
                      <c:pt idx="55" formatCode="0">
                        <c:v>52.188341989820714</c:v>
                      </c:pt>
                      <c:pt idx="56" formatCode="0">
                        <c:v>50.622691730126093</c:v>
                      </c:pt>
                      <c:pt idx="57" formatCode="0">
                        <c:v>49.104010978222306</c:v>
                      </c:pt>
                      <c:pt idx="58" formatCode="0">
                        <c:v>47.630890648875635</c:v>
                      </c:pt>
                      <c:pt idx="59" formatCode="0">
                        <c:v>47.630890648875635</c:v>
                      </c:pt>
                      <c:pt idx="60" formatCode="0">
                        <c:v>45.249346116431852</c:v>
                      </c:pt>
                      <c:pt idx="61" formatCode="0">
                        <c:v>42.986878810610257</c:v>
                      </c:pt>
                      <c:pt idx="62" formatCode="0">
                        <c:v>40.837534870079743</c:v>
                      </c:pt>
                      <c:pt idx="63" formatCode="0">
                        <c:v>38.795658126575752</c:v>
                      </c:pt>
                      <c:pt idx="64" formatCode="0">
                        <c:v>38.795658126575752</c:v>
                      </c:pt>
                      <c:pt idx="65" formatCode="0">
                        <c:v>40.735441032904539</c:v>
                      </c:pt>
                      <c:pt idx="66" formatCode="0">
                        <c:v>42.772213084549769</c:v>
                      </c:pt>
                      <c:pt idx="67" formatCode="0">
                        <c:v>38.494991776094793</c:v>
                      </c:pt>
                      <c:pt idx="68" formatCode="0">
                        <c:v>38.494991776094793</c:v>
                      </c:pt>
                      <c:pt idx="69" formatCode="0">
                        <c:v>38.494991776094793</c:v>
                      </c:pt>
                      <c:pt idx="70" formatCode="0">
                        <c:v>38.494991776094793</c:v>
                      </c:pt>
                      <c:pt idx="71" formatCode="0">
                        <c:v>38.494991776094793</c:v>
                      </c:pt>
                      <c:pt idx="72" formatCode="0">
                        <c:v>38.494991776094793</c:v>
                      </c:pt>
                      <c:pt idx="73" formatCode="0">
                        <c:v>38.494991776094793</c:v>
                      </c:pt>
                      <c:pt idx="74" formatCode="0">
                        <c:v>38.494991776094793</c:v>
                      </c:pt>
                      <c:pt idx="75" formatCode="0">
                        <c:v>38.494991776094793</c:v>
                      </c:pt>
                      <c:pt idx="76" formatCode="0">
                        <c:v>38.494991776094793</c:v>
                      </c:pt>
                      <c:pt idx="77" formatCode="0">
                        <c:v>38.494991776094793</c:v>
                      </c:pt>
                      <c:pt idx="78" formatCode="0">
                        <c:v>42.344490953704273</c:v>
                      </c:pt>
                    </c:numCache>
                  </c:numRef>
                </c:val>
                <c:smooth val="0"/>
                <c:extLst xmlns:c15="http://schemas.microsoft.com/office/drawing/2012/chart">
                  <c:ext xmlns:c16="http://schemas.microsoft.com/office/drawing/2014/chart" uri="{C3380CC4-5D6E-409C-BE32-E72D297353CC}">
                    <c16:uniqueId val="{00000011-DE8D-488D-855A-43F38F7C7045}"/>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'Table for graphs '!$A$7</c15:sqref>
                        </c15:formulaRef>
                      </c:ext>
                    </c:extLst>
                    <c:strCache>
                      <c:ptCount val="1"/>
                      <c:pt idx="0">
                        <c:v>Haematological - Trajectory 63- 103 days</c:v>
                      </c:pt>
                    </c:strCache>
                  </c:strRef>
                </c:tx>
                <c:spPr>
                  <a:ln w="28575" cap="rnd">
                    <a:solidFill>
                      <a:schemeClr val="accent5">
                        <a:shade val="3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'!$B$7:$CB$7</c15:sqref>
                        </c15:formulaRef>
                      </c:ext>
                    </c:extLst>
                    <c:numCache>
                      <c:formatCode>General</c:formatCode>
                      <c:ptCount val="79"/>
                      <c:pt idx="19" formatCode="0">
                        <c:v>8</c:v>
                      </c:pt>
                      <c:pt idx="20" formatCode="0">
                        <c:v>6</c:v>
                      </c:pt>
                      <c:pt idx="21" formatCode="0">
                        <c:v>6</c:v>
                      </c:pt>
                      <c:pt idx="22" formatCode="0">
                        <c:v>6</c:v>
                      </c:pt>
                      <c:pt idx="23" formatCode="0">
                        <c:v>5.9399999999999995</c:v>
                      </c:pt>
                      <c:pt idx="24" formatCode="0">
                        <c:v>5.9399999999999995</c:v>
                      </c:pt>
                      <c:pt idx="25" formatCode="0">
                        <c:v>5.9399999999999995</c:v>
                      </c:pt>
                      <c:pt idx="26" formatCode="0">
                        <c:v>5.9399999999999995</c:v>
                      </c:pt>
                      <c:pt idx="27" formatCode="0">
                        <c:v>6.0587999999999997</c:v>
                      </c:pt>
                      <c:pt idx="28" formatCode="0">
                        <c:v>6.3011520000000001</c:v>
                      </c:pt>
                      <c:pt idx="29" formatCode="0">
                        <c:v>6.1121174399999996</c:v>
                      </c:pt>
                      <c:pt idx="30" formatCode="0">
                        <c:v>5.9898750911999992</c:v>
                      </c:pt>
                      <c:pt idx="31" formatCode="0">
                        <c:v>6.1096725930239995</c:v>
                      </c:pt>
                      <c:pt idx="32" formatCode="0">
                        <c:v>6.3540594967449593</c:v>
                      </c:pt>
                      <c:pt idx="33" formatCode="0">
                        <c:v>6.2269783068100599</c:v>
                      </c:pt>
                      <c:pt idx="34" formatCode="0">
                        <c:v>6.2269783068100599</c:v>
                      </c:pt>
                      <c:pt idx="35" formatCode="0">
                        <c:v>6.3515178729462614</c:v>
                      </c:pt>
                      <c:pt idx="36" formatCode="0">
                        <c:v>6.3515178729462614</c:v>
                      </c:pt>
                      <c:pt idx="37" formatCode="0">
                        <c:v>6.2244875154873363</c:v>
                      </c:pt>
                      <c:pt idx="38" formatCode="0">
                        <c:v>5.9755080148678426</c:v>
                      </c:pt>
                      <c:pt idx="39" formatCode="0">
                        <c:v>6.2742834156112348</c:v>
                      </c:pt>
                      <c:pt idx="40" formatCode="0">
                        <c:v>6.587997586391797</c:v>
                      </c:pt>
                      <c:pt idx="41" formatCode="0">
                        <c:v>6.917397465711387</c:v>
                      </c:pt>
                      <c:pt idx="42" formatCode="0">
                        <c:v>8.3008769588536637</c:v>
                      </c:pt>
                      <c:pt idx="43" formatCode="0">
                        <c:v>9.1309646547390315</c:v>
                      </c:pt>
                      <c:pt idx="44" formatCode="0">
                        <c:v>8.6744164220020803</c:v>
                      </c:pt>
                      <c:pt idx="45" formatCode="0">
                        <c:v>9.1081372431021848</c:v>
                      </c:pt>
                      <c:pt idx="46" formatCode="0">
                        <c:v>9.1081372431021848</c:v>
                      </c:pt>
                      <c:pt idx="47" formatCode="0">
                        <c:v>8.1973235187919666</c:v>
                      </c:pt>
                      <c:pt idx="48" formatCode="0">
                        <c:v>8.6071896947315647</c:v>
                      </c:pt>
                      <c:pt idx="49" formatCode="0">
                        <c:v>8.0907583130476706</c:v>
                      </c:pt>
                      <c:pt idx="50" formatCode="0">
                        <c:v>8.8998341443524378</c:v>
                      </c:pt>
                      <c:pt idx="51" formatCode="0">
                        <c:v>9.0778308272394863</c:v>
                      </c:pt>
                      <c:pt idx="52" formatCode="0">
                        <c:v>9.0778308272394863</c:v>
                      </c:pt>
                      <c:pt idx="53" formatCode="0">
                        <c:v>9.5317223686014607</c:v>
                      </c:pt>
                      <c:pt idx="54" formatCode="0">
                        <c:v>9.5317223686014607</c:v>
                      </c:pt>
                      <c:pt idx="55" formatCode="0">
                        <c:v>9.0551362501713868</c:v>
                      </c:pt>
                      <c:pt idx="56" formatCode="0">
                        <c:v>8.6023794376628171</c:v>
                      </c:pt>
                      <c:pt idx="57" formatCode="0">
                        <c:v>8.1722604657796758</c:v>
                      </c:pt>
                      <c:pt idx="58" formatCode="0">
                        <c:v>7.7636474424906918</c:v>
                      </c:pt>
                      <c:pt idx="59" formatCode="0">
                        <c:v>7.3754650703661566</c:v>
                      </c:pt>
                      <c:pt idx="60" formatCode="0">
                        <c:v>7.006691816847848</c:v>
                      </c:pt>
                      <c:pt idx="61" formatCode="0">
                        <c:v>6.6563572260054551</c:v>
                      </c:pt>
                      <c:pt idx="62" formatCode="0">
                        <c:v>6.3235393647051819</c:v>
                      </c:pt>
                      <c:pt idx="63" formatCode="0">
                        <c:v>6.3235393647051819</c:v>
                      </c:pt>
                      <c:pt idx="64" formatCode="0">
                        <c:v>6.9558933011757009</c:v>
                      </c:pt>
                      <c:pt idx="65" formatCode="0">
                        <c:v>8.3470719614108404</c:v>
                      </c:pt>
                      <c:pt idx="66" formatCode="0">
                        <c:v>10.016486353693008</c:v>
                      </c:pt>
                      <c:pt idx="67" formatCode="0">
                        <c:v>9.0148377183237081</c:v>
                      </c:pt>
                      <c:pt idx="68" formatCode="0">
                        <c:v>7.2118701746589666</c:v>
                      </c:pt>
                      <c:pt idx="69" formatCode="0">
                        <c:v>5.769496139727174</c:v>
                      </c:pt>
                      <c:pt idx="70" formatCode="0">
                        <c:v>5.192546525754457</c:v>
                      </c:pt>
                      <c:pt idx="71" formatCode="0">
                        <c:v>4.6732918731790116</c:v>
                      </c:pt>
                      <c:pt idx="72" formatCode="0">
                        <c:v>4.2059626858611106</c:v>
                      </c:pt>
                      <c:pt idx="73" formatCode="0">
                        <c:v>3.7853664172749997</c:v>
                      </c:pt>
                      <c:pt idx="74" formatCode="0">
                        <c:v>3.4068297755474997</c:v>
                      </c:pt>
                      <c:pt idx="75" formatCode="0">
                        <c:v>3.0661467979927499</c:v>
                      </c:pt>
                      <c:pt idx="76" formatCode="0">
                        <c:v>3.0661467979927499</c:v>
                      </c:pt>
                      <c:pt idx="77" formatCode="0">
                        <c:v>3.0661467979927499</c:v>
                      </c:pt>
                      <c:pt idx="78" formatCode="0">
                        <c:v>3.6793761575912995</c:v>
                      </c:pt>
                    </c:numCache>
                  </c:numRef>
                </c:val>
                <c:smooth val="0"/>
                <c:extLst xmlns:c15="http://schemas.microsoft.com/office/drawing/2012/chart">
                  <c:ext xmlns:c16="http://schemas.microsoft.com/office/drawing/2014/chart" uri="{C3380CC4-5D6E-409C-BE32-E72D297353CC}">
                    <c16:uniqueId val="{00000012-DE8D-488D-855A-43F38F7C7045}"/>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'Table for graphs '!$A$8</c15:sqref>
                        </c15:formulaRef>
                      </c:ext>
                    </c:extLst>
                    <c:strCache>
                      <c:ptCount val="1"/>
                      <c:pt idx="0">
                        <c:v>Head and neck - Trajectory 63- 103 days</c:v>
                      </c:pt>
                    </c:strCache>
                  </c:strRef>
                </c:tx>
                <c:spPr>
                  <a:ln w="28575" cap="rnd">
                    <a:solidFill>
                      <a:schemeClr val="accent5">
                        <a:shade val="4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'!$B$8:$CB$8</c15:sqref>
                        </c15:formulaRef>
                      </c:ext>
                    </c:extLst>
                    <c:numCache>
                      <c:formatCode>General</c:formatCode>
                      <c:ptCount val="79"/>
                      <c:pt idx="19" formatCode="0">
                        <c:v>17</c:v>
                      </c:pt>
                      <c:pt idx="20" formatCode="0">
                        <c:v>17</c:v>
                      </c:pt>
                      <c:pt idx="21" formatCode="0">
                        <c:v>17.850000000000001</c:v>
                      </c:pt>
                      <c:pt idx="22" formatCode="0">
                        <c:v>15.172500000000001</c:v>
                      </c:pt>
                      <c:pt idx="23" formatCode="0">
                        <c:v>14.413875000000001</c:v>
                      </c:pt>
                      <c:pt idx="24" formatCode="0">
                        <c:v>13.69318125</c:v>
                      </c:pt>
                      <c:pt idx="25" formatCode="0">
                        <c:v>12.323863125000001</c:v>
                      </c:pt>
                      <c:pt idx="26" formatCode="0">
                        <c:v>11.70766996875</c:v>
                      </c:pt>
                      <c:pt idx="27" formatCode="0">
                        <c:v>12.293053467187502</c:v>
                      </c:pt>
                      <c:pt idx="28" formatCode="0">
                        <c:v>13.522358813906253</c:v>
                      </c:pt>
                      <c:pt idx="29" formatCode="0">
                        <c:v>12.84624087321094</c:v>
                      </c:pt>
                      <c:pt idx="30" formatCode="0">
                        <c:v>12.203928829550392</c:v>
                      </c:pt>
                      <c:pt idx="31" formatCode="0">
                        <c:v>12.814125271027912</c:v>
                      </c:pt>
                      <c:pt idx="32" formatCode="0">
                        <c:v>14.095537798130705</c:v>
                      </c:pt>
                      <c:pt idx="33" formatCode="0">
                        <c:v>13.390760908224168</c:v>
                      </c:pt>
                      <c:pt idx="34" formatCode="0">
                        <c:v>12.72122286281296</c:v>
                      </c:pt>
                      <c:pt idx="35" formatCode="0">
                        <c:v>13.357284005953609</c:v>
                      </c:pt>
                      <c:pt idx="36" formatCode="0">
                        <c:v>12.689419805655929</c:v>
                      </c:pt>
                      <c:pt idx="37" formatCode="0">
                        <c:v>12.054948815373132</c:v>
                      </c:pt>
                      <c:pt idx="38" formatCode="0">
                        <c:v>10.84945393383582</c:v>
                      </c:pt>
                      <c:pt idx="39" formatCode="0">
                        <c:v>10.306981237144027</c:v>
                      </c:pt>
                      <c:pt idx="40" formatCode="0">
                        <c:v>10.306981237144027</c:v>
                      </c:pt>
                      <c:pt idx="41" formatCode="0">
                        <c:v>10.82233029900123</c:v>
                      </c:pt>
                      <c:pt idx="42" formatCode="0">
                        <c:v>11.363446813951292</c:v>
                      </c:pt>
                      <c:pt idx="43" formatCode="0">
                        <c:v>11.363446813951292</c:v>
                      </c:pt>
                      <c:pt idx="44" formatCode="0">
                        <c:v>10.795274473253727</c:v>
                      </c:pt>
                      <c:pt idx="45" formatCode="0">
                        <c:v>11.335038196916413</c:v>
                      </c:pt>
                      <c:pt idx="46" formatCode="0">
                        <c:v>11.335038196916413</c:v>
                      </c:pt>
                      <c:pt idx="47" formatCode="0">
                        <c:v>11.901790106762235</c:v>
                      </c:pt>
                      <c:pt idx="48" formatCode="0">
                        <c:v>12.496879612100347</c:v>
                      </c:pt>
                      <c:pt idx="49" formatCode="0">
                        <c:v>11.872035631495329</c:v>
                      </c:pt>
                      <c:pt idx="50" formatCode="0">
                        <c:v>11.278433849920562</c:v>
                      </c:pt>
                      <c:pt idx="51" formatCode="0">
                        <c:v>10.714512157424533</c:v>
                      </c:pt>
                      <c:pt idx="52" formatCode="0">
                        <c:v>9.6430609416820801</c:v>
                      </c:pt>
                      <c:pt idx="53" formatCode="0">
                        <c:v>9.1609078945979761</c:v>
                      </c:pt>
                      <c:pt idx="54" formatCode="0">
                        <c:v>8.7028624998680773</c:v>
                      </c:pt>
                      <c:pt idx="55" formatCode="0">
                        <c:v>8.2677193748746731</c:v>
                      </c:pt>
                      <c:pt idx="56" formatCode="0">
                        <c:v>7.8543334061309391</c:v>
                      </c:pt>
                      <c:pt idx="57" formatCode="0">
                        <c:v>7.0689000655178456</c:v>
                      </c:pt>
                      <c:pt idx="58" formatCode="0">
                        <c:v>7.0689000655178456</c:v>
                      </c:pt>
                      <c:pt idx="59" formatCode="0">
                        <c:v>7.0689000655178456</c:v>
                      </c:pt>
                      <c:pt idx="60" formatCode="0">
                        <c:v>7.0689000655178456</c:v>
                      </c:pt>
                      <c:pt idx="61" formatCode="0">
                        <c:v>7.0689000655178456</c:v>
                      </c:pt>
                      <c:pt idx="62" formatCode="0">
                        <c:v>7.0689000655178456</c:v>
                      </c:pt>
                      <c:pt idx="63" formatCode="0">
                        <c:v>7.0689000655178456</c:v>
                      </c:pt>
                      <c:pt idx="64" formatCode="0">
                        <c:v>7.0689000655178456</c:v>
                      </c:pt>
                      <c:pt idx="65" formatCode="0">
                        <c:v>8.4826800786214136</c:v>
                      </c:pt>
                      <c:pt idx="66" formatCode="0">
                        <c:v>10.179216094345696</c:v>
                      </c:pt>
                      <c:pt idx="67" formatCode="0">
                        <c:v>9.1612944849111262</c:v>
                      </c:pt>
                      <c:pt idx="68" formatCode="0">
                        <c:v>8.2451650364200137</c:v>
                      </c:pt>
                      <c:pt idx="69" formatCode="0">
                        <c:v>7.4206485327780127</c:v>
                      </c:pt>
                      <c:pt idx="70" formatCode="0">
                        <c:v>7.4206485327780127</c:v>
                      </c:pt>
                      <c:pt idx="71" formatCode="0">
                        <c:v>7.4206485327780127</c:v>
                      </c:pt>
                      <c:pt idx="72" formatCode="0">
                        <c:v>7.4206485327780127</c:v>
                      </c:pt>
                      <c:pt idx="73" formatCode="0">
                        <c:v>7.4206485327780127</c:v>
                      </c:pt>
                      <c:pt idx="74" formatCode="0">
                        <c:v>7.4206485327780127</c:v>
                      </c:pt>
                      <c:pt idx="75" formatCode="0">
                        <c:v>7.049616106139112</c:v>
                      </c:pt>
                      <c:pt idx="76" formatCode="0">
                        <c:v>7.049616106139112</c:v>
                      </c:pt>
                      <c:pt idx="77" formatCode="0">
                        <c:v>7.049616106139112</c:v>
                      </c:pt>
                      <c:pt idx="78" formatCode="0">
                        <c:v>7.7545777167530243</c:v>
                      </c:pt>
                    </c:numCache>
                  </c:numRef>
                </c:val>
                <c:smooth val="0"/>
                <c:extLst xmlns:c15="http://schemas.microsoft.com/office/drawing/2012/chart">
                  <c:ext xmlns:c16="http://schemas.microsoft.com/office/drawing/2014/chart" uri="{C3380CC4-5D6E-409C-BE32-E72D297353CC}">
                    <c16:uniqueId val="{00000013-DE8D-488D-855A-43F38F7C7045}"/>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'Table for graphs '!$A$9</c15:sqref>
                        </c15:formulaRef>
                      </c:ext>
                    </c:extLst>
                    <c:strCache>
                      <c:ptCount val="1"/>
                      <c:pt idx="0">
                        <c:v>Lower Gastrointestinal - Trajectory 63- 103 days</c:v>
                      </c:pt>
                    </c:strCache>
                  </c:strRef>
                </c:tx>
                <c:spPr>
                  <a:ln w="28575" cap="rnd">
                    <a:solidFill>
                      <a:schemeClr val="accent5">
                        <a:shade val="4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'!$B$9:$CB$9</c15:sqref>
                        </c15:formulaRef>
                      </c:ext>
                    </c:extLst>
                    <c:numCache>
                      <c:formatCode>General</c:formatCode>
                      <c:ptCount val="79"/>
                      <c:pt idx="19" formatCode="0">
                        <c:v>50</c:v>
                      </c:pt>
                      <c:pt idx="20" formatCode="0">
                        <c:v>51</c:v>
                      </c:pt>
                      <c:pt idx="21" formatCode="0">
                        <c:v>51</c:v>
                      </c:pt>
                      <c:pt idx="22" formatCode="0">
                        <c:v>39.270000000000003</c:v>
                      </c:pt>
                      <c:pt idx="23" formatCode="0">
                        <c:v>38.4846</c:v>
                      </c:pt>
                      <c:pt idx="24" formatCode="0">
                        <c:v>37.714908000000001</c:v>
                      </c:pt>
                      <c:pt idx="25" formatCode="0">
                        <c:v>36.960609840000004</c:v>
                      </c:pt>
                      <c:pt idx="26" formatCode="0">
                        <c:v>35.112579348000004</c:v>
                      </c:pt>
                      <c:pt idx="27" formatCode="0">
                        <c:v>36.868208315400004</c:v>
                      </c:pt>
                      <c:pt idx="28" formatCode="0">
                        <c:v>38.711618731170006</c:v>
                      </c:pt>
                      <c:pt idx="29" formatCode="0">
                        <c:v>36.776037794611504</c:v>
                      </c:pt>
                      <c:pt idx="30" formatCode="0">
                        <c:v>35.67275666077316</c:v>
                      </c:pt>
                      <c:pt idx="31" formatCode="0">
                        <c:v>37.456394493811821</c:v>
                      </c:pt>
                      <c:pt idx="32" formatCode="0">
                        <c:v>41.202033943193008</c:v>
                      </c:pt>
                      <c:pt idx="33" formatCode="0">
                        <c:v>40.377993264329149</c:v>
                      </c:pt>
                      <c:pt idx="34" formatCode="0">
                        <c:v>39.166653466399275</c:v>
                      </c:pt>
                      <c:pt idx="35" formatCode="0">
                        <c:v>41.12498613971924</c:v>
                      </c:pt>
                      <c:pt idx="36" formatCode="0">
                        <c:v>39.068736832733279</c:v>
                      </c:pt>
                      <c:pt idx="37" formatCode="0">
                        <c:v>37.115299991096613</c:v>
                      </c:pt>
                      <c:pt idx="38" formatCode="0">
                        <c:v>35.259534991541784</c:v>
                      </c:pt>
                      <c:pt idx="39" formatCode="0">
                        <c:v>33.496558241964692</c:v>
                      </c:pt>
                      <c:pt idx="40" formatCode="0">
                        <c:v>31.821730329866455</c:v>
                      </c:pt>
                      <c:pt idx="41" formatCode="0">
                        <c:v>33.412816846359782</c:v>
                      </c:pt>
                      <c:pt idx="42" formatCode="0">
                        <c:v>35.083457688677775</c:v>
                      </c:pt>
                      <c:pt idx="43" formatCode="0">
                        <c:v>36.837630573111667</c:v>
                      </c:pt>
                      <c:pt idx="44" formatCode="0">
                        <c:v>34.995749044456083</c:v>
                      </c:pt>
                      <c:pt idx="45" formatCode="0">
                        <c:v>36.745536496678888</c:v>
                      </c:pt>
                      <c:pt idx="46" formatCode="0">
                        <c:v>36.378081131712101</c:v>
                      </c:pt>
                      <c:pt idx="47" formatCode="0">
                        <c:v>37.105642754346341</c:v>
                      </c:pt>
                      <c:pt idx="48" formatCode="0">
                        <c:v>38.960924892063659</c:v>
                      </c:pt>
                      <c:pt idx="49" formatCode="0">
                        <c:v>37.012878647460475</c:v>
                      </c:pt>
                      <c:pt idx="50" formatCode="0">
                        <c:v>38.8635225798335</c:v>
                      </c:pt>
                      <c:pt idx="51" formatCode="0">
                        <c:v>36.920346450841826</c:v>
                      </c:pt>
                      <c:pt idx="52" formatCode="0">
                        <c:v>35.07432912829973</c:v>
                      </c:pt>
                      <c:pt idx="53" formatCode="0">
                        <c:v>31.566896215469757</c:v>
                      </c:pt>
                      <c:pt idx="54" formatCode="0">
                        <c:v>29.988551404696267</c:v>
                      </c:pt>
                      <c:pt idx="55" formatCode="0">
                        <c:v>28.489123834461452</c:v>
                      </c:pt>
                      <c:pt idx="56" formatCode="0">
                        <c:v>27.064667642738378</c:v>
                      </c:pt>
                      <c:pt idx="57" formatCode="0">
                        <c:v>25.711434260601457</c:v>
                      </c:pt>
                      <c:pt idx="58" formatCode="0">
                        <c:v>25.711434260601457</c:v>
                      </c:pt>
                      <c:pt idx="59" formatCode="0">
                        <c:v>25.711434260601457</c:v>
                      </c:pt>
                      <c:pt idx="60" formatCode="0">
                        <c:v>24.425862547571384</c:v>
                      </c:pt>
                      <c:pt idx="61" formatCode="0">
                        <c:v>25.647155674949953</c:v>
                      </c:pt>
                      <c:pt idx="62" formatCode="0">
                        <c:v>24.364797891202453</c:v>
                      </c:pt>
                      <c:pt idx="63" formatCode="0">
                        <c:v>24.364797891202453</c:v>
                      </c:pt>
                      <c:pt idx="64" formatCode="0">
                        <c:v>25.583037785762578</c:v>
                      </c:pt>
                      <c:pt idx="65" formatCode="0">
                        <c:v>26.862189675050708</c:v>
                      </c:pt>
                      <c:pt idx="66" formatCode="0">
                        <c:v>25.519080191298173</c:v>
                      </c:pt>
                      <c:pt idx="67" formatCode="0">
                        <c:v>24.243126181733263</c:v>
                      </c:pt>
                      <c:pt idx="68" formatCode="0">
                        <c:v>24.243126181733263</c:v>
                      </c:pt>
                      <c:pt idx="69" formatCode="0">
                        <c:v>24.243126181733263</c:v>
                      </c:pt>
                      <c:pt idx="70" formatCode="0">
                        <c:v>24.243126181733263</c:v>
                      </c:pt>
                      <c:pt idx="71" formatCode="0">
                        <c:v>24.243126181733263</c:v>
                      </c:pt>
                      <c:pt idx="72" formatCode="0">
                        <c:v>23.758263658098599</c:v>
                      </c:pt>
                      <c:pt idx="73" formatCode="0">
                        <c:v>24.946176841003531</c:v>
                      </c:pt>
                      <c:pt idx="74" formatCode="0">
                        <c:v>24.946176841003531</c:v>
                      </c:pt>
                      <c:pt idx="75" formatCode="0">
                        <c:v>23.698867998953354</c:v>
                      </c:pt>
                      <c:pt idx="76" formatCode="0">
                        <c:v>24.883811398901024</c:v>
                      </c:pt>
                      <c:pt idx="77" formatCode="0">
                        <c:v>24.883811398901024</c:v>
                      </c:pt>
                      <c:pt idx="78" formatCode="0">
                        <c:v>27.372192538791129</c:v>
                      </c:pt>
                    </c:numCache>
                  </c:numRef>
                </c:val>
                <c:smooth val="0"/>
                <c:extLst xmlns:c15="http://schemas.microsoft.com/office/drawing/2012/chart">
                  <c:ext xmlns:c16="http://schemas.microsoft.com/office/drawing/2014/chart" uri="{C3380CC4-5D6E-409C-BE32-E72D297353CC}">
                    <c16:uniqueId val="{00000014-DE8D-488D-855A-43F38F7C7045}"/>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'Table for graphs '!$A$10</c15:sqref>
                        </c15:formulaRef>
                      </c:ext>
                    </c:extLst>
                    <c:strCache>
                      <c:ptCount val="1"/>
                      <c:pt idx="0">
                        <c:v>Lung - Trajectory 63- 103 days</c:v>
                      </c:pt>
                    </c:strCache>
                  </c:strRef>
                </c:tx>
                <c:spPr>
                  <a:ln w="28575" cap="rnd">
                    <a:solidFill>
                      <a:schemeClr val="accent5">
                        <a:shade val="4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'!$B$10:$CB$10</c15:sqref>
                        </c15:formulaRef>
                      </c:ext>
                    </c:extLst>
                    <c:numCache>
                      <c:formatCode>General</c:formatCode>
                      <c:ptCount val="79"/>
                      <c:pt idx="19" formatCode="0">
                        <c:v>14</c:v>
                      </c:pt>
                      <c:pt idx="20" formatCode="0">
                        <c:v>8</c:v>
                      </c:pt>
                      <c:pt idx="21" formatCode="0">
                        <c:v>7.2</c:v>
                      </c:pt>
                      <c:pt idx="22" formatCode="0">
                        <c:v>6.84</c:v>
                      </c:pt>
                      <c:pt idx="23" formatCode="0">
                        <c:v>7.1820000000000004</c:v>
                      </c:pt>
                      <c:pt idx="24" formatCode="0">
                        <c:v>6.8228999999999997</c:v>
                      </c:pt>
                      <c:pt idx="25" formatCode="0">
                        <c:v>6.4817549999999997</c:v>
                      </c:pt>
                      <c:pt idx="26" formatCode="0">
                        <c:v>6.4817549999999997</c:v>
                      </c:pt>
                      <c:pt idx="27" formatCode="0">
                        <c:v>6.8058427500000001</c:v>
                      </c:pt>
                      <c:pt idx="28" formatCode="0">
                        <c:v>7.4864270250000002</c:v>
                      </c:pt>
                      <c:pt idx="29" formatCode="0">
                        <c:v>7.1121056737499995</c:v>
                      </c:pt>
                      <c:pt idx="30" formatCode="0">
                        <c:v>7.1121056737499995</c:v>
                      </c:pt>
                      <c:pt idx="31" formatCode="0">
                        <c:v>7.4677109574374994</c:v>
                      </c:pt>
                      <c:pt idx="32" formatCode="0">
                        <c:v>7.8410965053093751</c:v>
                      </c:pt>
                      <c:pt idx="33" formatCode="0">
                        <c:v>7.4490416800439059</c:v>
                      </c:pt>
                      <c:pt idx="34" formatCode="0">
                        <c:v>7.0765895960417105</c:v>
                      </c:pt>
                      <c:pt idx="35" formatCode="0">
                        <c:v>7.4304190758437967</c:v>
                      </c:pt>
                      <c:pt idx="36" formatCode="0">
                        <c:v>7.8019400296359871</c:v>
                      </c:pt>
                      <c:pt idx="37" formatCode="0">
                        <c:v>7.8019400296359871</c:v>
                      </c:pt>
                      <c:pt idx="38" formatCode="0">
                        <c:v>7.8019400296359871</c:v>
                      </c:pt>
                      <c:pt idx="39" formatCode="0">
                        <c:v>7.0217460266723881</c:v>
                      </c:pt>
                      <c:pt idx="40" formatCode="0">
                        <c:v>6.6706587253387681</c:v>
                      </c:pt>
                      <c:pt idx="41" formatCode="0">
                        <c:v>7.0041916616057067</c:v>
                      </c:pt>
                      <c:pt idx="42" formatCode="0">
                        <c:v>7.0041916616057067</c:v>
                      </c:pt>
                      <c:pt idx="43" formatCode="0">
                        <c:v>7.3544012446859925</c:v>
                      </c:pt>
                      <c:pt idx="44" formatCode="0">
                        <c:v>6.9866811824516928</c:v>
                      </c:pt>
                      <c:pt idx="45" formatCode="0">
                        <c:v>7.6853493006968625</c:v>
                      </c:pt>
                      <c:pt idx="46" formatCode="0">
                        <c:v>7.6853493006968625</c:v>
                      </c:pt>
                      <c:pt idx="47" formatCode="0">
                        <c:v>8.0696167657317055</c:v>
                      </c:pt>
                      <c:pt idx="48" formatCode="0">
                        <c:v>8.4730976040182906</c:v>
                      </c:pt>
                      <c:pt idx="49" formatCode="0">
                        <c:v>8.0494427238173749</c:v>
                      </c:pt>
                      <c:pt idx="50" formatCode="0">
                        <c:v>8.4519148600082445</c:v>
                      </c:pt>
                      <c:pt idx="51" formatCode="0">
                        <c:v>8.8745106030086571</c:v>
                      </c:pt>
                      <c:pt idx="52" formatCode="0">
                        <c:v>9.3182361331590897</c:v>
                      </c:pt>
                      <c:pt idx="53" formatCode="0">
                        <c:v>9.3182361331590897</c:v>
                      </c:pt>
                      <c:pt idx="54" formatCode="0">
                        <c:v>9.3182361331590897</c:v>
                      </c:pt>
                      <c:pt idx="55" formatCode="0">
                        <c:v>8.8523243265011349</c:v>
                      </c:pt>
                      <c:pt idx="56" formatCode="0">
                        <c:v>8.4097081101760782</c:v>
                      </c:pt>
                      <c:pt idx="57" formatCode="0">
                        <c:v>7.9892227046672737</c:v>
                      </c:pt>
                      <c:pt idx="58" formatCode="0">
                        <c:v>7.58976156943391</c:v>
                      </c:pt>
                      <c:pt idx="59" formatCode="0">
                        <c:v>7.2102734909622139</c:v>
                      </c:pt>
                      <c:pt idx="60" formatCode="0">
                        <c:v>7.5707871655103247</c:v>
                      </c:pt>
                      <c:pt idx="61" formatCode="0">
                        <c:v>7.5707871655103247</c:v>
                      </c:pt>
                      <c:pt idx="62" formatCode="0">
                        <c:v>7.5707871655103247</c:v>
                      </c:pt>
                      <c:pt idx="63" formatCode="0">
                        <c:v>7.5707871655103247</c:v>
                      </c:pt>
                      <c:pt idx="64" formatCode="0">
                        <c:v>8.3278658820613582</c:v>
                      </c:pt>
                      <c:pt idx="65" formatCode="0">
                        <c:v>9.160652470267495</c:v>
                      </c:pt>
                      <c:pt idx="66" formatCode="0">
                        <c:v>10.076717717294246</c:v>
                      </c:pt>
                      <c:pt idx="67" formatCode="0">
                        <c:v>9.5728818314295321</c:v>
                      </c:pt>
                      <c:pt idx="68" formatCode="0">
                        <c:v>9.5728818314295321</c:v>
                      </c:pt>
                      <c:pt idx="69" formatCode="0">
                        <c:v>9.5728818314295321</c:v>
                      </c:pt>
                      <c:pt idx="70" formatCode="0">
                        <c:v>9.0942377398580554</c:v>
                      </c:pt>
                      <c:pt idx="71" formatCode="0">
                        <c:v>8.1848139658722499</c:v>
                      </c:pt>
                      <c:pt idx="72" formatCode="0">
                        <c:v>7.7755732675786371</c:v>
                      </c:pt>
                      <c:pt idx="73" formatCode="0">
                        <c:v>7.7755732675786371</c:v>
                      </c:pt>
                      <c:pt idx="74" formatCode="0">
                        <c:v>7.7755732675786371</c:v>
                      </c:pt>
                      <c:pt idx="75" formatCode="0">
                        <c:v>7.3867946041997046</c:v>
                      </c:pt>
                      <c:pt idx="76" formatCode="0">
                        <c:v>7.3867946041997046</c:v>
                      </c:pt>
                      <c:pt idx="77" formatCode="0">
                        <c:v>7.3867946041997046</c:v>
                      </c:pt>
                      <c:pt idx="78" formatCode="0">
                        <c:v>7.7561343344096905</c:v>
                      </c:pt>
                    </c:numCache>
                  </c:numRef>
                </c:val>
                <c:smooth val="0"/>
                <c:extLst xmlns:c15="http://schemas.microsoft.com/office/drawing/2012/chart">
                  <c:ext xmlns:c16="http://schemas.microsoft.com/office/drawing/2014/chart" uri="{C3380CC4-5D6E-409C-BE32-E72D297353CC}">
                    <c16:uniqueId val="{00000015-DE8D-488D-855A-43F38F7C7045}"/>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'Table for graphs '!$A$11</c15:sqref>
                        </c15:formulaRef>
                      </c:ext>
                    </c:extLst>
                    <c:strCache>
                      <c:ptCount val="1"/>
                      <c:pt idx="0">
                        <c:v>Other - Trajectory 63- 103 days</c:v>
                      </c:pt>
                    </c:strCache>
                  </c:strRef>
                </c:tx>
                <c:spPr>
                  <a:ln w="28575" cap="rnd">
                    <a:solidFill>
                      <a:schemeClr val="accent5">
                        <a:shade val="4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'!$B$11:$CB$11</c15:sqref>
                        </c15:formulaRef>
                      </c:ext>
                    </c:extLst>
                    <c:numCache>
                      <c:formatCode>General</c:formatCode>
                      <c:ptCount val="79"/>
                      <c:pt idx="19" formatCode="0">
                        <c:v>10</c:v>
                      </c:pt>
                      <c:pt idx="20" formatCode="0">
                        <c:v>9</c:v>
                      </c:pt>
                      <c:pt idx="21" formatCode="0">
                        <c:v>10</c:v>
                      </c:pt>
                      <c:pt idx="22" formatCode="0">
                        <c:v>5</c:v>
                      </c:pt>
                      <c:pt idx="23" formatCode="0">
                        <c:v>5</c:v>
                      </c:pt>
                      <c:pt idx="24" formatCode="0">
                        <c:v>5</c:v>
                      </c:pt>
                      <c:pt idx="25" formatCode="0">
                        <c:v>5</c:v>
                      </c:pt>
                      <c:pt idx="26" formatCode="0">
                        <c:v>5</c:v>
                      </c:pt>
                      <c:pt idx="27" formatCode="0">
                        <c:v>6</c:v>
                      </c:pt>
                      <c:pt idx="28" formatCode="0">
                        <c:v>7</c:v>
                      </c:pt>
                      <c:pt idx="29" formatCode="0">
                        <c:v>6</c:v>
                      </c:pt>
                      <c:pt idx="30" formatCode="0">
                        <c:v>6</c:v>
                      </c:pt>
                      <c:pt idx="31" formatCode="0">
                        <c:v>6</c:v>
                      </c:pt>
                      <c:pt idx="32" formatCode="0">
                        <c:v>6</c:v>
                      </c:pt>
                      <c:pt idx="33" formatCode="0">
                        <c:v>6</c:v>
                      </c:pt>
                      <c:pt idx="34" formatCode="0">
                        <c:v>6</c:v>
                      </c:pt>
                      <c:pt idx="35" formatCode="0">
                        <c:v>7</c:v>
                      </c:pt>
                      <c:pt idx="36" formatCode="0">
                        <c:v>7</c:v>
                      </c:pt>
                      <c:pt idx="37" formatCode="0">
                        <c:v>6</c:v>
                      </c:pt>
                      <c:pt idx="38" formatCode="0">
                        <c:v>6</c:v>
                      </c:pt>
                      <c:pt idx="39" formatCode="0">
                        <c:v>6</c:v>
                      </c:pt>
                      <c:pt idx="40" formatCode="0">
                        <c:v>5</c:v>
                      </c:pt>
                      <c:pt idx="41" formatCode="0">
                        <c:v>5</c:v>
                      </c:pt>
                      <c:pt idx="42" formatCode="0">
                        <c:v>6</c:v>
                      </c:pt>
                      <c:pt idx="43" formatCode="0">
                        <c:v>7</c:v>
                      </c:pt>
                      <c:pt idx="44" formatCode="0">
                        <c:v>7</c:v>
                      </c:pt>
                      <c:pt idx="45" formatCode="0">
                        <c:v>8</c:v>
                      </c:pt>
                      <c:pt idx="46" formatCode="0">
                        <c:v>8</c:v>
                      </c:pt>
                      <c:pt idx="47" formatCode="0">
                        <c:v>8</c:v>
                      </c:pt>
                      <c:pt idx="48" formatCode="0">
                        <c:v>8</c:v>
                      </c:pt>
                      <c:pt idx="49" formatCode="0">
                        <c:v>9</c:v>
                      </c:pt>
                      <c:pt idx="50" formatCode="0">
                        <c:v>9</c:v>
                      </c:pt>
                      <c:pt idx="51" formatCode="0">
                        <c:v>8</c:v>
                      </c:pt>
                      <c:pt idx="52" formatCode="0">
                        <c:v>8</c:v>
                      </c:pt>
                      <c:pt idx="53" formatCode="0">
                        <c:v>9</c:v>
                      </c:pt>
                      <c:pt idx="54" formatCode="0">
                        <c:v>9</c:v>
                      </c:pt>
                      <c:pt idx="55" formatCode="0">
                        <c:v>9</c:v>
                      </c:pt>
                      <c:pt idx="56" formatCode="0">
                        <c:v>8</c:v>
                      </c:pt>
                      <c:pt idx="57" formatCode="0">
                        <c:v>8</c:v>
                      </c:pt>
                      <c:pt idx="58" formatCode="0">
                        <c:v>8</c:v>
                      </c:pt>
                      <c:pt idx="59" formatCode="0">
                        <c:v>7</c:v>
                      </c:pt>
                      <c:pt idx="60" formatCode="0">
                        <c:v>7</c:v>
                      </c:pt>
                      <c:pt idx="61" formatCode="0">
                        <c:v>6</c:v>
                      </c:pt>
                      <c:pt idx="62" formatCode="0">
                        <c:v>6</c:v>
                      </c:pt>
                      <c:pt idx="63" formatCode="0">
                        <c:v>7</c:v>
                      </c:pt>
                      <c:pt idx="64" formatCode="0">
                        <c:v>8</c:v>
                      </c:pt>
                      <c:pt idx="65" formatCode="0">
                        <c:v>9</c:v>
                      </c:pt>
                      <c:pt idx="66" formatCode="0">
                        <c:v>10</c:v>
                      </c:pt>
                      <c:pt idx="67" formatCode="0">
                        <c:v>9</c:v>
                      </c:pt>
                      <c:pt idx="68" formatCode="0">
                        <c:v>8</c:v>
                      </c:pt>
                      <c:pt idx="69" formatCode="0">
                        <c:v>8</c:v>
                      </c:pt>
                      <c:pt idx="70" formatCode="0">
                        <c:v>7</c:v>
                      </c:pt>
                      <c:pt idx="71" formatCode="0">
                        <c:v>6</c:v>
                      </c:pt>
                      <c:pt idx="72" formatCode="0">
                        <c:v>6</c:v>
                      </c:pt>
                      <c:pt idx="73" formatCode="0">
                        <c:v>6</c:v>
                      </c:pt>
                      <c:pt idx="74" formatCode="0">
                        <c:v>6</c:v>
                      </c:pt>
                      <c:pt idx="75" formatCode="0">
                        <c:v>5</c:v>
                      </c:pt>
                      <c:pt idx="76" formatCode="0">
                        <c:v>5</c:v>
                      </c:pt>
                      <c:pt idx="77" formatCode="0">
                        <c:v>5</c:v>
                      </c:pt>
                      <c:pt idx="78" formatCode="0">
                        <c:v>6</c:v>
                      </c:pt>
                    </c:numCache>
                  </c:numRef>
                </c:val>
                <c:smooth val="0"/>
                <c:extLst xmlns:c15="http://schemas.microsoft.com/office/drawing/2012/chart">
                  <c:ext xmlns:c16="http://schemas.microsoft.com/office/drawing/2014/chart" uri="{C3380CC4-5D6E-409C-BE32-E72D297353CC}">
                    <c16:uniqueId val="{00000016-DE8D-488D-855A-43F38F7C7045}"/>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'Table for graphs '!$A$12</c15:sqref>
                        </c15:formulaRef>
                      </c:ext>
                    </c:extLst>
                    <c:strCache>
                      <c:ptCount val="1"/>
                      <c:pt idx="0">
                        <c:v>Sarcoma - Trajectory 63- 103 days</c:v>
                      </c:pt>
                    </c:strCache>
                  </c:strRef>
                </c:tx>
                <c:spPr>
                  <a:ln w="28575" cap="rnd">
                    <a:solidFill>
                      <a:schemeClr val="accent5">
                        <a:shade val="4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'!$B$12:$CB$12</c15:sqref>
                        </c15:formulaRef>
                      </c:ext>
                    </c:extLst>
                    <c:numCache>
                      <c:formatCode>General</c:formatCode>
                      <c:ptCount val="79"/>
                      <c:pt idx="19" formatCode="0">
                        <c:v>5</c:v>
                      </c:pt>
                      <c:pt idx="20" formatCode="0">
                        <c:v>5</c:v>
                      </c:pt>
                      <c:pt idx="21" formatCode="0">
                        <c:v>4</c:v>
                      </c:pt>
                      <c:pt idx="22" formatCode="0">
                        <c:v>3</c:v>
                      </c:pt>
                      <c:pt idx="23" formatCode="0">
                        <c:v>3</c:v>
                      </c:pt>
                      <c:pt idx="24" formatCode="0">
                        <c:v>3</c:v>
                      </c:pt>
                      <c:pt idx="25" formatCode="0">
                        <c:v>3</c:v>
                      </c:pt>
                      <c:pt idx="26" formatCode="0">
                        <c:v>3</c:v>
                      </c:pt>
                      <c:pt idx="27" formatCode="0">
                        <c:v>4</c:v>
                      </c:pt>
                      <c:pt idx="28" formatCode="0">
                        <c:v>5</c:v>
                      </c:pt>
                      <c:pt idx="29" formatCode="0">
                        <c:v>4</c:v>
                      </c:pt>
                      <c:pt idx="30" formatCode="0">
                        <c:v>4</c:v>
                      </c:pt>
                      <c:pt idx="31" formatCode="0">
                        <c:v>4</c:v>
                      </c:pt>
                      <c:pt idx="32" formatCode="0">
                        <c:v>5</c:v>
                      </c:pt>
                      <c:pt idx="33" formatCode="0">
                        <c:v>5</c:v>
                      </c:pt>
                      <c:pt idx="34" formatCode="0">
                        <c:v>5</c:v>
                      </c:pt>
                      <c:pt idx="35" formatCode="0">
                        <c:v>6</c:v>
                      </c:pt>
                      <c:pt idx="36" formatCode="0">
                        <c:v>6</c:v>
                      </c:pt>
                      <c:pt idx="37" formatCode="0">
                        <c:v>5</c:v>
                      </c:pt>
                      <c:pt idx="38" formatCode="0">
                        <c:v>4</c:v>
                      </c:pt>
                      <c:pt idx="39" formatCode="0">
                        <c:v>4</c:v>
                      </c:pt>
                      <c:pt idx="40" formatCode="0">
                        <c:v>4</c:v>
                      </c:pt>
                      <c:pt idx="41" formatCode="0">
                        <c:v>4</c:v>
                      </c:pt>
                      <c:pt idx="42" formatCode="0">
                        <c:v>5</c:v>
                      </c:pt>
                      <c:pt idx="43" formatCode="0">
                        <c:v>6</c:v>
                      </c:pt>
                      <c:pt idx="44" formatCode="0">
                        <c:v>6</c:v>
                      </c:pt>
                      <c:pt idx="45" formatCode="0">
                        <c:v>6</c:v>
                      </c:pt>
                      <c:pt idx="46" formatCode="0">
                        <c:v>6</c:v>
                      </c:pt>
                      <c:pt idx="47" formatCode="0">
                        <c:v>7</c:v>
                      </c:pt>
                      <c:pt idx="48" formatCode="0">
                        <c:v>7</c:v>
                      </c:pt>
                      <c:pt idx="49" formatCode="0">
                        <c:v>6</c:v>
                      </c:pt>
                      <c:pt idx="50" formatCode="0">
                        <c:v>7</c:v>
                      </c:pt>
                      <c:pt idx="51" formatCode="0">
                        <c:v>7</c:v>
                      </c:pt>
                      <c:pt idx="52" formatCode="0">
                        <c:v>8</c:v>
                      </c:pt>
                      <c:pt idx="53" formatCode="0">
                        <c:v>8</c:v>
                      </c:pt>
                      <c:pt idx="54" formatCode="0">
                        <c:v>7</c:v>
                      </c:pt>
                      <c:pt idx="55" formatCode="0">
                        <c:v>6</c:v>
                      </c:pt>
                      <c:pt idx="56" formatCode="0">
                        <c:v>6</c:v>
                      </c:pt>
                      <c:pt idx="57" formatCode="0">
                        <c:v>6</c:v>
                      </c:pt>
                      <c:pt idx="58" formatCode="0">
                        <c:v>4</c:v>
                      </c:pt>
                      <c:pt idx="59" formatCode="0">
                        <c:v>4</c:v>
                      </c:pt>
                      <c:pt idx="60" formatCode="0">
                        <c:v>3</c:v>
                      </c:pt>
                      <c:pt idx="61" formatCode="0">
                        <c:v>3</c:v>
                      </c:pt>
                      <c:pt idx="62" formatCode="0">
                        <c:v>4</c:v>
                      </c:pt>
                      <c:pt idx="63" formatCode="0">
                        <c:v>5</c:v>
                      </c:pt>
                      <c:pt idx="64" formatCode="0">
                        <c:v>5</c:v>
                      </c:pt>
                      <c:pt idx="65" formatCode="0">
                        <c:v>6</c:v>
                      </c:pt>
                      <c:pt idx="66" formatCode="0">
                        <c:v>7</c:v>
                      </c:pt>
                      <c:pt idx="67" formatCode="0">
                        <c:v>7</c:v>
                      </c:pt>
                      <c:pt idx="68" formatCode="0">
                        <c:v>6</c:v>
                      </c:pt>
                      <c:pt idx="69" formatCode="0">
                        <c:v>7</c:v>
                      </c:pt>
                      <c:pt idx="70" formatCode="0">
                        <c:v>6</c:v>
                      </c:pt>
                      <c:pt idx="71" formatCode="0">
                        <c:v>6</c:v>
                      </c:pt>
                      <c:pt idx="72" formatCode="0">
                        <c:v>6</c:v>
                      </c:pt>
                      <c:pt idx="73" formatCode="0">
                        <c:v>5</c:v>
                      </c:pt>
                      <c:pt idx="74" formatCode="0">
                        <c:v>5</c:v>
                      </c:pt>
                      <c:pt idx="75" formatCode="0">
                        <c:v>4</c:v>
                      </c:pt>
                      <c:pt idx="76" formatCode="0">
                        <c:v>4</c:v>
                      </c:pt>
                      <c:pt idx="77" formatCode="0">
                        <c:v>5</c:v>
                      </c:pt>
                      <c:pt idx="78" formatCode="0">
                        <c:v>6</c:v>
                      </c:pt>
                    </c:numCache>
                  </c:numRef>
                </c:val>
                <c:smooth val="0"/>
                <c:extLst xmlns:c15="http://schemas.microsoft.com/office/drawing/2012/chart">
                  <c:ext xmlns:c16="http://schemas.microsoft.com/office/drawing/2014/chart" uri="{C3380CC4-5D6E-409C-BE32-E72D297353CC}">
                    <c16:uniqueId val="{00000017-DE8D-488D-855A-43F38F7C7045}"/>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 for graphs '!$A$13</c15:sqref>
                        </c15:formulaRef>
                      </c:ext>
                    </c:extLst>
                    <c:strCache>
                      <c:ptCount val="1"/>
                      <c:pt idx="0">
                        <c:v>Skin - Trajectory 63- 103 days</c:v>
                      </c:pt>
                    </c:strCache>
                  </c:strRef>
                </c:tx>
                <c:spPr>
                  <a:ln w="28575" cap="rnd">
                    <a:solidFill>
                      <a:schemeClr val="accent5">
                        <a:shade val="4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'!$B$13:$CB$13</c15:sqref>
                        </c15:formulaRef>
                      </c:ext>
                    </c:extLst>
                    <c:numCache>
                      <c:formatCode>General</c:formatCode>
                      <c:ptCount val="79"/>
                      <c:pt idx="19" formatCode="0">
                        <c:v>22</c:v>
                      </c:pt>
                      <c:pt idx="20" formatCode="0">
                        <c:v>21</c:v>
                      </c:pt>
                      <c:pt idx="21" formatCode="0">
                        <c:v>15</c:v>
                      </c:pt>
                      <c:pt idx="22" formatCode="0">
                        <c:v>12</c:v>
                      </c:pt>
                      <c:pt idx="23" formatCode="0">
                        <c:v>11</c:v>
                      </c:pt>
                      <c:pt idx="24" formatCode="0">
                        <c:v>10</c:v>
                      </c:pt>
                      <c:pt idx="25" formatCode="0">
                        <c:v>10</c:v>
                      </c:pt>
                      <c:pt idx="26" formatCode="0">
                        <c:v>9</c:v>
                      </c:pt>
                      <c:pt idx="27" formatCode="0">
                        <c:v>11</c:v>
                      </c:pt>
                      <c:pt idx="28" formatCode="0">
                        <c:v>13</c:v>
                      </c:pt>
                      <c:pt idx="29" formatCode="0">
                        <c:v>12</c:v>
                      </c:pt>
                      <c:pt idx="30" formatCode="0">
                        <c:v>11</c:v>
                      </c:pt>
                      <c:pt idx="31" formatCode="0">
                        <c:v>10</c:v>
                      </c:pt>
                      <c:pt idx="32" formatCode="0">
                        <c:v>10</c:v>
                      </c:pt>
                      <c:pt idx="33" formatCode="0">
                        <c:v>10</c:v>
                      </c:pt>
                      <c:pt idx="34" formatCode="0">
                        <c:v>9</c:v>
                      </c:pt>
                      <c:pt idx="35" formatCode="0">
                        <c:v>10</c:v>
                      </c:pt>
                      <c:pt idx="36" formatCode="0">
                        <c:v>9</c:v>
                      </c:pt>
                      <c:pt idx="37" formatCode="0">
                        <c:v>9</c:v>
                      </c:pt>
                      <c:pt idx="38" formatCode="0">
                        <c:v>9</c:v>
                      </c:pt>
                      <c:pt idx="39" formatCode="0">
                        <c:v>9</c:v>
                      </c:pt>
                      <c:pt idx="40" formatCode="0">
                        <c:v>9</c:v>
                      </c:pt>
                      <c:pt idx="41" formatCode="0">
                        <c:v>10</c:v>
                      </c:pt>
                      <c:pt idx="42" formatCode="0">
                        <c:v>11</c:v>
                      </c:pt>
                      <c:pt idx="43" formatCode="0">
                        <c:v>12</c:v>
                      </c:pt>
                      <c:pt idx="44" formatCode="0">
                        <c:v>12</c:v>
                      </c:pt>
                      <c:pt idx="45" formatCode="0">
                        <c:v>14</c:v>
                      </c:pt>
                      <c:pt idx="46" formatCode="0">
                        <c:v>13</c:v>
                      </c:pt>
                      <c:pt idx="47" formatCode="0">
                        <c:v>12</c:v>
                      </c:pt>
                      <c:pt idx="48" formatCode="0">
                        <c:v>10</c:v>
                      </c:pt>
                      <c:pt idx="49" formatCode="0">
                        <c:v>9</c:v>
                      </c:pt>
                      <c:pt idx="50" formatCode="0">
                        <c:v>10</c:v>
                      </c:pt>
                      <c:pt idx="51" formatCode="0">
                        <c:v>10</c:v>
                      </c:pt>
                      <c:pt idx="52" formatCode="0">
                        <c:v>10</c:v>
                      </c:pt>
                      <c:pt idx="53" formatCode="0">
                        <c:v>10</c:v>
                      </c:pt>
                      <c:pt idx="54" formatCode="0">
                        <c:v>10</c:v>
                      </c:pt>
                      <c:pt idx="55" formatCode="0">
                        <c:v>9</c:v>
                      </c:pt>
                      <c:pt idx="56" formatCode="0">
                        <c:v>9</c:v>
                      </c:pt>
                      <c:pt idx="57" formatCode="0">
                        <c:v>9</c:v>
                      </c:pt>
                      <c:pt idx="58" formatCode="0">
                        <c:v>9</c:v>
                      </c:pt>
                      <c:pt idx="59" formatCode="0">
                        <c:v>9</c:v>
                      </c:pt>
                      <c:pt idx="60" formatCode="0">
                        <c:v>9</c:v>
                      </c:pt>
                      <c:pt idx="61" formatCode="0">
                        <c:v>9</c:v>
                      </c:pt>
                      <c:pt idx="62" formatCode="0">
                        <c:v>9</c:v>
                      </c:pt>
                      <c:pt idx="63" formatCode="0">
                        <c:v>10</c:v>
                      </c:pt>
                      <c:pt idx="64" formatCode="0">
                        <c:v>11</c:v>
                      </c:pt>
                      <c:pt idx="65" formatCode="0">
                        <c:v>12</c:v>
                      </c:pt>
                      <c:pt idx="66" formatCode="0">
                        <c:v>13</c:v>
                      </c:pt>
                      <c:pt idx="67" formatCode="0">
                        <c:v>11</c:v>
                      </c:pt>
                      <c:pt idx="68" formatCode="0">
                        <c:v>10</c:v>
                      </c:pt>
                      <c:pt idx="69" formatCode="0">
                        <c:v>9</c:v>
                      </c:pt>
                      <c:pt idx="70" formatCode="0">
                        <c:v>9</c:v>
                      </c:pt>
                      <c:pt idx="71" formatCode="0">
                        <c:v>9</c:v>
                      </c:pt>
                      <c:pt idx="72" formatCode="0">
                        <c:v>9</c:v>
                      </c:pt>
                      <c:pt idx="73" formatCode="0">
                        <c:v>9</c:v>
                      </c:pt>
                      <c:pt idx="74" formatCode="0">
                        <c:v>9</c:v>
                      </c:pt>
                      <c:pt idx="75" formatCode="0">
                        <c:v>9</c:v>
                      </c:pt>
                      <c:pt idx="76" formatCode="0">
                        <c:v>10</c:v>
                      </c:pt>
                      <c:pt idx="77" formatCode="0">
                        <c:v>10</c:v>
                      </c:pt>
                      <c:pt idx="78" formatCode="0">
                        <c:v>11</c:v>
                      </c:pt>
                    </c:numCache>
                  </c:numRef>
                </c:val>
                <c:smooth val="0"/>
                <c:extLst xmlns:c15="http://schemas.microsoft.com/office/drawing/2012/chart">
                  <c:ext xmlns:c16="http://schemas.microsoft.com/office/drawing/2014/chart" uri="{C3380CC4-5D6E-409C-BE32-E72D297353CC}">
                    <c16:uniqueId val="{00000018-DE8D-488D-855A-43F38F7C7045}"/>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'Table for graphs '!$A$14</c15:sqref>
                        </c15:formulaRef>
                      </c:ext>
                    </c:extLst>
                    <c:strCache>
                      <c:ptCount val="1"/>
                      <c:pt idx="0">
                        <c:v>Upper Gastrointestinal - Trajectory 63- 103 days</c:v>
                      </c:pt>
                    </c:strCache>
                  </c:strRef>
                </c:tx>
                <c:spPr>
                  <a:ln w="28575" cap="rnd">
                    <a:solidFill>
                      <a:schemeClr val="accent5">
                        <a:shade val="4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'!$B$14:$CB$14</c15:sqref>
                        </c15:formulaRef>
                      </c:ext>
                    </c:extLst>
                    <c:numCache>
                      <c:formatCode>General</c:formatCode>
                      <c:ptCount val="79"/>
                      <c:pt idx="19" formatCode="0">
                        <c:v>20</c:v>
                      </c:pt>
                      <c:pt idx="20" formatCode="0">
                        <c:v>18</c:v>
                      </c:pt>
                      <c:pt idx="21" formatCode="0">
                        <c:v>17</c:v>
                      </c:pt>
                      <c:pt idx="22" formatCode="0">
                        <c:v>11</c:v>
                      </c:pt>
                      <c:pt idx="23" formatCode="0">
                        <c:v>10</c:v>
                      </c:pt>
                      <c:pt idx="24" formatCode="0">
                        <c:v>10</c:v>
                      </c:pt>
                      <c:pt idx="25" formatCode="0">
                        <c:v>10</c:v>
                      </c:pt>
                      <c:pt idx="26" formatCode="0">
                        <c:v>11</c:v>
                      </c:pt>
                      <c:pt idx="27" formatCode="0">
                        <c:v>13</c:v>
                      </c:pt>
                      <c:pt idx="28" formatCode="0">
                        <c:v>15</c:v>
                      </c:pt>
                      <c:pt idx="29" formatCode="0">
                        <c:v>14</c:v>
                      </c:pt>
                      <c:pt idx="30" formatCode="0">
                        <c:v>14</c:v>
                      </c:pt>
                      <c:pt idx="31" formatCode="0">
                        <c:v>14</c:v>
                      </c:pt>
                      <c:pt idx="32" formatCode="0">
                        <c:v>13</c:v>
                      </c:pt>
                      <c:pt idx="33" formatCode="0">
                        <c:v>12</c:v>
                      </c:pt>
                      <c:pt idx="34" formatCode="0">
                        <c:v>11</c:v>
                      </c:pt>
                      <c:pt idx="35" formatCode="0">
                        <c:v>13</c:v>
                      </c:pt>
                      <c:pt idx="36" formatCode="0">
                        <c:v>13</c:v>
                      </c:pt>
                      <c:pt idx="37" formatCode="0">
                        <c:v>12</c:v>
                      </c:pt>
                      <c:pt idx="38" formatCode="0">
                        <c:v>11</c:v>
                      </c:pt>
                      <c:pt idx="39" formatCode="0">
                        <c:v>11</c:v>
                      </c:pt>
                      <c:pt idx="40" formatCode="0">
                        <c:v>11</c:v>
                      </c:pt>
                      <c:pt idx="41" formatCode="0">
                        <c:v>13</c:v>
                      </c:pt>
                      <c:pt idx="42" formatCode="0">
                        <c:v>14</c:v>
                      </c:pt>
                      <c:pt idx="43" formatCode="0">
                        <c:v>14</c:v>
                      </c:pt>
                      <c:pt idx="44" formatCode="0">
                        <c:v>13</c:v>
                      </c:pt>
                      <c:pt idx="45" formatCode="0">
                        <c:v>14</c:v>
                      </c:pt>
                      <c:pt idx="46" formatCode="0">
                        <c:v>13</c:v>
                      </c:pt>
                      <c:pt idx="47" formatCode="0">
                        <c:v>14</c:v>
                      </c:pt>
                      <c:pt idx="48" formatCode="0">
                        <c:v>14</c:v>
                      </c:pt>
                      <c:pt idx="49" formatCode="0">
                        <c:v>13</c:v>
                      </c:pt>
                      <c:pt idx="50" formatCode="0">
                        <c:v>14</c:v>
                      </c:pt>
                      <c:pt idx="51" formatCode="0">
                        <c:v>15</c:v>
                      </c:pt>
                      <c:pt idx="52" formatCode="0">
                        <c:v>14</c:v>
                      </c:pt>
                      <c:pt idx="53" formatCode="0">
                        <c:v>13</c:v>
                      </c:pt>
                      <c:pt idx="54" formatCode="0">
                        <c:v>12</c:v>
                      </c:pt>
                      <c:pt idx="55" formatCode="0">
                        <c:v>11</c:v>
                      </c:pt>
                      <c:pt idx="56" formatCode="0">
                        <c:v>11</c:v>
                      </c:pt>
                      <c:pt idx="57" formatCode="0">
                        <c:v>10</c:v>
                      </c:pt>
                      <c:pt idx="58" formatCode="0">
                        <c:v>10</c:v>
                      </c:pt>
                      <c:pt idx="59" formatCode="0">
                        <c:v>9</c:v>
                      </c:pt>
                      <c:pt idx="60" formatCode="0">
                        <c:v>8</c:v>
                      </c:pt>
                      <c:pt idx="61" formatCode="0">
                        <c:v>8</c:v>
                      </c:pt>
                      <c:pt idx="62" formatCode="0">
                        <c:v>7</c:v>
                      </c:pt>
                      <c:pt idx="63" formatCode="0">
                        <c:v>7</c:v>
                      </c:pt>
                      <c:pt idx="64" formatCode="0">
                        <c:v>8</c:v>
                      </c:pt>
                      <c:pt idx="65" formatCode="0">
                        <c:v>9</c:v>
                      </c:pt>
                      <c:pt idx="66" formatCode="0">
                        <c:v>9</c:v>
                      </c:pt>
                      <c:pt idx="67" formatCode="0">
                        <c:v>9</c:v>
                      </c:pt>
                      <c:pt idx="68" formatCode="0">
                        <c:v>9</c:v>
                      </c:pt>
                      <c:pt idx="69" formatCode="0">
                        <c:v>8</c:v>
                      </c:pt>
                      <c:pt idx="70" formatCode="0">
                        <c:v>7</c:v>
                      </c:pt>
                      <c:pt idx="71" formatCode="0">
                        <c:v>7</c:v>
                      </c:pt>
                      <c:pt idx="72" formatCode="0">
                        <c:v>7</c:v>
                      </c:pt>
                      <c:pt idx="73" formatCode="0">
                        <c:v>6</c:v>
                      </c:pt>
                      <c:pt idx="74" formatCode="0">
                        <c:v>7</c:v>
                      </c:pt>
                      <c:pt idx="75" formatCode="0">
                        <c:v>7</c:v>
                      </c:pt>
                      <c:pt idx="76" formatCode="0">
                        <c:v>7</c:v>
                      </c:pt>
                      <c:pt idx="77" formatCode="0">
                        <c:v>7</c:v>
                      </c:pt>
                      <c:pt idx="78" formatCode="0">
                        <c:v>8</c:v>
                      </c:pt>
                    </c:numCache>
                  </c:numRef>
                </c:val>
                <c:smooth val="0"/>
                <c:extLst xmlns:c15="http://schemas.microsoft.com/office/drawing/2012/chart">
                  <c:ext xmlns:c16="http://schemas.microsoft.com/office/drawing/2014/chart" uri="{C3380CC4-5D6E-409C-BE32-E72D297353CC}">
                    <c16:uniqueId val="{00000019-DE8D-488D-855A-43F38F7C7045}"/>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'Table for graphs '!$A$15</c15:sqref>
                        </c15:formulaRef>
                      </c:ext>
                    </c:extLst>
                    <c:strCache>
                      <c:ptCount val="1"/>
                      <c:pt idx="0">
                        <c:v>Urological - Trajectory 63- 103 days</c:v>
                      </c:pt>
                    </c:strCache>
                  </c:strRef>
                </c:tx>
                <c:spPr>
                  <a:ln w="28575" cap="rnd">
                    <a:solidFill>
                      <a:schemeClr val="accent5">
                        <a:shade val="5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'!$B$15:$CB$15</c15:sqref>
                        </c15:formulaRef>
                      </c:ext>
                    </c:extLst>
                    <c:numCache>
                      <c:formatCode>General</c:formatCode>
                      <c:ptCount val="79"/>
                      <c:pt idx="19" formatCode="0">
                        <c:v>39</c:v>
                      </c:pt>
                      <c:pt idx="20" formatCode="0">
                        <c:v>44</c:v>
                      </c:pt>
                      <c:pt idx="21" formatCode="0">
                        <c:v>36</c:v>
                      </c:pt>
                      <c:pt idx="22" formatCode="0">
                        <c:v>33</c:v>
                      </c:pt>
                      <c:pt idx="23" formatCode="0">
                        <c:v>32</c:v>
                      </c:pt>
                      <c:pt idx="24" formatCode="0">
                        <c:v>31</c:v>
                      </c:pt>
                      <c:pt idx="25" formatCode="0">
                        <c:v>30</c:v>
                      </c:pt>
                      <c:pt idx="26" formatCode="0">
                        <c:v>29</c:v>
                      </c:pt>
                      <c:pt idx="27" formatCode="0">
                        <c:v>30</c:v>
                      </c:pt>
                      <c:pt idx="28" formatCode="0">
                        <c:v>31</c:v>
                      </c:pt>
                      <c:pt idx="29" formatCode="0">
                        <c:v>30</c:v>
                      </c:pt>
                      <c:pt idx="30" formatCode="0">
                        <c:v>29</c:v>
                      </c:pt>
                      <c:pt idx="31" formatCode="0">
                        <c:v>30</c:v>
                      </c:pt>
                      <c:pt idx="32" formatCode="0">
                        <c:v>31</c:v>
                      </c:pt>
                      <c:pt idx="33" formatCode="0">
                        <c:v>30</c:v>
                      </c:pt>
                      <c:pt idx="34" formatCode="0">
                        <c:v>29</c:v>
                      </c:pt>
                      <c:pt idx="35" formatCode="0">
                        <c:v>30</c:v>
                      </c:pt>
                      <c:pt idx="36" formatCode="0">
                        <c:v>29</c:v>
                      </c:pt>
                      <c:pt idx="37" formatCode="0">
                        <c:v>28</c:v>
                      </c:pt>
                      <c:pt idx="38" formatCode="0">
                        <c:v>27</c:v>
                      </c:pt>
                      <c:pt idx="39" formatCode="0">
                        <c:v>28</c:v>
                      </c:pt>
                      <c:pt idx="40" formatCode="0">
                        <c:v>28</c:v>
                      </c:pt>
                      <c:pt idx="41" formatCode="0">
                        <c:v>29</c:v>
                      </c:pt>
                      <c:pt idx="42" formatCode="0">
                        <c:v>30</c:v>
                      </c:pt>
                      <c:pt idx="43" formatCode="0">
                        <c:v>31</c:v>
                      </c:pt>
                      <c:pt idx="44" formatCode="0">
                        <c:v>30</c:v>
                      </c:pt>
                      <c:pt idx="45" formatCode="0">
                        <c:v>32</c:v>
                      </c:pt>
                      <c:pt idx="46" formatCode="0">
                        <c:v>32</c:v>
                      </c:pt>
                      <c:pt idx="47" formatCode="0">
                        <c:v>33</c:v>
                      </c:pt>
                      <c:pt idx="48" formatCode="0">
                        <c:v>34</c:v>
                      </c:pt>
                      <c:pt idx="49" formatCode="0">
                        <c:v>34</c:v>
                      </c:pt>
                      <c:pt idx="50" formatCode="0">
                        <c:v>35</c:v>
                      </c:pt>
                      <c:pt idx="51" formatCode="0">
                        <c:v>36</c:v>
                      </c:pt>
                      <c:pt idx="52" formatCode="0">
                        <c:v>35</c:v>
                      </c:pt>
                      <c:pt idx="53" formatCode="0">
                        <c:v>35</c:v>
                      </c:pt>
                      <c:pt idx="54" formatCode="0">
                        <c:v>34</c:v>
                      </c:pt>
                      <c:pt idx="55" formatCode="0">
                        <c:v>31</c:v>
                      </c:pt>
                      <c:pt idx="56" formatCode="0">
                        <c:v>31</c:v>
                      </c:pt>
                      <c:pt idx="57" formatCode="0">
                        <c:v>29</c:v>
                      </c:pt>
                      <c:pt idx="58" formatCode="0">
                        <c:v>28</c:v>
                      </c:pt>
                      <c:pt idx="59" formatCode="0">
                        <c:v>27</c:v>
                      </c:pt>
                      <c:pt idx="60" formatCode="0">
                        <c:v>26</c:v>
                      </c:pt>
                      <c:pt idx="61" formatCode="0">
                        <c:v>27</c:v>
                      </c:pt>
                      <c:pt idx="62" formatCode="0">
                        <c:v>27</c:v>
                      </c:pt>
                      <c:pt idx="63" formatCode="0">
                        <c:v>28</c:v>
                      </c:pt>
                      <c:pt idx="64" formatCode="0">
                        <c:v>30</c:v>
                      </c:pt>
                      <c:pt idx="65" formatCode="0">
                        <c:v>31</c:v>
                      </c:pt>
                      <c:pt idx="66" formatCode="0">
                        <c:v>31</c:v>
                      </c:pt>
                      <c:pt idx="67" formatCode="0">
                        <c:v>30</c:v>
                      </c:pt>
                      <c:pt idx="68" formatCode="0">
                        <c:v>29</c:v>
                      </c:pt>
                      <c:pt idx="69" formatCode="0">
                        <c:v>29</c:v>
                      </c:pt>
                      <c:pt idx="70" formatCode="0">
                        <c:v>29</c:v>
                      </c:pt>
                      <c:pt idx="71" formatCode="0">
                        <c:v>29</c:v>
                      </c:pt>
                      <c:pt idx="72" formatCode="0">
                        <c:v>28</c:v>
                      </c:pt>
                      <c:pt idx="73" formatCode="0">
                        <c:v>28</c:v>
                      </c:pt>
                      <c:pt idx="74" formatCode="0">
                        <c:v>29</c:v>
                      </c:pt>
                      <c:pt idx="75" formatCode="0">
                        <c:v>29</c:v>
                      </c:pt>
                      <c:pt idx="76" formatCode="0">
                        <c:v>29</c:v>
                      </c:pt>
                      <c:pt idx="77" formatCode="0">
                        <c:v>27</c:v>
                      </c:pt>
                      <c:pt idx="78" formatCode="0">
                        <c:v>30</c:v>
                      </c:pt>
                    </c:numCache>
                  </c:numRef>
                </c:val>
                <c:smooth val="0"/>
                <c:extLst xmlns:c15="http://schemas.microsoft.com/office/drawing/2012/chart">
                  <c:ext xmlns:c16="http://schemas.microsoft.com/office/drawing/2014/chart" uri="{C3380CC4-5D6E-409C-BE32-E72D297353CC}">
                    <c16:uniqueId val="{0000001A-DE8D-488D-855A-43F38F7C7045}"/>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'Table for graphs '!$A$16</c15:sqref>
                        </c15:formulaRef>
                      </c:ext>
                    </c:extLst>
                    <c:strCache>
                      <c:ptCount val="1"/>
                      <c:pt idx="0">
                        <c:v>Trajectory 63 - 103 days All Sites</c:v>
                      </c:pt>
                    </c:strCache>
                  </c:strRef>
                </c:tx>
                <c:spPr>
                  <a:ln w="28575" cap="rnd">
                    <a:solidFill>
                      <a:schemeClr val="accent5">
                        <a:shade val="5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'!$B$16:$CB$16</c15:sqref>
                        </c15:formulaRef>
                      </c:ext>
                    </c:extLst>
                    <c:numCache>
                      <c:formatCode>General</c:formatCode>
                      <c:ptCount val="79"/>
                      <c:pt idx="19" formatCode="0">
                        <c:v>267</c:v>
                      </c:pt>
                      <c:pt idx="20" formatCode="0">
                        <c:v>252</c:v>
                      </c:pt>
                      <c:pt idx="21" formatCode="0">
                        <c:v>236.23999999999998</c:v>
                      </c:pt>
                      <c:pt idx="22" formatCode="0">
                        <c:v>199.3245</c:v>
                      </c:pt>
                      <c:pt idx="23" formatCode="0">
                        <c:v>195.49769499999999</c:v>
                      </c:pt>
                      <c:pt idx="24" formatCode="0">
                        <c:v>190.43561305</c:v>
                      </c:pt>
                      <c:pt idx="25" formatCode="0">
                        <c:v>185.645559289</c:v>
                      </c:pt>
                      <c:pt idx="26" formatCode="0">
                        <c:v>181.46267059630998</c:v>
                      </c:pt>
                      <c:pt idx="27" formatCode="0">
                        <c:v>193.98782635944633</c:v>
                      </c:pt>
                      <c:pt idx="28" formatCode="0">
                        <c:v>207.92916694448962</c:v>
                      </c:pt>
                      <c:pt idx="29" formatCode="0">
                        <c:v>198.42657866168935</c:v>
                      </c:pt>
                      <c:pt idx="30" formatCode="0">
                        <c:v>193.12956705319311</c:v>
                      </c:pt>
                      <c:pt idx="31" formatCode="0">
                        <c:v>199.27706916993188</c:v>
                      </c:pt>
                      <c:pt idx="32" formatCode="0">
                        <c:v>209.10522902493807</c:v>
                      </c:pt>
                      <c:pt idx="33" formatCode="0">
                        <c:v>202.88494932267031</c:v>
                      </c:pt>
                      <c:pt idx="34" formatCode="0">
                        <c:v>196.13243632534207</c:v>
                      </c:pt>
                      <c:pt idx="35" formatCode="0">
                        <c:v>208.24516653256214</c:v>
                      </c:pt>
                      <c:pt idx="36" formatCode="0">
                        <c:v>202.35051572019503</c:v>
                      </c:pt>
                      <c:pt idx="37" formatCode="0">
                        <c:v>193.78404038873188</c:v>
                      </c:pt>
                      <c:pt idx="38" formatCode="0">
                        <c:v>186.1565571383104</c:v>
                      </c:pt>
                      <c:pt idx="39" formatCode="0">
                        <c:v>184.05819792616415</c:v>
                      </c:pt>
                      <c:pt idx="40" formatCode="0">
                        <c:v>179.56429254814725</c:v>
                      </c:pt>
                      <c:pt idx="41" formatCode="0">
                        <c:v>184.62984386895312</c:v>
                      </c:pt>
                      <c:pt idx="42" formatCode="0">
                        <c:v>193.8270304551051</c:v>
                      </c:pt>
                      <c:pt idx="43" formatCode="0">
                        <c:v>201.15556315049818</c:v>
                      </c:pt>
                      <c:pt idx="44" formatCode="0">
                        <c:v>195.10398069469349</c:v>
                      </c:pt>
                      <c:pt idx="45" formatCode="0">
                        <c:v>204.11106317149623</c:v>
                      </c:pt>
                      <c:pt idx="46" formatCode="0">
                        <c:v>200.93907511708034</c:v>
                      </c:pt>
                      <c:pt idx="47" formatCode="0">
                        <c:v>202.91846316123582</c:v>
                      </c:pt>
                      <c:pt idx="48" formatCode="0">
                        <c:v>208.04937923495021</c:v>
                      </c:pt>
                      <c:pt idx="49" formatCode="0">
                        <c:v>201.45321082995216</c:v>
                      </c:pt>
                      <c:pt idx="50" formatCode="0">
                        <c:v>207.10628837567086</c:v>
                      </c:pt>
                      <c:pt idx="51" formatCode="0">
                        <c:v>205.19764956839015</c:v>
                      </c:pt>
                      <c:pt idx="52" formatCode="0">
                        <c:v>199.95539534903924</c:v>
                      </c:pt>
                      <c:pt idx="53" formatCode="0">
                        <c:v>194.70424505560683</c:v>
                      </c:pt>
                      <c:pt idx="54" formatCode="0">
                        <c:v>188.00386265146955</c:v>
                      </c:pt>
                      <c:pt idx="55" formatCode="0">
                        <c:v>177.51272159847844</c:v>
                      </c:pt>
                      <c:pt idx="56" formatCode="0">
                        <c:v>172.21385614948338</c:v>
                      </c:pt>
                      <c:pt idx="57" formatCode="0">
                        <c:v>164.70590429743766</c:v>
                      </c:pt>
                      <c:pt idx="58" formatCode="0">
                        <c:v>159.42470980956864</c:v>
                      </c:pt>
                      <c:pt idx="59" formatCode="0">
                        <c:v>155.65703935897238</c:v>
                      </c:pt>
                      <c:pt idx="60" formatCode="0">
                        <c:v>148.98166353452834</c:v>
                      </c:pt>
                      <c:pt idx="61" formatCode="0">
                        <c:v>147.04114339184557</c:v>
                      </c:pt>
                      <c:pt idx="62" formatCode="0">
                        <c:v>143.27662380626728</c:v>
                      </c:pt>
                      <c:pt idx="63" formatCode="0">
                        <c:v>145.23474706276329</c:v>
                      </c:pt>
                      <c:pt idx="64" formatCode="0">
                        <c:v>152.84241961034496</c:v>
                      </c:pt>
                      <c:pt idx="65" formatCode="0">
                        <c:v>166.25463189213258</c:v>
                      </c:pt>
                      <c:pt idx="66" formatCode="0">
                        <c:v>175.39695928352788</c:v>
                      </c:pt>
                      <c:pt idx="67" formatCode="0">
                        <c:v>162.15372866637</c:v>
                      </c:pt>
                      <c:pt idx="68" formatCode="0">
                        <c:v>154.96797200682641</c:v>
                      </c:pt>
                      <c:pt idx="69" formatCode="0">
                        <c:v>151.7010814682526</c:v>
                      </c:pt>
                      <c:pt idx="70" formatCode="0">
                        <c:v>147.6454877627084</c:v>
                      </c:pt>
                      <c:pt idx="71" formatCode="0">
                        <c:v>145.21680933614715</c:v>
                      </c:pt>
                      <c:pt idx="72" formatCode="0">
                        <c:v>142.85537692690099</c:v>
                      </c:pt>
                      <c:pt idx="73" formatCode="0">
                        <c:v>141.62269384121981</c:v>
                      </c:pt>
                      <c:pt idx="74" formatCode="0">
                        <c:v>143.24415719949229</c:v>
                      </c:pt>
                      <c:pt idx="75" formatCode="0">
                        <c:v>138.89635428986955</c:v>
                      </c:pt>
                      <c:pt idx="76" formatCode="0">
                        <c:v>141.08129768981723</c:v>
                      </c:pt>
                      <c:pt idx="77" formatCode="0">
                        <c:v>140.08129768981723</c:v>
                      </c:pt>
                      <c:pt idx="78" formatCode="0">
                        <c:v>156.15669295936172</c:v>
                      </c:pt>
                    </c:numCache>
                  </c:numRef>
                </c:val>
                <c:smooth val="0"/>
                <c:extLst xmlns:c15="http://schemas.microsoft.com/office/drawing/2012/chart">
                  <c:ext xmlns:c16="http://schemas.microsoft.com/office/drawing/2014/chart" uri="{C3380CC4-5D6E-409C-BE32-E72D297353CC}">
                    <c16:uniqueId val="{0000001B-DE8D-488D-855A-43F38F7C7045}"/>
                  </c:ext>
                </c:extLst>
              </c15:ser>
            </c15:filteredLineSeries>
            <c15:filteredLineSeries>
              <c15:ser>
                <c:idx val="15"/>
                <c:order val="15"/>
                <c:tx>
                  <c:strRef>
                    <c:extLst xmlns:c15="http://schemas.microsoft.com/office/drawing/2012/chart">
                      <c:ext xmlns:c15="http://schemas.microsoft.com/office/drawing/2012/chart" uri="{02D57815-91ED-43cb-92C2-25804820EDAC}">
                        <c15:formulaRef>
                          <c15:sqref>'Table for graphs '!$A$17</c15:sqref>
                        </c15:formulaRef>
                      </c:ext>
                    </c:extLst>
                    <c:strCache>
                      <c:ptCount val="1"/>
                      <c:pt idx="0">
                        <c:v>Acute Leukaemia - Trajectory &gt;103 days</c:v>
                      </c:pt>
                    </c:strCache>
                  </c:strRef>
                </c:tx>
                <c:spPr>
                  <a:ln w="28575" cap="rnd">
                    <a:solidFill>
                      <a:schemeClr val="accent5">
                        <a:shade val="5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'!$B$17:$CB$17</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C-DE8D-488D-855A-43F38F7C7045}"/>
                  </c:ext>
                </c:extLst>
              </c15:ser>
            </c15:filteredLineSeries>
            <c15:filteredLineSeries>
              <c15:ser>
                <c:idx val="16"/>
                <c:order val="16"/>
                <c:tx>
                  <c:strRef>
                    <c:extLst xmlns:c15="http://schemas.microsoft.com/office/drawing/2012/chart">
                      <c:ext xmlns:c15="http://schemas.microsoft.com/office/drawing/2012/chart" uri="{02D57815-91ED-43cb-92C2-25804820EDAC}">
                        <c15:formulaRef>
                          <c15:sqref>'Table for graphs '!$A$18</c15:sqref>
                        </c15:formulaRef>
                      </c:ext>
                    </c:extLst>
                    <c:strCache>
                      <c:ptCount val="1"/>
                      <c:pt idx="0">
                        <c:v>Brain/CNS - Trajectory &gt;103 days</c:v>
                      </c:pt>
                    </c:strCache>
                  </c:strRef>
                </c:tx>
                <c:spPr>
                  <a:ln w="28575" cap="rnd">
                    <a:solidFill>
                      <a:schemeClr val="accent5">
                        <a:shade val="5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'!$B$18:$CB$18</c15:sqref>
                        </c15:formulaRef>
                      </c:ext>
                    </c:extLst>
                    <c:numCache>
                      <c:formatCode>General</c:formatCode>
                      <c:ptCount val="79"/>
                      <c:pt idx="19" formatCode="0">
                        <c:v>0</c:v>
                      </c:pt>
                      <c:pt idx="20" formatCode="0">
                        <c:v>0</c:v>
                      </c:pt>
                      <c:pt idx="21" formatCode="0">
                        <c:v>0</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D-DE8D-488D-855A-43F38F7C7045}"/>
                  </c:ext>
                </c:extLst>
              </c15:ser>
            </c15:filteredLineSeries>
            <c15:filteredLineSeries>
              <c15:ser>
                <c:idx val="17"/>
                <c:order val="17"/>
                <c:tx>
                  <c:strRef>
                    <c:extLst xmlns:c15="http://schemas.microsoft.com/office/drawing/2012/chart">
                      <c:ext xmlns:c15="http://schemas.microsoft.com/office/drawing/2012/chart" uri="{02D57815-91ED-43cb-92C2-25804820EDAC}">
                        <c15:formulaRef>
                          <c15:sqref>'Table for graphs '!$A$19</c15:sqref>
                        </c15:formulaRef>
                      </c:ext>
                    </c:extLst>
                    <c:strCache>
                      <c:ptCount val="1"/>
                      <c:pt idx="0">
                        <c:v>Breast - Trajectory &gt;103 days</c:v>
                      </c:pt>
                    </c:strCache>
                  </c:strRef>
                </c:tx>
                <c:spPr>
                  <a:ln w="28575" cap="rnd">
                    <a:solidFill>
                      <a:schemeClr val="accent5">
                        <a:shade val="5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'!$B$19:$CB$19</c15:sqref>
                        </c15:formulaRef>
                      </c:ext>
                    </c:extLst>
                    <c:numCache>
                      <c:formatCode>General</c:formatCode>
                      <c:ptCount val="79"/>
                      <c:pt idx="19" formatCode="0">
                        <c:v>6</c:v>
                      </c:pt>
                      <c:pt idx="20" formatCode="0">
                        <c:v>5</c:v>
                      </c:pt>
                      <c:pt idx="21" formatCode="0">
                        <c:v>4.9000000000000004</c:v>
                      </c:pt>
                      <c:pt idx="22" formatCode="0">
                        <c:v>4.4590000000000005</c:v>
                      </c:pt>
                      <c:pt idx="23" formatCode="0">
                        <c:v>4.3698200000000007</c:v>
                      </c:pt>
                      <c:pt idx="24" formatCode="0">
                        <c:v>4.2824236000000004</c:v>
                      </c:pt>
                      <c:pt idx="25" formatCode="0">
                        <c:v>4.1967751280000005</c:v>
                      </c:pt>
                      <c:pt idx="26" formatCode="0">
                        <c:v>4.1128396254400004</c:v>
                      </c:pt>
                      <c:pt idx="27" formatCode="0">
                        <c:v>4.9354075505280006</c:v>
                      </c:pt>
                      <c:pt idx="28" formatCode="0">
                        <c:v>5.9224890606336009</c:v>
                      </c:pt>
                      <c:pt idx="29" formatCode="0">
                        <c:v>5.9224890606336009</c:v>
                      </c:pt>
                      <c:pt idx="30" formatCode="0">
                        <c:v>5.3302401545702409</c:v>
                      </c:pt>
                      <c:pt idx="31" formatCode="0">
                        <c:v>6.1297761777557769</c:v>
                      </c:pt>
                      <c:pt idx="32" formatCode="0">
                        <c:v>7.0492426044191427</c:v>
                      </c:pt>
                      <c:pt idx="33" formatCode="0">
                        <c:v>5.9918562137562708</c:v>
                      </c:pt>
                      <c:pt idx="34" formatCode="0">
                        <c:v>5.3926705923806439</c:v>
                      </c:pt>
                      <c:pt idx="35" formatCode="0">
                        <c:v>6.2015711812377399</c:v>
                      </c:pt>
                      <c:pt idx="36" formatCode="0">
                        <c:v>7.1038997881078307</c:v>
                      </c:pt>
                      <c:pt idx="37" formatCode="0">
                        <c:v>6.0383148198916556</c:v>
                      </c:pt>
                      <c:pt idx="38" formatCode="0">
                        <c:v>5.4344833379024902</c:v>
                      </c:pt>
                      <c:pt idx="39" formatCode="0">
                        <c:v>4.6193108372171165</c:v>
                      </c:pt>
                      <c:pt idx="40" formatCode="0">
                        <c:v>4.1573797534954053</c:v>
                      </c:pt>
                      <c:pt idx="41" formatCode="0">
                        <c:v>3.7416417781458651</c:v>
                      </c:pt>
                      <c:pt idx="42" formatCode="0">
                        <c:v>3.7416417781458651</c:v>
                      </c:pt>
                      <c:pt idx="43" formatCode="0">
                        <c:v>3.5545596892385718</c:v>
                      </c:pt>
                      <c:pt idx="44" formatCode="0">
                        <c:v>3.376831704776643</c:v>
                      </c:pt>
                      <c:pt idx="45" formatCode="0">
                        <c:v>3.545673290015475</c:v>
                      </c:pt>
                      <c:pt idx="46" formatCode="0">
                        <c:v>3.545673290015475</c:v>
                      </c:pt>
                      <c:pt idx="47" formatCode="0">
                        <c:v>3.545673290015475</c:v>
                      </c:pt>
                      <c:pt idx="48" formatCode="0">
                        <c:v>4.7866589415208916</c:v>
                      </c:pt>
                      <c:pt idx="49" formatCode="0">
                        <c:v>4.5473259944448472</c:v>
                      </c:pt>
                      <c:pt idx="50" formatCode="0">
                        <c:v>4.3199596947226047</c:v>
                      </c:pt>
                      <c:pt idx="51" formatCode="0">
                        <c:v>3.8879637252503443</c:v>
                      </c:pt>
                      <c:pt idx="52" formatCode="0">
                        <c:v>3.8879637252503443</c:v>
                      </c:pt>
                      <c:pt idx="53" formatCode="0">
                        <c:v>3.8879637252503443</c:v>
                      </c:pt>
                      <c:pt idx="54" formatCode="0">
                        <c:v>3.8879637252503443</c:v>
                      </c:pt>
                      <c:pt idx="55" formatCode="0">
                        <c:v>3.8879637252503443</c:v>
                      </c:pt>
                      <c:pt idx="56" formatCode="0">
                        <c:v>3.8879637252503443</c:v>
                      </c:pt>
                      <c:pt idx="57" formatCode="0">
                        <c:v>3.8879637252503443</c:v>
                      </c:pt>
                      <c:pt idx="58" formatCode="0">
                        <c:v>3.8879637252503443</c:v>
                      </c:pt>
                      <c:pt idx="59" formatCode="0">
                        <c:v>3.8879637252503443</c:v>
                      </c:pt>
                      <c:pt idx="60" formatCode="0">
                        <c:v>3.8879637252503443</c:v>
                      </c:pt>
                      <c:pt idx="61" formatCode="0">
                        <c:v>3.3047691664627927</c:v>
                      </c:pt>
                      <c:pt idx="62" formatCode="0">
                        <c:v>3.3047691664627927</c:v>
                      </c:pt>
                      <c:pt idx="63" formatCode="0">
                        <c:v>3.3047691664627927</c:v>
                      </c:pt>
                      <c:pt idx="64" formatCode="0">
                        <c:v>3.3047691664627927</c:v>
                      </c:pt>
                      <c:pt idx="65" formatCode="0">
                        <c:v>4.9571537496941893</c:v>
                      </c:pt>
                      <c:pt idx="66" formatCode="0">
                        <c:v>6.1964421871177366</c:v>
                      </c:pt>
                      <c:pt idx="67" formatCode="0">
                        <c:v>4.9571537496941893</c:v>
                      </c:pt>
                      <c:pt idx="68" formatCode="0">
                        <c:v>4.2135806872400607</c:v>
                      </c:pt>
                      <c:pt idx="69" formatCode="0">
                        <c:v>4.2135806872400607</c:v>
                      </c:pt>
                      <c:pt idx="70" formatCode="0">
                        <c:v>4.2135806872400607</c:v>
                      </c:pt>
                      <c:pt idx="71" formatCode="0">
                        <c:v>4.2135806872400607</c:v>
                      </c:pt>
                      <c:pt idx="72" formatCode="0">
                        <c:v>4.2135806872400607</c:v>
                      </c:pt>
                      <c:pt idx="73" formatCode="0">
                        <c:v>4.2135806872400607</c:v>
                      </c:pt>
                      <c:pt idx="74" formatCode="0">
                        <c:v>4.2135806872400607</c:v>
                      </c:pt>
                      <c:pt idx="75" formatCode="0">
                        <c:v>4.2135806872400607</c:v>
                      </c:pt>
                      <c:pt idx="76" formatCode="0">
                        <c:v>4.2135806872400607</c:v>
                      </c:pt>
                      <c:pt idx="77" formatCode="0">
                        <c:v>4.2135806872400607</c:v>
                      </c:pt>
                      <c:pt idx="78" formatCode="0">
                        <c:v>5.2669758590500759</c:v>
                      </c:pt>
                    </c:numCache>
                  </c:numRef>
                </c:val>
                <c:smooth val="0"/>
                <c:extLst xmlns:c15="http://schemas.microsoft.com/office/drawing/2012/chart">
                  <c:ext xmlns:c16="http://schemas.microsoft.com/office/drawing/2014/chart" uri="{C3380CC4-5D6E-409C-BE32-E72D297353CC}">
                    <c16:uniqueId val="{0000001E-DE8D-488D-855A-43F38F7C7045}"/>
                  </c:ext>
                </c:extLst>
              </c15:ser>
            </c15:filteredLineSeries>
            <c15:filteredLineSeries>
              <c15:ser>
                <c:idx val="18"/>
                <c:order val="18"/>
                <c:tx>
                  <c:strRef>
                    <c:extLst xmlns:c15="http://schemas.microsoft.com/office/drawing/2012/chart">
                      <c:ext xmlns:c15="http://schemas.microsoft.com/office/drawing/2012/chart" uri="{02D57815-91ED-43cb-92C2-25804820EDAC}">
                        <c15:formulaRef>
                          <c15:sqref>'Table for graphs '!$A$20</c15:sqref>
                        </c15:formulaRef>
                      </c:ext>
                    </c:extLst>
                    <c:strCache>
                      <c:ptCount val="1"/>
                      <c:pt idx="0">
                        <c:v>Children's cancer - Trajectory &gt;103 days</c:v>
                      </c:pt>
                    </c:strCache>
                  </c:strRef>
                </c:tx>
                <c:spPr>
                  <a:ln w="28575" cap="rnd">
                    <a:solidFill>
                      <a:schemeClr val="accent5">
                        <a:shade val="5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'!$B$20:$CB$20</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1F-DE8D-488D-855A-43F38F7C7045}"/>
                  </c:ext>
                </c:extLst>
              </c15:ser>
            </c15:filteredLineSeries>
            <c15:filteredLineSeries>
              <c15:ser>
                <c:idx val="19"/>
                <c:order val="19"/>
                <c:tx>
                  <c:strRef>
                    <c:extLst xmlns:c15="http://schemas.microsoft.com/office/drawing/2012/chart">
                      <c:ext xmlns:c15="http://schemas.microsoft.com/office/drawing/2012/chart" uri="{02D57815-91ED-43cb-92C2-25804820EDAC}">
                        <c15:formulaRef>
                          <c15:sqref>'Table for graphs '!$A$21</c15:sqref>
                        </c15:formulaRef>
                      </c:ext>
                    </c:extLst>
                    <c:strCache>
                      <c:ptCount val="1"/>
                      <c:pt idx="0">
                        <c:v>Gynaecological - Trajectory &gt;103 days</c:v>
                      </c:pt>
                    </c:strCache>
                  </c:strRef>
                </c:tx>
                <c:spPr>
                  <a:ln w="28575" cap="rnd">
                    <a:solidFill>
                      <a:schemeClr val="accent5">
                        <a:shade val="5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'!$B$21:$CB$21</c15:sqref>
                        </c15:formulaRef>
                      </c:ext>
                    </c:extLst>
                    <c:numCache>
                      <c:formatCode>General</c:formatCode>
                      <c:ptCount val="79"/>
                      <c:pt idx="19" formatCode="0">
                        <c:v>34</c:v>
                      </c:pt>
                      <c:pt idx="20" formatCode="0">
                        <c:v>38</c:v>
                      </c:pt>
                      <c:pt idx="21" formatCode="0">
                        <c:v>39.9</c:v>
                      </c:pt>
                      <c:pt idx="22" formatCode="0">
                        <c:v>35.909999999999997</c:v>
                      </c:pt>
                      <c:pt idx="23" formatCode="0">
                        <c:v>37.705500000000001</c:v>
                      </c:pt>
                      <c:pt idx="24" formatCode="0">
                        <c:v>39.590775000000001</c:v>
                      </c:pt>
                      <c:pt idx="25" formatCode="0">
                        <c:v>37.611236249999997</c:v>
                      </c:pt>
                      <c:pt idx="26" formatCode="0">
                        <c:v>39.491798062499996</c:v>
                      </c:pt>
                      <c:pt idx="27" formatCode="0">
                        <c:v>42.256223926874995</c:v>
                      </c:pt>
                      <c:pt idx="28" formatCode="0">
                        <c:v>45.214159601756251</c:v>
                      </c:pt>
                      <c:pt idx="29" formatCode="0">
                        <c:v>44.309876409721127</c:v>
                      </c:pt>
                      <c:pt idx="30" formatCode="0">
                        <c:v>43.866777645623912</c:v>
                      </c:pt>
                      <c:pt idx="31" formatCode="0">
                        <c:v>46.060116527905109</c:v>
                      </c:pt>
                      <c:pt idx="32" formatCode="0">
                        <c:v>48.363122354300366</c:v>
                      </c:pt>
                      <c:pt idx="33" formatCode="0">
                        <c:v>47.879491130757359</c:v>
                      </c:pt>
                      <c:pt idx="34" formatCode="0">
                        <c:v>46.92190130814221</c:v>
                      </c:pt>
                      <c:pt idx="35" formatCode="0">
                        <c:v>49.267996373549323</c:v>
                      </c:pt>
                      <c:pt idx="36" formatCode="0">
                        <c:v>48.282636446078335</c:v>
                      </c:pt>
                      <c:pt idx="37" formatCode="0">
                        <c:v>47.316983717156766</c:v>
                      </c:pt>
                      <c:pt idx="38" formatCode="0">
                        <c:v>46.843813879985198</c:v>
                      </c:pt>
                      <c:pt idx="39" formatCode="0">
                        <c:v>47.312252018785053</c:v>
                      </c:pt>
                      <c:pt idx="40" formatCode="0">
                        <c:v>47.785374538972903</c:v>
                      </c:pt>
                      <c:pt idx="41" formatCode="0">
                        <c:v>45.396105812024253</c:v>
                      </c:pt>
                      <c:pt idx="42" formatCode="0">
                        <c:v>46.304027928264738</c:v>
                      </c:pt>
                      <c:pt idx="43" formatCode="0">
                        <c:v>47.230108486830034</c:v>
                      </c:pt>
                      <c:pt idx="44" formatCode="0">
                        <c:v>46.285506317093429</c:v>
                      </c:pt>
                      <c:pt idx="45" formatCode="0">
                        <c:v>45.35979619075156</c:v>
                      </c:pt>
                      <c:pt idx="46" formatCode="0">
                        <c:v>44.452600266936528</c:v>
                      </c:pt>
                      <c:pt idx="47" formatCode="0">
                        <c:v>43.563548261597795</c:v>
                      </c:pt>
                      <c:pt idx="48" formatCode="0">
                        <c:v>45.741725674677689</c:v>
                      </c:pt>
                      <c:pt idx="49" formatCode="0">
                        <c:v>44.826891161184136</c:v>
                      </c:pt>
                      <c:pt idx="50" formatCode="0">
                        <c:v>43.930353337960454</c:v>
                      </c:pt>
                      <c:pt idx="51" formatCode="0">
                        <c:v>43.051746271201246</c:v>
                      </c:pt>
                      <c:pt idx="52" formatCode="0">
                        <c:v>41.760193883065206</c:v>
                      </c:pt>
                      <c:pt idx="53" formatCode="0">
                        <c:v>40.507388066573249</c:v>
                      </c:pt>
                      <c:pt idx="54" formatCode="0">
                        <c:v>39.292166424576052</c:v>
                      </c:pt>
                      <c:pt idx="55" formatCode="0">
                        <c:v>38.113401431838767</c:v>
                      </c:pt>
                      <c:pt idx="56" formatCode="0">
                        <c:v>36.9699993888836</c:v>
                      </c:pt>
                      <c:pt idx="57" formatCode="0">
                        <c:v>35.86089940721709</c:v>
                      </c:pt>
                      <c:pt idx="58" formatCode="0">
                        <c:v>34.785072425000578</c:v>
                      </c:pt>
                      <c:pt idx="59" formatCode="0">
                        <c:v>32.697968079500541</c:v>
                      </c:pt>
                      <c:pt idx="60" formatCode="0">
                        <c:v>31.063069675525512</c:v>
                      </c:pt>
                      <c:pt idx="61" formatCode="0">
                        <c:v>27.95676270797296</c:v>
                      </c:pt>
                      <c:pt idx="62" formatCode="0">
                        <c:v>25.720221691335123</c:v>
                      </c:pt>
                      <c:pt idx="63" formatCode="0">
                        <c:v>23.148199522201612</c:v>
                      </c:pt>
                      <c:pt idx="64" formatCode="0">
                        <c:v>23.148199522201612</c:v>
                      </c:pt>
                      <c:pt idx="65" formatCode="0">
                        <c:v>24.768573488755727</c:v>
                      </c:pt>
                      <c:pt idx="66" formatCode="0">
                        <c:v>26.502373632968631</c:v>
                      </c:pt>
                      <c:pt idx="67" formatCode="0">
                        <c:v>23.852136269671767</c:v>
                      </c:pt>
                      <c:pt idx="68" formatCode="0">
                        <c:v>21.466922642704592</c:v>
                      </c:pt>
                      <c:pt idx="69" formatCode="0">
                        <c:v>19.320230378434132</c:v>
                      </c:pt>
                      <c:pt idx="70" formatCode="0">
                        <c:v>17.388207340590721</c:v>
                      </c:pt>
                      <c:pt idx="71" formatCode="0">
                        <c:v>17.388207340590721</c:v>
                      </c:pt>
                      <c:pt idx="72" formatCode="0">
                        <c:v>17.388207340590721</c:v>
                      </c:pt>
                      <c:pt idx="73" formatCode="0">
                        <c:v>17.388207340590721</c:v>
                      </c:pt>
                      <c:pt idx="74" formatCode="0">
                        <c:v>17.388207340590721</c:v>
                      </c:pt>
                      <c:pt idx="75" formatCode="0">
                        <c:v>17.388207340590721</c:v>
                      </c:pt>
                      <c:pt idx="76" formatCode="0">
                        <c:v>17.388207340590721</c:v>
                      </c:pt>
                      <c:pt idx="77" formatCode="0">
                        <c:v>17.388207340590721</c:v>
                      </c:pt>
                      <c:pt idx="78" formatCode="0">
                        <c:v>19.127028074649797</c:v>
                      </c:pt>
                    </c:numCache>
                  </c:numRef>
                </c:val>
                <c:smooth val="0"/>
                <c:extLst xmlns:c15="http://schemas.microsoft.com/office/drawing/2012/chart">
                  <c:ext xmlns:c16="http://schemas.microsoft.com/office/drawing/2014/chart" uri="{C3380CC4-5D6E-409C-BE32-E72D297353CC}">
                    <c16:uniqueId val="{00000020-DE8D-488D-855A-43F38F7C7045}"/>
                  </c:ext>
                </c:extLst>
              </c15:ser>
            </c15:filteredLineSeries>
            <c15:filteredLineSeries>
              <c15:ser>
                <c:idx val="20"/>
                <c:order val="20"/>
                <c:tx>
                  <c:strRef>
                    <c:extLst xmlns:c15="http://schemas.microsoft.com/office/drawing/2012/chart">
                      <c:ext xmlns:c15="http://schemas.microsoft.com/office/drawing/2012/chart" uri="{02D57815-91ED-43cb-92C2-25804820EDAC}">
                        <c15:formulaRef>
                          <c15:sqref>'Table for graphs '!$A$22</c15:sqref>
                        </c15:formulaRef>
                      </c:ext>
                    </c:extLst>
                    <c:strCache>
                      <c:ptCount val="1"/>
                      <c:pt idx="0">
                        <c:v>Haematological - Trajectory &gt;103 days</c:v>
                      </c:pt>
                    </c:strCache>
                  </c:strRef>
                </c:tx>
                <c:spPr>
                  <a:ln w="28575" cap="rnd">
                    <a:solidFill>
                      <a:schemeClr val="accent5">
                        <a:shade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'!$B$22:$CB$22</c15:sqref>
                        </c15:formulaRef>
                      </c:ext>
                    </c:extLst>
                    <c:numCache>
                      <c:formatCode>General</c:formatCode>
                      <c:ptCount val="79"/>
                      <c:pt idx="19" formatCode="0">
                        <c:v>11</c:v>
                      </c:pt>
                      <c:pt idx="20" formatCode="0">
                        <c:v>12</c:v>
                      </c:pt>
                      <c:pt idx="21" formatCode="0">
                        <c:v>11.76</c:v>
                      </c:pt>
                      <c:pt idx="22" formatCode="0">
                        <c:v>9.4079999999999995</c:v>
                      </c:pt>
                      <c:pt idx="23" formatCode="0">
                        <c:v>7.5263999999999998</c:v>
                      </c:pt>
                      <c:pt idx="24" formatCode="0">
                        <c:v>7.3758719999999993</c:v>
                      </c:pt>
                      <c:pt idx="25" formatCode="0">
                        <c:v>7.2283545599999988</c:v>
                      </c:pt>
                      <c:pt idx="26" formatCode="0">
                        <c:v>7.0837874687999989</c:v>
                      </c:pt>
                      <c:pt idx="27" formatCode="0">
                        <c:v>7.2254632181759986</c:v>
                      </c:pt>
                      <c:pt idx="28" formatCode="0">
                        <c:v>7.5144817469030389</c:v>
                      </c:pt>
                      <c:pt idx="29" formatCode="0">
                        <c:v>7.2139024770269167</c:v>
                      </c:pt>
                      <c:pt idx="30" formatCode="0">
                        <c:v>7.069624427486378</c:v>
                      </c:pt>
                      <c:pt idx="31" formatCode="0">
                        <c:v>7.2110169160361055</c:v>
                      </c:pt>
                      <c:pt idx="32" formatCode="0">
                        <c:v>7.4994575926775502</c:v>
                      </c:pt>
                      <c:pt idx="33" formatCode="0">
                        <c:v>7.4994575926775502</c:v>
                      </c:pt>
                      <c:pt idx="34" formatCode="0">
                        <c:v>7.1994792889704478</c:v>
                      </c:pt>
                      <c:pt idx="35" formatCode="0">
                        <c:v>7.3434688747498571</c:v>
                      </c:pt>
                      <c:pt idx="36" formatCode="0">
                        <c:v>7.0497301197598627</c:v>
                      </c:pt>
                      <c:pt idx="37" formatCode="0">
                        <c:v>6.7677409149694681</c:v>
                      </c:pt>
                      <c:pt idx="38" formatCode="0">
                        <c:v>6.7677409149694681</c:v>
                      </c:pt>
                      <c:pt idx="39" formatCode="0">
                        <c:v>7.1061279607179415</c:v>
                      </c:pt>
                      <c:pt idx="40" formatCode="0">
                        <c:v>7.1061279607179415</c:v>
                      </c:pt>
                      <c:pt idx="41" formatCode="0">
                        <c:v>7.4614343587538388</c:v>
                      </c:pt>
                      <c:pt idx="42" formatCode="0">
                        <c:v>8.2075777946292234</c:v>
                      </c:pt>
                      <c:pt idx="43" formatCode="0">
                        <c:v>9.4387144638236062</c:v>
                      </c:pt>
                      <c:pt idx="44" formatCode="0">
                        <c:v>8.4948430174412461</c:v>
                      </c:pt>
                      <c:pt idx="45" formatCode="0">
                        <c:v>8.9195851683133096</c:v>
                      </c:pt>
                      <c:pt idx="46" formatCode="0">
                        <c:v>8.9195851683133096</c:v>
                      </c:pt>
                      <c:pt idx="47" formatCode="0">
                        <c:v>8.0276266514819792</c:v>
                      </c:pt>
                      <c:pt idx="48" formatCode="0">
                        <c:v>8.4290079840560779</c:v>
                      </c:pt>
                      <c:pt idx="49" formatCode="0">
                        <c:v>8.0075575848532736</c:v>
                      </c:pt>
                      <c:pt idx="50" formatCode="0">
                        <c:v>8.407935464095937</c:v>
                      </c:pt>
                      <c:pt idx="51" formatCode="0">
                        <c:v>8.5760941733778555</c:v>
                      </c:pt>
                      <c:pt idx="52" formatCode="0">
                        <c:v>8.5760941733778555</c:v>
                      </c:pt>
                      <c:pt idx="53" formatCode="0">
                        <c:v>9.0048988820467493</c:v>
                      </c:pt>
                      <c:pt idx="54" formatCode="0">
                        <c:v>9.0048988820467493</c:v>
                      </c:pt>
                      <c:pt idx="55" formatCode="0">
                        <c:v>8.554653937944412</c:v>
                      </c:pt>
                      <c:pt idx="56" formatCode="0">
                        <c:v>8.1269212410471905</c:v>
                      </c:pt>
                      <c:pt idx="57" formatCode="0">
                        <c:v>7.7205751789948307</c:v>
                      </c:pt>
                      <c:pt idx="58" formatCode="0">
                        <c:v>6.9485176610953481</c:v>
                      </c:pt>
                      <c:pt idx="59" formatCode="0">
                        <c:v>6.2536658949858133</c:v>
                      </c:pt>
                      <c:pt idx="60" formatCode="0">
                        <c:v>5.6282993054872321</c:v>
                      </c:pt>
                      <c:pt idx="61" formatCode="0">
                        <c:v>5.0654693749385089</c:v>
                      </c:pt>
                      <c:pt idx="62" formatCode="0">
                        <c:v>4.5589224374446582</c:v>
                      </c:pt>
                      <c:pt idx="63" formatCode="0">
                        <c:v>4.5589224374446582</c:v>
                      </c:pt>
                      <c:pt idx="64" formatCode="0">
                        <c:v>5.0148146811891241</c:v>
                      </c:pt>
                      <c:pt idx="65" formatCode="0">
                        <c:v>6.0177776174269484</c:v>
                      </c:pt>
                      <c:pt idx="66" formatCode="0">
                        <c:v>7.2213331409123374</c:v>
                      </c:pt>
                      <c:pt idx="67" formatCode="0">
                        <c:v>6.499199826821104</c:v>
                      </c:pt>
                      <c:pt idx="68" formatCode="0">
                        <c:v>5.1993598614568839</c:v>
                      </c:pt>
                      <c:pt idx="69" formatCode="0">
                        <c:v>4.1594878891655069</c:v>
                      </c:pt>
                      <c:pt idx="70" formatCode="0">
                        <c:v>3.7435391002489564</c:v>
                      </c:pt>
                      <c:pt idx="71" formatCode="0">
                        <c:v>3.3691851902240608</c:v>
                      </c:pt>
                      <c:pt idx="72" formatCode="0">
                        <c:v>3.0322666712016546</c:v>
                      </c:pt>
                      <c:pt idx="73" formatCode="0">
                        <c:v>2.7290400040814893</c:v>
                      </c:pt>
                      <c:pt idx="74" formatCode="0">
                        <c:v>2.4561360036733406</c:v>
                      </c:pt>
                      <c:pt idx="75" formatCode="0">
                        <c:v>2.2105224033060065</c:v>
                      </c:pt>
                      <c:pt idx="76" formatCode="0">
                        <c:v>2.2105224033060065</c:v>
                      </c:pt>
                      <c:pt idx="77" formatCode="0">
                        <c:v>2.2105224033060065</c:v>
                      </c:pt>
                      <c:pt idx="78" formatCode="0">
                        <c:v>2.6526268839672076</c:v>
                      </c:pt>
                    </c:numCache>
                  </c:numRef>
                </c:val>
                <c:smooth val="0"/>
                <c:extLst xmlns:c15="http://schemas.microsoft.com/office/drawing/2012/chart">
                  <c:ext xmlns:c16="http://schemas.microsoft.com/office/drawing/2014/chart" uri="{C3380CC4-5D6E-409C-BE32-E72D297353CC}">
                    <c16:uniqueId val="{00000021-DE8D-488D-855A-43F38F7C7045}"/>
                  </c:ext>
                </c:extLst>
              </c15:ser>
            </c15:filteredLineSeries>
            <c15:filteredLineSeries>
              <c15:ser>
                <c:idx val="21"/>
                <c:order val="21"/>
                <c:tx>
                  <c:strRef>
                    <c:extLst xmlns:c15="http://schemas.microsoft.com/office/drawing/2012/chart">
                      <c:ext xmlns:c15="http://schemas.microsoft.com/office/drawing/2012/chart" uri="{02D57815-91ED-43cb-92C2-25804820EDAC}">
                        <c15:formulaRef>
                          <c15:sqref>'Table for graphs '!$A$23</c15:sqref>
                        </c15:formulaRef>
                      </c:ext>
                    </c:extLst>
                    <c:strCache>
                      <c:ptCount val="1"/>
                      <c:pt idx="0">
                        <c:v>Head and neck - Trajectory &gt;103 days</c:v>
                      </c:pt>
                    </c:strCache>
                  </c:strRef>
                </c:tx>
                <c:spPr>
                  <a:ln w="28575" cap="rnd">
                    <a:solidFill>
                      <a:schemeClr val="accent5">
                        <a:shade val="6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'!$B$23:$CB$23</c15:sqref>
                        </c15:formulaRef>
                      </c:ext>
                    </c:extLst>
                    <c:numCache>
                      <c:formatCode>General</c:formatCode>
                      <c:ptCount val="79"/>
                      <c:pt idx="19" formatCode="0">
                        <c:v>12</c:v>
                      </c:pt>
                      <c:pt idx="20" formatCode="0">
                        <c:v>9</c:v>
                      </c:pt>
                      <c:pt idx="21" formatCode="0">
                        <c:v>8.1</c:v>
                      </c:pt>
                      <c:pt idx="22" formatCode="0">
                        <c:v>6.0749999999999993</c:v>
                      </c:pt>
                      <c:pt idx="23" formatCode="0">
                        <c:v>4.5562499999999995</c:v>
                      </c:pt>
                      <c:pt idx="24" formatCode="0">
                        <c:v>4.3284374999999997</c:v>
                      </c:pt>
                      <c:pt idx="25" formatCode="0">
                        <c:v>3.8955937499999997</c:v>
                      </c:pt>
                      <c:pt idx="26" formatCode="0">
                        <c:v>3.7008140624999997</c:v>
                      </c:pt>
                      <c:pt idx="27" formatCode="0">
                        <c:v>3.885854765625</c:v>
                      </c:pt>
                      <c:pt idx="28" formatCode="0">
                        <c:v>4.2744402421875005</c:v>
                      </c:pt>
                      <c:pt idx="29" formatCode="0">
                        <c:v>4.060718230078125</c:v>
                      </c:pt>
                      <c:pt idx="30" formatCode="0">
                        <c:v>3.8576823185742186</c:v>
                      </c:pt>
                      <c:pt idx="31" formatCode="0">
                        <c:v>4.0505664345029295</c:v>
                      </c:pt>
                      <c:pt idx="32" formatCode="0">
                        <c:v>4.4556230779532227</c:v>
                      </c:pt>
                      <c:pt idx="33" formatCode="0">
                        <c:v>4.2328419240555615</c:v>
                      </c:pt>
                      <c:pt idx="34" formatCode="0">
                        <c:v>4.021199827852783</c:v>
                      </c:pt>
                      <c:pt idx="35" formatCode="0">
                        <c:v>4.2222598192454219</c:v>
                      </c:pt>
                      <c:pt idx="36" formatCode="0">
                        <c:v>4.0111468282831506</c:v>
                      </c:pt>
                      <c:pt idx="37" formatCode="0">
                        <c:v>3.8105894868689929</c:v>
                      </c:pt>
                      <c:pt idx="38" formatCode="0">
                        <c:v>3.6200600125255429</c:v>
                      </c:pt>
                      <c:pt idx="39" formatCode="0">
                        <c:v>3.2580540112729888</c:v>
                      </c:pt>
                      <c:pt idx="40" formatCode="0">
                        <c:v>3.2580540112729888</c:v>
                      </c:pt>
                      <c:pt idx="41" formatCode="0">
                        <c:v>3.4209567118366384</c:v>
                      </c:pt>
                      <c:pt idx="42" formatCode="0">
                        <c:v>3.5920045474284703</c:v>
                      </c:pt>
                      <c:pt idx="43" formatCode="0">
                        <c:v>3.5920045474284703</c:v>
                      </c:pt>
                      <c:pt idx="44" formatCode="0">
                        <c:v>3.4124043200570466</c:v>
                      </c:pt>
                      <c:pt idx="45" formatCode="0">
                        <c:v>3.5830245360598991</c:v>
                      </c:pt>
                      <c:pt idx="46" formatCode="0">
                        <c:v>3.5830245360598991</c:v>
                      </c:pt>
                      <c:pt idx="47" formatCode="0">
                        <c:v>3.7621757628628942</c:v>
                      </c:pt>
                      <c:pt idx="48" formatCode="0">
                        <c:v>3.9502845510060389</c:v>
                      </c:pt>
                      <c:pt idx="49" formatCode="0">
                        <c:v>3.7527703234557368</c:v>
                      </c:pt>
                      <c:pt idx="50" formatCode="0">
                        <c:v>3.5651318072829499</c:v>
                      </c:pt>
                      <c:pt idx="51" formatCode="0">
                        <c:v>3.3868752169188023</c:v>
                      </c:pt>
                      <c:pt idx="52" formatCode="0">
                        <c:v>3.0481876952269222</c:v>
                      </c:pt>
                      <c:pt idx="53" formatCode="0">
                        <c:v>2.8957783104655759</c:v>
                      </c:pt>
                      <c:pt idx="54" formatCode="0">
                        <c:v>2.7509893949422968</c:v>
                      </c:pt>
                      <c:pt idx="55" formatCode="0">
                        <c:v>2.6134399251951819</c:v>
                      </c:pt>
                      <c:pt idx="56" formatCode="0">
                        <c:v>2.4827679289354228</c:v>
                      </c:pt>
                      <c:pt idx="57" formatCode="0">
                        <c:v>2.3586295324886515</c:v>
                      </c:pt>
                      <c:pt idx="58" formatCode="0">
                        <c:v>2.3586295324886515</c:v>
                      </c:pt>
                      <c:pt idx="59" formatCode="0">
                        <c:v>2.3586295324886515</c:v>
                      </c:pt>
                      <c:pt idx="60" formatCode="0">
                        <c:v>2.3586295324886515</c:v>
                      </c:pt>
                      <c:pt idx="61" formatCode="0">
                        <c:v>2.3586295324886515</c:v>
                      </c:pt>
                      <c:pt idx="62" formatCode="0">
                        <c:v>2.3586295324886515</c:v>
                      </c:pt>
                      <c:pt idx="63" formatCode="0">
                        <c:v>2.3586295324886515</c:v>
                      </c:pt>
                      <c:pt idx="64" formatCode="0">
                        <c:v>2.3586295324886515</c:v>
                      </c:pt>
                      <c:pt idx="65" formatCode="0">
                        <c:v>2.8303554389863819</c:v>
                      </c:pt>
                      <c:pt idx="66" formatCode="0">
                        <c:v>3.396426526783658</c:v>
                      </c:pt>
                      <c:pt idx="67" formatCode="0">
                        <c:v>3.0567838741052924</c:v>
                      </c:pt>
                      <c:pt idx="68" formatCode="0">
                        <c:v>2.7511054866947631</c:v>
                      </c:pt>
                      <c:pt idx="69" formatCode="0">
                        <c:v>2.4759949380252868</c:v>
                      </c:pt>
                      <c:pt idx="70" formatCode="0">
                        <c:v>2.228395444222758</c:v>
                      </c:pt>
                      <c:pt idx="71" formatCode="0">
                        <c:v>2.1169756720116202</c:v>
                      </c:pt>
                      <c:pt idx="72" formatCode="0">
                        <c:v>2.0111268884110389</c:v>
                      </c:pt>
                      <c:pt idx="73" formatCode="0">
                        <c:v>2.0111268884110389</c:v>
                      </c:pt>
                      <c:pt idx="74" formatCode="0">
                        <c:v>2.0111268884110389</c:v>
                      </c:pt>
                      <c:pt idx="75" formatCode="0">
                        <c:v>2.2122395772521428</c:v>
                      </c:pt>
                      <c:pt idx="76" formatCode="0">
                        <c:v>2.2122395772521428</c:v>
                      </c:pt>
                      <c:pt idx="77" formatCode="0">
                        <c:v>2.2122395772521428</c:v>
                      </c:pt>
                      <c:pt idx="78" formatCode="0">
                        <c:v>2.6546874927025712</c:v>
                      </c:pt>
                    </c:numCache>
                  </c:numRef>
                </c:val>
                <c:smooth val="0"/>
                <c:extLst xmlns:c15="http://schemas.microsoft.com/office/drawing/2012/chart">
                  <c:ext xmlns:c16="http://schemas.microsoft.com/office/drawing/2014/chart" uri="{C3380CC4-5D6E-409C-BE32-E72D297353CC}">
                    <c16:uniqueId val="{00000022-DE8D-488D-855A-43F38F7C7045}"/>
                  </c:ext>
                </c:extLst>
              </c15:ser>
            </c15:filteredLineSeries>
            <c15:filteredLineSeries>
              <c15:ser>
                <c:idx val="22"/>
                <c:order val="22"/>
                <c:tx>
                  <c:strRef>
                    <c:extLst xmlns:c15="http://schemas.microsoft.com/office/drawing/2012/chart">
                      <c:ext xmlns:c15="http://schemas.microsoft.com/office/drawing/2012/chart" uri="{02D57815-91ED-43cb-92C2-25804820EDAC}">
                        <c15:formulaRef>
                          <c15:sqref>'Table for graphs '!$A$24</c15:sqref>
                        </c15:formulaRef>
                      </c:ext>
                    </c:extLst>
                    <c:strCache>
                      <c:ptCount val="1"/>
                      <c:pt idx="0">
                        <c:v>Lower Gastrointestinal - Trajectory &gt;103 days</c:v>
                      </c:pt>
                    </c:strCache>
                  </c:strRef>
                </c:tx>
                <c:spPr>
                  <a:ln w="28575" cap="rnd">
                    <a:solidFill>
                      <a:schemeClr val="accent5">
                        <a:shade val="6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'!$B$24:$CB$24</c15:sqref>
                        </c15:formulaRef>
                      </c:ext>
                    </c:extLst>
                    <c:numCache>
                      <c:formatCode>General</c:formatCode>
                      <c:ptCount val="79"/>
                      <c:pt idx="19" formatCode="0">
                        <c:v>39</c:v>
                      </c:pt>
                      <c:pt idx="20" formatCode="0">
                        <c:v>38</c:v>
                      </c:pt>
                      <c:pt idx="21" formatCode="0">
                        <c:v>35.339999999999996</c:v>
                      </c:pt>
                      <c:pt idx="22" formatCode="0">
                        <c:v>31.805999999999997</c:v>
                      </c:pt>
                      <c:pt idx="23" formatCode="0">
                        <c:v>28.625399999999999</c:v>
                      </c:pt>
                      <c:pt idx="24" formatCode="0">
                        <c:v>25.76286</c:v>
                      </c:pt>
                      <c:pt idx="25" formatCode="0">
                        <c:v>23.186574</c:v>
                      </c:pt>
                      <c:pt idx="26" formatCode="0">
                        <c:v>20.867916600000001</c:v>
                      </c:pt>
                      <c:pt idx="27" formatCode="0">
                        <c:v>21.911312430000002</c:v>
                      </c:pt>
                      <c:pt idx="28" formatCode="0">
                        <c:v>23.006878051500003</c:v>
                      </c:pt>
                      <c:pt idx="29" formatCode="0">
                        <c:v>21.856534148925</c:v>
                      </c:pt>
                      <c:pt idx="30" formatCode="0">
                        <c:v>21.200838124457249</c:v>
                      </c:pt>
                      <c:pt idx="31" formatCode="0">
                        <c:v>22.260880030680113</c:v>
                      </c:pt>
                      <c:pt idx="32" formatCode="0">
                        <c:v>24.486968033748127</c:v>
                      </c:pt>
                      <c:pt idx="33" formatCode="0">
                        <c:v>23.262619632060719</c:v>
                      </c:pt>
                      <c:pt idx="34" formatCode="0">
                        <c:v>22.099488650457683</c:v>
                      </c:pt>
                      <c:pt idx="35" formatCode="0">
                        <c:v>23.204463082980567</c:v>
                      </c:pt>
                      <c:pt idx="36" formatCode="0">
                        <c:v>22.044239928831537</c:v>
                      </c:pt>
                      <c:pt idx="37" formatCode="0">
                        <c:v>21.603355130254904</c:v>
                      </c:pt>
                      <c:pt idx="38" formatCode="0">
                        <c:v>20.523187373742157</c:v>
                      </c:pt>
                      <c:pt idx="39" formatCode="0">
                        <c:v>19.49702800505505</c:v>
                      </c:pt>
                      <c:pt idx="40" formatCode="0">
                        <c:v>18.522176604802297</c:v>
                      </c:pt>
                      <c:pt idx="41" formatCode="0">
                        <c:v>19.448285435042411</c:v>
                      </c:pt>
                      <c:pt idx="42" formatCode="0">
                        <c:v>20.420699706794533</c:v>
                      </c:pt>
                      <c:pt idx="43" formatCode="0">
                        <c:v>21.441734692134261</c:v>
                      </c:pt>
                      <c:pt idx="44" formatCode="0">
                        <c:v>19.297561222920837</c:v>
                      </c:pt>
                      <c:pt idx="45" formatCode="0">
                        <c:v>20.262439284066879</c:v>
                      </c:pt>
                      <c:pt idx="46" formatCode="0">
                        <c:v>20.05981489122621</c:v>
                      </c:pt>
                      <c:pt idx="47" formatCode="0">
                        <c:v>20.461011189050733</c:v>
                      </c:pt>
                      <c:pt idx="48" formatCode="0">
                        <c:v>21.484061748503272</c:v>
                      </c:pt>
                      <c:pt idx="49" formatCode="0">
                        <c:v>19.335655573652947</c:v>
                      </c:pt>
                      <c:pt idx="50" formatCode="0">
                        <c:v>19.722368685126007</c:v>
                      </c:pt>
                      <c:pt idx="51" formatCode="0">
                        <c:v>18.736250250869706</c:v>
                      </c:pt>
                      <c:pt idx="52" formatCode="0">
                        <c:v>17.799437738326219</c:v>
                      </c:pt>
                      <c:pt idx="53" formatCode="0">
                        <c:v>16.909465851409909</c:v>
                      </c:pt>
                      <c:pt idx="54" formatCode="0">
                        <c:v>16.909465851409909</c:v>
                      </c:pt>
                      <c:pt idx="55" formatCode="0">
                        <c:v>16.063992558839413</c:v>
                      </c:pt>
                      <c:pt idx="56" formatCode="0">
                        <c:v>15.260792930897441</c:v>
                      </c:pt>
                      <c:pt idx="57" formatCode="0">
                        <c:v>15.260792930897441</c:v>
                      </c:pt>
                      <c:pt idx="58" formatCode="0">
                        <c:v>15.260792930897441</c:v>
                      </c:pt>
                      <c:pt idx="59" formatCode="0">
                        <c:v>15.260792930897441</c:v>
                      </c:pt>
                      <c:pt idx="60" formatCode="0">
                        <c:v>15.260792930897441</c:v>
                      </c:pt>
                      <c:pt idx="61" formatCode="0">
                        <c:v>16.023832577442313</c:v>
                      </c:pt>
                      <c:pt idx="62" formatCode="0">
                        <c:v>16.825024206314431</c:v>
                      </c:pt>
                      <c:pt idx="63" formatCode="0">
                        <c:v>16.825024206314431</c:v>
                      </c:pt>
                      <c:pt idx="64" formatCode="0">
                        <c:v>18.507526626945875</c:v>
                      </c:pt>
                      <c:pt idx="65" formatCode="0">
                        <c:v>19.43290295829317</c:v>
                      </c:pt>
                      <c:pt idx="66" formatCode="0">
                        <c:v>17.489612662463852</c:v>
                      </c:pt>
                      <c:pt idx="67" formatCode="0">
                        <c:v>16.615132029340657</c:v>
                      </c:pt>
                      <c:pt idx="68" formatCode="0">
                        <c:v>16.615132029340657</c:v>
                      </c:pt>
                      <c:pt idx="69" formatCode="0">
                        <c:v>17.445888630807691</c:v>
                      </c:pt>
                      <c:pt idx="70" formatCode="0">
                        <c:v>17.445888630807691</c:v>
                      </c:pt>
                      <c:pt idx="71" formatCode="0">
                        <c:v>17.445888630807691</c:v>
                      </c:pt>
                      <c:pt idx="72" formatCode="0">
                        <c:v>17.445888630807691</c:v>
                      </c:pt>
                      <c:pt idx="73" formatCode="0">
                        <c:v>16.573594199267305</c:v>
                      </c:pt>
                      <c:pt idx="74" formatCode="0">
                        <c:v>16.573594199267305</c:v>
                      </c:pt>
                      <c:pt idx="75" formatCode="0">
                        <c:v>14.916234779340575</c:v>
                      </c:pt>
                      <c:pt idx="76" formatCode="0">
                        <c:v>14.916234779340575</c:v>
                      </c:pt>
                      <c:pt idx="77" formatCode="0">
                        <c:v>14.916234779340575</c:v>
                      </c:pt>
                      <c:pt idx="78" formatCode="0">
                        <c:v>16.407858257274633</c:v>
                      </c:pt>
                    </c:numCache>
                  </c:numRef>
                </c:val>
                <c:smooth val="0"/>
                <c:extLst xmlns:c15="http://schemas.microsoft.com/office/drawing/2012/chart">
                  <c:ext xmlns:c16="http://schemas.microsoft.com/office/drawing/2014/chart" uri="{C3380CC4-5D6E-409C-BE32-E72D297353CC}">
                    <c16:uniqueId val="{00000023-DE8D-488D-855A-43F38F7C7045}"/>
                  </c:ext>
                </c:extLst>
              </c15:ser>
            </c15:filteredLineSeries>
            <c15:filteredLineSeries>
              <c15:ser>
                <c:idx val="23"/>
                <c:order val="23"/>
                <c:tx>
                  <c:strRef>
                    <c:extLst xmlns:c15="http://schemas.microsoft.com/office/drawing/2012/chart">
                      <c:ext xmlns:c15="http://schemas.microsoft.com/office/drawing/2012/chart" uri="{02D57815-91ED-43cb-92C2-25804820EDAC}">
                        <c15:formulaRef>
                          <c15:sqref>'Table for graphs '!$A$25</c15:sqref>
                        </c15:formulaRef>
                      </c:ext>
                    </c:extLst>
                    <c:strCache>
                      <c:ptCount val="1"/>
                      <c:pt idx="0">
                        <c:v>Lung - Trajectory &gt;103 days</c:v>
                      </c:pt>
                    </c:strCache>
                  </c:strRef>
                </c:tx>
                <c:spPr>
                  <a:ln w="28575" cap="rnd">
                    <a:solidFill>
                      <a:schemeClr val="accent5">
                        <a:shade val="6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'!$B$25:$CB$25</c15:sqref>
                        </c15:formulaRef>
                      </c:ext>
                    </c:extLst>
                    <c:numCache>
                      <c:formatCode>General</c:formatCode>
                      <c:ptCount val="79"/>
                      <c:pt idx="19" formatCode="0">
                        <c:v>12</c:v>
                      </c:pt>
                      <c:pt idx="20" formatCode="0">
                        <c:v>15</c:v>
                      </c:pt>
                      <c:pt idx="21" formatCode="0">
                        <c:v>12</c:v>
                      </c:pt>
                      <c:pt idx="22" formatCode="0">
                        <c:v>11.76</c:v>
                      </c:pt>
                      <c:pt idx="23" formatCode="0">
                        <c:v>12.348000000000001</c:v>
                      </c:pt>
                      <c:pt idx="24" formatCode="0">
                        <c:v>11.730600000000001</c:v>
                      </c:pt>
                      <c:pt idx="25" formatCode="0">
                        <c:v>12.317130000000001</c:v>
                      </c:pt>
                      <c:pt idx="26" formatCode="0">
                        <c:v>12.317130000000001</c:v>
                      </c:pt>
                      <c:pt idx="27" formatCode="0">
                        <c:v>13.548843000000002</c:v>
                      </c:pt>
                      <c:pt idx="28" formatCode="0">
                        <c:v>14.226285150000002</c:v>
                      </c:pt>
                      <c:pt idx="29" formatCode="0">
                        <c:v>13.514970892500001</c:v>
                      </c:pt>
                      <c:pt idx="30" formatCode="0">
                        <c:v>13.514970892500001</c:v>
                      </c:pt>
                      <c:pt idx="31" formatCode="0">
                        <c:v>14.190719437125001</c:v>
                      </c:pt>
                      <c:pt idx="32" formatCode="0">
                        <c:v>15.609791380837502</c:v>
                      </c:pt>
                      <c:pt idx="33" formatCode="0">
                        <c:v>14.829301811795625</c:v>
                      </c:pt>
                      <c:pt idx="34" formatCode="0">
                        <c:v>14.087836721205843</c:v>
                      </c:pt>
                      <c:pt idx="35" formatCode="0">
                        <c:v>14.792228557266135</c:v>
                      </c:pt>
                      <c:pt idx="36" formatCode="0">
                        <c:v>15.531839985129443</c:v>
                      </c:pt>
                      <c:pt idx="37" formatCode="0">
                        <c:v>14.75524798587297</c:v>
                      </c:pt>
                      <c:pt idx="38" formatCode="0">
                        <c:v>14.017485586579321</c:v>
                      </c:pt>
                      <c:pt idx="39" formatCode="0">
                        <c:v>13.316611307250355</c:v>
                      </c:pt>
                      <c:pt idx="40" formatCode="0">
                        <c:v>11.98495017652532</c:v>
                      </c:pt>
                      <c:pt idx="41" formatCode="0">
                        <c:v>12.584197685351587</c:v>
                      </c:pt>
                      <c:pt idx="42" formatCode="0">
                        <c:v>13.842617453886746</c:v>
                      </c:pt>
                      <c:pt idx="43" formatCode="0">
                        <c:v>14.534748326581084</c:v>
                      </c:pt>
                      <c:pt idx="44" formatCode="0">
                        <c:v>13.081273493922977</c:v>
                      </c:pt>
                      <c:pt idx="45" formatCode="0">
                        <c:v>13.081273493922977</c:v>
                      </c:pt>
                      <c:pt idx="46" formatCode="0">
                        <c:v>13.081273493922977</c:v>
                      </c:pt>
                      <c:pt idx="47" formatCode="0">
                        <c:v>12.427209819226828</c:v>
                      </c:pt>
                      <c:pt idx="48" formatCode="0">
                        <c:v>13.04857031018817</c:v>
                      </c:pt>
                      <c:pt idx="49" formatCode="0">
                        <c:v>11.743713279169354</c:v>
                      </c:pt>
                      <c:pt idx="50" formatCode="0">
                        <c:v>10.569341951252419</c:v>
                      </c:pt>
                      <c:pt idx="51" formatCode="0">
                        <c:v>9.5124077561271765</c:v>
                      </c:pt>
                      <c:pt idx="52" formatCode="0">
                        <c:v>8.561166980514459</c:v>
                      </c:pt>
                      <c:pt idx="53" formatCode="0">
                        <c:v>8.561166980514459</c:v>
                      </c:pt>
                      <c:pt idx="54" formatCode="0">
                        <c:v>8.1331086314887351</c:v>
                      </c:pt>
                      <c:pt idx="55" formatCode="0">
                        <c:v>5.693176042042114</c:v>
                      </c:pt>
                      <c:pt idx="56" formatCode="0">
                        <c:v>5.693176042042114</c:v>
                      </c:pt>
                      <c:pt idx="57" formatCode="0">
                        <c:v>5.693176042042114</c:v>
                      </c:pt>
                      <c:pt idx="58" formatCode="0">
                        <c:v>5.693176042042114</c:v>
                      </c:pt>
                      <c:pt idx="59" formatCode="0">
                        <c:v>5.693176042042114</c:v>
                      </c:pt>
                      <c:pt idx="60" formatCode="0">
                        <c:v>4.5545408336336912</c:v>
                      </c:pt>
                      <c:pt idx="61" formatCode="0">
                        <c:v>4.5545408336336912</c:v>
                      </c:pt>
                      <c:pt idx="62" formatCode="0">
                        <c:v>4.5545408336336912</c:v>
                      </c:pt>
                      <c:pt idx="63" formatCode="0">
                        <c:v>4.5545408336336912</c:v>
                      </c:pt>
                      <c:pt idx="64" formatCode="0">
                        <c:v>5.0099949169970603</c:v>
                      </c:pt>
                      <c:pt idx="65" formatCode="0">
                        <c:v>6.0119939003964724</c:v>
                      </c:pt>
                      <c:pt idx="66" formatCode="0">
                        <c:v>7.2143926804757665</c:v>
                      </c:pt>
                      <c:pt idx="67" formatCode="0">
                        <c:v>6.8536730464519779</c:v>
                      </c:pt>
                      <c:pt idx="68" formatCode="0">
                        <c:v>6.1683057418067806</c:v>
                      </c:pt>
                      <c:pt idx="69" formatCode="0">
                        <c:v>5.5514751676261023</c:v>
                      </c:pt>
                      <c:pt idx="70" formatCode="0">
                        <c:v>5.5514751676261023</c:v>
                      </c:pt>
                      <c:pt idx="71" formatCode="0">
                        <c:v>5.5514751676261023</c:v>
                      </c:pt>
                      <c:pt idx="72" formatCode="0">
                        <c:v>5.5514751676261023</c:v>
                      </c:pt>
                      <c:pt idx="73" formatCode="0">
                        <c:v>5.2739014092447967</c:v>
                      </c:pt>
                      <c:pt idx="74" formatCode="0">
                        <c:v>5.0102063387825568</c:v>
                      </c:pt>
                      <c:pt idx="75" formatCode="0">
                        <c:v>5.0102063387825568</c:v>
                      </c:pt>
                      <c:pt idx="76" formatCode="0">
                        <c:v>4.7596960218434283</c:v>
                      </c:pt>
                      <c:pt idx="77" formatCode="0">
                        <c:v>4.2837264196590858</c:v>
                      </c:pt>
                      <c:pt idx="78" formatCode="0">
                        <c:v>4.4979127406420405</c:v>
                      </c:pt>
                    </c:numCache>
                  </c:numRef>
                </c:val>
                <c:smooth val="0"/>
                <c:extLst xmlns:c15="http://schemas.microsoft.com/office/drawing/2012/chart">
                  <c:ext xmlns:c16="http://schemas.microsoft.com/office/drawing/2014/chart" uri="{C3380CC4-5D6E-409C-BE32-E72D297353CC}">
                    <c16:uniqueId val="{00000024-DE8D-488D-855A-43F38F7C7045}"/>
                  </c:ext>
                </c:extLst>
              </c15:ser>
            </c15:filteredLineSeries>
            <c15:filteredLineSeries>
              <c15:ser>
                <c:idx val="24"/>
                <c:order val="24"/>
                <c:tx>
                  <c:strRef>
                    <c:extLst xmlns:c15="http://schemas.microsoft.com/office/drawing/2012/chart">
                      <c:ext xmlns:c15="http://schemas.microsoft.com/office/drawing/2012/chart" uri="{02D57815-91ED-43cb-92C2-25804820EDAC}">
                        <c15:formulaRef>
                          <c15:sqref>'Table for graphs '!$A$26</c15:sqref>
                        </c15:formulaRef>
                      </c:ext>
                    </c:extLst>
                    <c:strCache>
                      <c:ptCount val="1"/>
                      <c:pt idx="0">
                        <c:v>Other - Trajectory &gt;103 days</c:v>
                      </c:pt>
                    </c:strCache>
                  </c:strRef>
                </c:tx>
                <c:spPr>
                  <a:ln w="28575" cap="rnd">
                    <a:solidFill>
                      <a:schemeClr val="accent5">
                        <a:shade val="6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'!$B$26:$CB$26</c15:sqref>
                        </c15:formulaRef>
                      </c:ext>
                    </c:extLst>
                    <c:numCache>
                      <c:formatCode>General</c:formatCode>
                      <c:ptCount val="79"/>
                      <c:pt idx="19" formatCode="0">
                        <c:v>2</c:v>
                      </c:pt>
                      <c:pt idx="20" formatCode="0">
                        <c:v>1</c:v>
                      </c:pt>
                      <c:pt idx="21" formatCode="0">
                        <c:v>2</c:v>
                      </c:pt>
                      <c:pt idx="22" formatCode="0">
                        <c:v>3</c:v>
                      </c:pt>
                      <c:pt idx="23" formatCode="0">
                        <c:v>5</c:v>
                      </c:pt>
                      <c:pt idx="24" formatCode="0">
                        <c:v>8</c:v>
                      </c:pt>
                      <c:pt idx="25" formatCode="0">
                        <c:v>4</c:v>
                      </c:pt>
                      <c:pt idx="26" formatCode="0">
                        <c:v>4</c:v>
                      </c:pt>
                      <c:pt idx="27" formatCode="0">
                        <c:v>6</c:v>
                      </c:pt>
                      <c:pt idx="28" formatCode="0">
                        <c:v>8</c:v>
                      </c:pt>
                      <c:pt idx="29" formatCode="0">
                        <c:v>6</c:v>
                      </c:pt>
                      <c:pt idx="30" formatCode="0">
                        <c:v>6</c:v>
                      </c:pt>
                      <c:pt idx="31" formatCode="0">
                        <c:v>3</c:v>
                      </c:pt>
                      <c:pt idx="32" formatCode="0">
                        <c:v>4</c:v>
                      </c:pt>
                      <c:pt idx="33" formatCode="0">
                        <c:v>4</c:v>
                      </c:pt>
                      <c:pt idx="34" formatCode="0">
                        <c:v>2</c:v>
                      </c:pt>
                      <c:pt idx="35" formatCode="0">
                        <c:v>2</c:v>
                      </c:pt>
                      <c:pt idx="36" formatCode="0">
                        <c:v>2</c:v>
                      </c:pt>
                      <c:pt idx="37" formatCode="0">
                        <c:v>2</c:v>
                      </c:pt>
                      <c:pt idx="38" formatCode="0">
                        <c:v>2</c:v>
                      </c:pt>
                      <c:pt idx="39" formatCode="0">
                        <c:v>2</c:v>
                      </c:pt>
                      <c:pt idx="40" formatCode="0">
                        <c:v>3</c:v>
                      </c:pt>
                      <c:pt idx="41" formatCode="0">
                        <c:v>4</c:v>
                      </c:pt>
                      <c:pt idx="42" formatCode="0">
                        <c:v>4</c:v>
                      </c:pt>
                      <c:pt idx="43" formatCode="0">
                        <c:v>3</c:v>
                      </c:pt>
                      <c:pt idx="44" formatCode="0">
                        <c:v>3</c:v>
                      </c:pt>
                      <c:pt idx="45" formatCode="0">
                        <c:v>3</c:v>
                      </c:pt>
                      <c:pt idx="46" formatCode="0">
                        <c:v>3</c:v>
                      </c:pt>
                      <c:pt idx="47" formatCode="0">
                        <c:v>4</c:v>
                      </c:pt>
                      <c:pt idx="48" formatCode="0">
                        <c:v>3</c:v>
                      </c:pt>
                      <c:pt idx="49" formatCode="0">
                        <c:v>2</c:v>
                      </c:pt>
                      <c:pt idx="50" formatCode="0">
                        <c:v>3</c:v>
                      </c:pt>
                      <c:pt idx="51" formatCode="0">
                        <c:v>3</c:v>
                      </c:pt>
                      <c:pt idx="52" formatCode="0">
                        <c:v>3</c:v>
                      </c:pt>
                      <c:pt idx="53" formatCode="0">
                        <c:v>2</c:v>
                      </c:pt>
                      <c:pt idx="54" formatCode="0">
                        <c:v>1</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25-DE8D-488D-855A-43F38F7C7045}"/>
                  </c:ext>
                </c:extLst>
              </c15:ser>
            </c15:filteredLineSeries>
            <c15:filteredLineSeries>
              <c15:ser>
                <c:idx val="25"/>
                <c:order val="25"/>
                <c:tx>
                  <c:strRef>
                    <c:extLst xmlns:c15="http://schemas.microsoft.com/office/drawing/2012/chart">
                      <c:ext xmlns:c15="http://schemas.microsoft.com/office/drawing/2012/chart" uri="{02D57815-91ED-43cb-92C2-25804820EDAC}">
                        <c15:formulaRef>
                          <c15:sqref>'Table for graphs '!$A$27</c15:sqref>
                        </c15:formulaRef>
                      </c:ext>
                    </c:extLst>
                    <c:strCache>
                      <c:ptCount val="1"/>
                      <c:pt idx="0">
                        <c:v>Sarcoma - Trajectory &gt;103 days</c:v>
                      </c:pt>
                    </c:strCache>
                  </c:strRef>
                </c:tx>
                <c:spPr>
                  <a:ln w="28575" cap="rnd">
                    <a:solidFill>
                      <a:schemeClr val="accent5">
                        <a:shade val="6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'!$B$27:$CB$27</c15:sqref>
                        </c15:formulaRef>
                      </c:ext>
                    </c:extLst>
                    <c:numCache>
                      <c:formatCode>General</c:formatCode>
                      <c:ptCount val="79"/>
                      <c:pt idx="19" formatCode="0">
                        <c:v>5</c:v>
                      </c:pt>
                      <c:pt idx="20" formatCode="0">
                        <c:v>4</c:v>
                      </c:pt>
                      <c:pt idx="21" formatCode="0">
                        <c:v>5</c:v>
                      </c:pt>
                      <c:pt idx="22" formatCode="0">
                        <c:v>4</c:v>
                      </c:pt>
                      <c:pt idx="23" formatCode="0">
                        <c:v>4</c:v>
                      </c:pt>
                      <c:pt idx="24" formatCode="0">
                        <c:v>4</c:v>
                      </c:pt>
                      <c:pt idx="25" formatCode="0">
                        <c:v>3</c:v>
                      </c:pt>
                      <c:pt idx="26" formatCode="0">
                        <c:v>2</c:v>
                      </c:pt>
                      <c:pt idx="27" formatCode="0">
                        <c:v>2</c:v>
                      </c:pt>
                      <c:pt idx="28" formatCode="0">
                        <c:v>2</c:v>
                      </c:pt>
                      <c:pt idx="29" formatCode="0">
                        <c:v>2</c:v>
                      </c:pt>
                      <c:pt idx="30" formatCode="0">
                        <c:v>2</c:v>
                      </c:pt>
                      <c:pt idx="31" formatCode="0">
                        <c:v>3</c:v>
                      </c:pt>
                      <c:pt idx="32" formatCode="0">
                        <c:v>3</c:v>
                      </c:pt>
                      <c:pt idx="33" formatCode="0">
                        <c:v>3</c:v>
                      </c:pt>
                      <c:pt idx="34" formatCode="0">
                        <c:v>2</c:v>
                      </c:pt>
                      <c:pt idx="35" formatCode="0">
                        <c:v>2</c:v>
                      </c:pt>
                      <c:pt idx="36" formatCode="0">
                        <c:v>2</c:v>
                      </c:pt>
                      <c:pt idx="37" formatCode="0">
                        <c:v>2</c:v>
                      </c:pt>
                      <c:pt idx="38" formatCode="0">
                        <c:v>2</c:v>
                      </c:pt>
                      <c:pt idx="39" formatCode="0">
                        <c:v>1</c:v>
                      </c:pt>
                      <c:pt idx="40" formatCode="0">
                        <c:v>1</c:v>
                      </c:pt>
                      <c:pt idx="41" formatCode="0">
                        <c:v>2</c:v>
                      </c:pt>
                      <c:pt idx="42" formatCode="0">
                        <c:v>2</c:v>
                      </c:pt>
                      <c:pt idx="43" formatCode="0">
                        <c:v>2</c:v>
                      </c:pt>
                      <c:pt idx="44" formatCode="0">
                        <c:v>1</c:v>
                      </c:pt>
                      <c:pt idx="45" formatCode="0">
                        <c:v>2</c:v>
                      </c:pt>
                      <c:pt idx="46" formatCode="0">
                        <c:v>2</c:v>
                      </c:pt>
                      <c:pt idx="47" formatCode="0">
                        <c:v>2</c:v>
                      </c:pt>
                      <c:pt idx="48" formatCode="0">
                        <c:v>2</c:v>
                      </c:pt>
                      <c:pt idx="49" formatCode="0">
                        <c:v>3</c:v>
                      </c:pt>
                      <c:pt idx="50" formatCode="0">
                        <c:v>3</c:v>
                      </c:pt>
                      <c:pt idx="51" formatCode="0">
                        <c:v>2</c:v>
                      </c:pt>
                      <c:pt idx="52" formatCode="0">
                        <c:v>1</c:v>
                      </c:pt>
                      <c:pt idx="53" formatCode="0">
                        <c:v>1</c:v>
                      </c:pt>
                      <c:pt idx="54" formatCode="0">
                        <c:v>2</c:v>
                      </c:pt>
                      <c:pt idx="55" formatCode="0">
                        <c:v>1</c:v>
                      </c:pt>
                      <c:pt idx="56" formatCode="0">
                        <c:v>1</c:v>
                      </c:pt>
                      <c:pt idx="57" formatCode="0">
                        <c:v>1</c:v>
                      </c:pt>
                      <c:pt idx="58" formatCode="0">
                        <c:v>2</c:v>
                      </c:pt>
                      <c:pt idx="59" formatCode="0">
                        <c:v>1</c:v>
                      </c:pt>
                      <c:pt idx="60" formatCode="0">
                        <c:v>1</c:v>
                      </c:pt>
                      <c:pt idx="61" formatCode="0">
                        <c:v>1</c:v>
                      </c:pt>
                      <c:pt idx="62" formatCode="0">
                        <c:v>1</c:v>
                      </c:pt>
                      <c:pt idx="63" formatCode="0">
                        <c:v>1</c:v>
                      </c:pt>
                      <c:pt idx="64" formatCode="0">
                        <c:v>2</c:v>
                      </c:pt>
                      <c:pt idx="65" formatCode="0">
                        <c:v>3</c:v>
                      </c:pt>
                      <c:pt idx="66" formatCode="0">
                        <c:v>3</c:v>
                      </c:pt>
                      <c:pt idx="67" formatCode="0">
                        <c:v>2</c:v>
                      </c:pt>
                      <c:pt idx="68" formatCode="0">
                        <c:v>2</c:v>
                      </c:pt>
                      <c:pt idx="69" formatCode="0">
                        <c:v>2</c:v>
                      </c:pt>
                      <c:pt idx="70" formatCode="0">
                        <c:v>2</c:v>
                      </c:pt>
                      <c:pt idx="71" formatCode="0">
                        <c:v>1</c:v>
                      </c:pt>
                      <c:pt idx="72" formatCode="0">
                        <c:v>1</c:v>
                      </c:pt>
                      <c:pt idx="73" formatCode="0">
                        <c:v>1</c:v>
                      </c:pt>
                      <c:pt idx="74" formatCode="0">
                        <c:v>1</c:v>
                      </c:pt>
                      <c:pt idx="75" formatCode="0">
                        <c:v>1</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26-DE8D-488D-855A-43F38F7C7045}"/>
                  </c:ext>
                </c:extLst>
              </c15:ser>
            </c15:filteredLineSeries>
            <c15:filteredLineSeries>
              <c15:ser>
                <c:idx val="26"/>
                <c:order val="26"/>
                <c:tx>
                  <c:strRef>
                    <c:extLst xmlns:c15="http://schemas.microsoft.com/office/drawing/2012/chart">
                      <c:ext xmlns:c15="http://schemas.microsoft.com/office/drawing/2012/chart" uri="{02D57815-91ED-43cb-92C2-25804820EDAC}">
                        <c15:formulaRef>
                          <c15:sqref>'Table for graphs '!$A$28</c15:sqref>
                        </c15:formulaRef>
                      </c:ext>
                    </c:extLst>
                    <c:strCache>
                      <c:ptCount val="1"/>
                      <c:pt idx="0">
                        <c:v>Skin - Trajectory &gt;103 days</c:v>
                      </c:pt>
                    </c:strCache>
                  </c:strRef>
                </c:tx>
                <c:spPr>
                  <a:ln w="28575" cap="rnd">
                    <a:solidFill>
                      <a:schemeClr val="accent5">
                        <a:shade val="6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'!$B$28:$CB$28</c15:sqref>
                        </c15:formulaRef>
                      </c:ext>
                    </c:extLst>
                    <c:numCache>
                      <c:formatCode>General</c:formatCode>
                      <c:ptCount val="79"/>
                      <c:pt idx="19" formatCode="0">
                        <c:v>13</c:v>
                      </c:pt>
                      <c:pt idx="20" formatCode="0">
                        <c:v>13</c:v>
                      </c:pt>
                      <c:pt idx="21" formatCode="0">
                        <c:v>17</c:v>
                      </c:pt>
                      <c:pt idx="22" formatCode="0">
                        <c:v>15</c:v>
                      </c:pt>
                      <c:pt idx="23" formatCode="0">
                        <c:v>15</c:v>
                      </c:pt>
                      <c:pt idx="24" formatCode="0">
                        <c:v>14</c:v>
                      </c:pt>
                      <c:pt idx="25" formatCode="0">
                        <c:v>13</c:v>
                      </c:pt>
                      <c:pt idx="26" formatCode="0">
                        <c:v>13</c:v>
                      </c:pt>
                      <c:pt idx="27" formatCode="0">
                        <c:v>15</c:v>
                      </c:pt>
                      <c:pt idx="28" formatCode="0">
                        <c:v>17</c:v>
                      </c:pt>
                      <c:pt idx="29" formatCode="0">
                        <c:v>16</c:v>
                      </c:pt>
                      <c:pt idx="30" formatCode="0">
                        <c:v>16</c:v>
                      </c:pt>
                      <c:pt idx="31" formatCode="0">
                        <c:v>16</c:v>
                      </c:pt>
                      <c:pt idx="32" formatCode="0">
                        <c:v>17</c:v>
                      </c:pt>
                      <c:pt idx="33" formatCode="0">
                        <c:v>16</c:v>
                      </c:pt>
                      <c:pt idx="34" formatCode="0">
                        <c:v>15</c:v>
                      </c:pt>
                      <c:pt idx="35" formatCode="0">
                        <c:v>15</c:v>
                      </c:pt>
                      <c:pt idx="36" formatCode="0">
                        <c:v>15</c:v>
                      </c:pt>
                      <c:pt idx="37" formatCode="0">
                        <c:v>12</c:v>
                      </c:pt>
                      <c:pt idx="38" formatCode="0">
                        <c:v>11</c:v>
                      </c:pt>
                      <c:pt idx="39" formatCode="0">
                        <c:v>10</c:v>
                      </c:pt>
                      <c:pt idx="40" formatCode="0">
                        <c:v>10</c:v>
                      </c:pt>
                      <c:pt idx="41" formatCode="0">
                        <c:v>10</c:v>
                      </c:pt>
                      <c:pt idx="42" formatCode="0">
                        <c:v>10</c:v>
                      </c:pt>
                      <c:pt idx="43" formatCode="0">
                        <c:v>10</c:v>
                      </c:pt>
                      <c:pt idx="44" formatCode="0">
                        <c:v>9</c:v>
                      </c:pt>
                      <c:pt idx="45" formatCode="0">
                        <c:v>9</c:v>
                      </c:pt>
                      <c:pt idx="46" formatCode="0">
                        <c:v>9</c:v>
                      </c:pt>
                      <c:pt idx="47" formatCode="0">
                        <c:v>9</c:v>
                      </c:pt>
                      <c:pt idx="48" formatCode="0">
                        <c:v>8</c:v>
                      </c:pt>
                      <c:pt idx="49" formatCode="0">
                        <c:v>7</c:v>
                      </c:pt>
                      <c:pt idx="50" formatCode="0">
                        <c:v>7</c:v>
                      </c:pt>
                      <c:pt idx="51" formatCode="0">
                        <c:v>6</c:v>
                      </c:pt>
                      <c:pt idx="52" formatCode="0">
                        <c:v>5</c:v>
                      </c:pt>
                      <c:pt idx="53" formatCode="0">
                        <c:v>5</c:v>
                      </c:pt>
                      <c:pt idx="54" formatCode="0">
                        <c:v>4</c:v>
                      </c:pt>
                      <c:pt idx="55" formatCode="0">
                        <c:v>4</c:v>
                      </c:pt>
                      <c:pt idx="56" formatCode="0">
                        <c:v>4</c:v>
                      </c:pt>
                      <c:pt idx="57" formatCode="0">
                        <c:v>4</c:v>
                      </c:pt>
                      <c:pt idx="58" formatCode="0">
                        <c:v>3</c:v>
                      </c:pt>
                      <c:pt idx="59" formatCode="0">
                        <c:v>2</c:v>
                      </c:pt>
                      <c:pt idx="60" formatCode="0">
                        <c:v>2</c:v>
                      </c:pt>
                      <c:pt idx="61" formatCode="0">
                        <c:v>1</c:v>
                      </c:pt>
                      <c:pt idx="62" formatCode="0">
                        <c:v>1</c:v>
                      </c:pt>
                      <c:pt idx="63" formatCode="0">
                        <c:v>1</c:v>
                      </c:pt>
                      <c:pt idx="64" formatCode="0">
                        <c:v>1</c:v>
                      </c:pt>
                      <c:pt idx="65" formatCode="0">
                        <c:v>1</c:v>
                      </c:pt>
                      <c:pt idx="66" formatCode="0">
                        <c:v>2</c:v>
                      </c:pt>
                      <c:pt idx="67" formatCode="0">
                        <c:v>1</c:v>
                      </c:pt>
                      <c:pt idx="68" formatCode="0">
                        <c:v>1</c:v>
                      </c:pt>
                      <c:pt idx="69" formatCode="0">
                        <c:v>1</c:v>
                      </c:pt>
                      <c:pt idx="70" formatCode="0">
                        <c:v>1</c:v>
                      </c:pt>
                      <c:pt idx="71" formatCode="0">
                        <c:v>1</c:v>
                      </c:pt>
                      <c:pt idx="72" formatCode="0">
                        <c:v>1</c:v>
                      </c:pt>
                      <c:pt idx="73" formatCode="0">
                        <c:v>1</c:v>
                      </c:pt>
                      <c:pt idx="74" formatCode="0">
                        <c:v>1</c:v>
                      </c:pt>
                      <c:pt idx="75" formatCode="0">
                        <c:v>2</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27-DE8D-488D-855A-43F38F7C7045}"/>
                  </c:ext>
                </c:extLst>
              </c15:ser>
            </c15:filteredLineSeries>
            <c15:filteredLineSeries>
              <c15:ser>
                <c:idx val="27"/>
                <c:order val="27"/>
                <c:tx>
                  <c:strRef>
                    <c:extLst xmlns:c15="http://schemas.microsoft.com/office/drawing/2012/chart">
                      <c:ext xmlns:c15="http://schemas.microsoft.com/office/drawing/2012/chart" uri="{02D57815-91ED-43cb-92C2-25804820EDAC}">
                        <c15:formulaRef>
                          <c15:sqref>'Table for graphs '!$A$29</c15:sqref>
                        </c15:formulaRef>
                      </c:ext>
                    </c:extLst>
                    <c:strCache>
                      <c:ptCount val="1"/>
                      <c:pt idx="0">
                        <c:v>Upper Gastrointestinal - Trajectory &gt;103 days</c:v>
                      </c:pt>
                    </c:strCache>
                  </c:strRef>
                </c:tx>
                <c:spPr>
                  <a:ln w="28575" cap="rnd">
                    <a:solidFill>
                      <a:schemeClr val="accent5">
                        <a:shade val="7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'!$B$29:$CB$29</c15:sqref>
                        </c15:formulaRef>
                      </c:ext>
                    </c:extLst>
                    <c:numCache>
                      <c:formatCode>General</c:formatCode>
                      <c:ptCount val="79"/>
                      <c:pt idx="19" formatCode="0">
                        <c:v>26</c:v>
                      </c:pt>
                      <c:pt idx="20" formatCode="0">
                        <c:v>25</c:v>
                      </c:pt>
                      <c:pt idx="21" formatCode="0">
                        <c:v>24</c:v>
                      </c:pt>
                      <c:pt idx="22" formatCode="0">
                        <c:v>21</c:v>
                      </c:pt>
                      <c:pt idx="23" formatCode="0">
                        <c:v>20</c:v>
                      </c:pt>
                      <c:pt idx="24" formatCode="0">
                        <c:v>19</c:v>
                      </c:pt>
                      <c:pt idx="25" formatCode="0">
                        <c:v>19</c:v>
                      </c:pt>
                      <c:pt idx="26" formatCode="0">
                        <c:v>17</c:v>
                      </c:pt>
                      <c:pt idx="27" formatCode="0">
                        <c:v>17</c:v>
                      </c:pt>
                      <c:pt idx="28" formatCode="0">
                        <c:v>17</c:v>
                      </c:pt>
                      <c:pt idx="29" formatCode="0">
                        <c:v>16</c:v>
                      </c:pt>
                      <c:pt idx="30" formatCode="0">
                        <c:v>15</c:v>
                      </c:pt>
                      <c:pt idx="31" formatCode="0">
                        <c:v>14</c:v>
                      </c:pt>
                      <c:pt idx="32" formatCode="0">
                        <c:v>14</c:v>
                      </c:pt>
                      <c:pt idx="33" formatCode="0">
                        <c:v>14</c:v>
                      </c:pt>
                      <c:pt idx="34" formatCode="0">
                        <c:v>14</c:v>
                      </c:pt>
                      <c:pt idx="35" formatCode="0">
                        <c:v>14</c:v>
                      </c:pt>
                      <c:pt idx="36" formatCode="0">
                        <c:v>13</c:v>
                      </c:pt>
                      <c:pt idx="37" formatCode="0">
                        <c:v>12</c:v>
                      </c:pt>
                      <c:pt idx="38" formatCode="0">
                        <c:v>12</c:v>
                      </c:pt>
                      <c:pt idx="39" formatCode="0">
                        <c:v>11</c:v>
                      </c:pt>
                      <c:pt idx="40" formatCode="0">
                        <c:v>11</c:v>
                      </c:pt>
                      <c:pt idx="41" formatCode="0">
                        <c:v>11</c:v>
                      </c:pt>
                      <c:pt idx="42" formatCode="0">
                        <c:v>11</c:v>
                      </c:pt>
                      <c:pt idx="43" formatCode="0">
                        <c:v>10</c:v>
                      </c:pt>
                      <c:pt idx="44" formatCode="0">
                        <c:v>10</c:v>
                      </c:pt>
                      <c:pt idx="45" formatCode="0">
                        <c:v>10</c:v>
                      </c:pt>
                      <c:pt idx="46" formatCode="0">
                        <c:v>11</c:v>
                      </c:pt>
                      <c:pt idx="47" formatCode="0">
                        <c:v>11</c:v>
                      </c:pt>
                      <c:pt idx="48" formatCode="0">
                        <c:v>10</c:v>
                      </c:pt>
                      <c:pt idx="49" formatCode="0">
                        <c:v>10</c:v>
                      </c:pt>
                      <c:pt idx="50" formatCode="0">
                        <c:v>10</c:v>
                      </c:pt>
                      <c:pt idx="51" formatCode="0">
                        <c:v>9</c:v>
                      </c:pt>
                      <c:pt idx="52" formatCode="0">
                        <c:v>9</c:v>
                      </c:pt>
                      <c:pt idx="53" formatCode="0">
                        <c:v>9</c:v>
                      </c:pt>
                      <c:pt idx="54" formatCode="0">
                        <c:v>9</c:v>
                      </c:pt>
                      <c:pt idx="55" formatCode="0">
                        <c:v>8</c:v>
                      </c:pt>
                      <c:pt idx="56" formatCode="0">
                        <c:v>8</c:v>
                      </c:pt>
                      <c:pt idx="57" formatCode="0">
                        <c:v>9</c:v>
                      </c:pt>
                      <c:pt idx="58" formatCode="0">
                        <c:v>8</c:v>
                      </c:pt>
                      <c:pt idx="59" formatCode="0">
                        <c:v>7</c:v>
                      </c:pt>
                      <c:pt idx="60" formatCode="0">
                        <c:v>7</c:v>
                      </c:pt>
                      <c:pt idx="61" formatCode="0">
                        <c:v>6</c:v>
                      </c:pt>
                      <c:pt idx="62" formatCode="0">
                        <c:v>6</c:v>
                      </c:pt>
                      <c:pt idx="63" formatCode="0">
                        <c:v>5</c:v>
                      </c:pt>
                      <c:pt idx="64" formatCode="0">
                        <c:v>6</c:v>
                      </c:pt>
                      <c:pt idx="65" formatCode="0">
                        <c:v>6</c:v>
                      </c:pt>
                      <c:pt idx="66" formatCode="0">
                        <c:v>5</c:v>
                      </c:pt>
                      <c:pt idx="67" formatCode="0">
                        <c:v>4</c:v>
                      </c:pt>
                      <c:pt idx="68" formatCode="0">
                        <c:v>4</c:v>
                      </c:pt>
                      <c:pt idx="69" formatCode="0">
                        <c:v>4</c:v>
                      </c:pt>
                      <c:pt idx="70" formatCode="0">
                        <c:v>4</c:v>
                      </c:pt>
                      <c:pt idx="71" formatCode="0">
                        <c:v>3</c:v>
                      </c:pt>
                      <c:pt idx="72" formatCode="0">
                        <c:v>3</c:v>
                      </c:pt>
                      <c:pt idx="73" formatCode="0">
                        <c:v>4</c:v>
                      </c:pt>
                      <c:pt idx="74" formatCode="0">
                        <c:v>3</c:v>
                      </c:pt>
                      <c:pt idx="75" formatCode="0">
                        <c:v>3</c:v>
                      </c:pt>
                      <c:pt idx="76" formatCode="0">
                        <c:v>3</c:v>
                      </c:pt>
                      <c:pt idx="77" formatCode="0">
                        <c:v>3</c:v>
                      </c:pt>
                      <c:pt idx="78" formatCode="0">
                        <c:v>3</c:v>
                      </c:pt>
                    </c:numCache>
                  </c:numRef>
                </c:val>
                <c:smooth val="0"/>
                <c:extLst xmlns:c15="http://schemas.microsoft.com/office/drawing/2012/chart">
                  <c:ext xmlns:c16="http://schemas.microsoft.com/office/drawing/2014/chart" uri="{C3380CC4-5D6E-409C-BE32-E72D297353CC}">
                    <c16:uniqueId val="{00000028-DE8D-488D-855A-43F38F7C7045}"/>
                  </c:ext>
                </c:extLst>
              </c15:ser>
            </c15:filteredLineSeries>
            <c15:filteredLineSeries>
              <c15:ser>
                <c:idx val="28"/>
                <c:order val="28"/>
                <c:tx>
                  <c:strRef>
                    <c:extLst xmlns:c15="http://schemas.microsoft.com/office/drawing/2012/chart">
                      <c:ext xmlns:c15="http://schemas.microsoft.com/office/drawing/2012/chart" uri="{02D57815-91ED-43cb-92C2-25804820EDAC}">
                        <c15:formulaRef>
                          <c15:sqref>'Table for graphs '!$A$30</c15:sqref>
                        </c15:formulaRef>
                      </c:ext>
                    </c:extLst>
                    <c:strCache>
                      <c:ptCount val="1"/>
                      <c:pt idx="0">
                        <c:v>Urological - Trajectory &gt;103 days</c:v>
                      </c:pt>
                    </c:strCache>
                  </c:strRef>
                </c:tx>
                <c:spPr>
                  <a:ln w="28575" cap="rnd">
                    <a:solidFill>
                      <a:schemeClr val="accent5">
                        <a:shade val="7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'!$B$30:$CB$30</c15:sqref>
                        </c15:formulaRef>
                      </c:ext>
                    </c:extLst>
                    <c:numCache>
                      <c:formatCode>General</c:formatCode>
                      <c:ptCount val="79"/>
                      <c:pt idx="19" formatCode="0">
                        <c:v>20</c:v>
                      </c:pt>
                      <c:pt idx="20" formatCode="0">
                        <c:v>21</c:v>
                      </c:pt>
                      <c:pt idx="21" formatCode="0">
                        <c:v>24</c:v>
                      </c:pt>
                      <c:pt idx="22" formatCode="0">
                        <c:v>22</c:v>
                      </c:pt>
                      <c:pt idx="23" formatCode="0">
                        <c:v>20</c:v>
                      </c:pt>
                      <c:pt idx="24" formatCode="0">
                        <c:v>19</c:v>
                      </c:pt>
                      <c:pt idx="25" formatCode="0">
                        <c:v>19</c:v>
                      </c:pt>
                      <c:pt idx="26" formatCode="0">
                        <c:v>19</c:v>
                      </c:pt>
                      <c:pt idx="27" formatCode="0">
                        <c:v>20</c:v>
                      </c:pt>
                      <c:pt idx="28" formatCode="0">
                        <c:v>21</c:v>
                      </c:pt>
                      <c:pt idx="29" formatCode="0">
                        <c:v>19</c:v>
                      </c:pt>
                      <c:pt idx="30" formatCode="0">
                        <c:v>19</c:v>
                      </c:pt>
                      <c:pt idx="31" formatCode="0">
                        <c:v>21</c:v>
                      </c:pt>
                      <c:pt idx="32" formatCode="0">
                        <c:v>23</c:v>
                      </c:pt>
                      <c:pt idx="33" formatCode="0">
                        <c:v>22</c:v>
                      </c:pt>
                      <c:pt idx="34" formatCode="0">
                        <c:v>21</c:v>
                      </c:pt>
                      <c:pt idx="35" formatCode="0">
                        <c:v>23</c:v>
                      </c:pt>
                      <c:pt idx="36" formatCode="0">
                        <c:v>22</c:v>
                      </c:pt>
                      <c:pt idx="37" formatCode="0">
                        <c:v>21</c:v>
                      </c:pt>
                      <c:pt idx="38" formatCode="0">
                        <c:v>20</c:v>
                      </c:pt>
                      <c:pt idx="39" formatCode="0">
                        <c:v>20</c:v>
                      </c:pt>
                      <c:pt idx="40" formatCode="0">
                        <c:v>20</c:v>
                      </c:pt>
                      <c:pt idx="41" formatCode="0">
                        <c:v>21</c:v>
                      </c:pt>
                      <c:pt idx="42" formatCode="0">
                        <c:v>21</c:v>
                      </c:pt>
                      <c:pt idx="43" formatCode="0">
                        <c:v>21</c:v>
                      </c:pt>
                      <c:pt idx="44" formatCode="0">
                        <c:v>20</c:v>
                      </c:pt>
                      <c:pt idx="45" formatCode="0">
                        <c:v>20</c:v>
                      </c:pt>
                      <c:pt idx="46" formatCode="0">
                        <c:v>20</c:v>
                      </c:pt>
                      <c:pt idx="47" formatCode="0">
                        <c:v>20</c:v>
                      </c:pt>
                      <c:pt idx="48" formatCode="0">
                        <c:v>20</c:v>
                      </c:pt>
                      <c:pt idx="49" formatCode="0">
                        <c:v>20</c:v>
                      </c:pt>
                      <c:pt idx="50" formatCode="0">
                        <c:v>20</c:v>
                      </c:pt>
                      <c:pt idx="51" formatCode="0">
                        <c:v>20</c:v>
                      </c:pt>
                      <c:pt idx="52" formatCode="0">
                        <c:v>19</c:v>
                      </c:pt>
                      <c:pt idx="53" formatCode="0">
                        <c:v>19</c:v>
                      </c:pt>
                      <c:pt idx="54" formatCode="0">
                        <c:v>19</c:v>
                      </c:pt>
                      <c:pt idx="55" formatCode="0">
                        <c:v>19</c:v>
                      </c:pt>
                      <c:pt idx="56" formatCode="0">
                        <c:v>20</c:v>
                      </c:pt>
                      <c:pt idx="57" formatCode="0">
                        <c:v>20</c:v>
                      </c:pt>
                      <c:pt idx="58" formatCode="0">
                        <c:v>19</c:v>
                      </c:pt>
                      <c:pt idx="59" formatCode="0">
                        <c:v>19</c:v>
                      </c:pt>
                      <c:pt idx="60" formatCode="0">
                        <c:v>19</c:v>
                      </c:pt>
                      <c:pt idx="61" formatCode="0">
                        <c:v>18</c:v>
                      </c:pt>
                      <c:pt idx="62" formatCode="0">
                        <c:v>18</c:v>
                      </c:pt>
                      <c:pt idx="63" formatCode="0">
                        <c:v>18</c:v>
                      </c:pt>
                      <c:pt idx="64" formatCode="0">
                        <c:v>18</c:v>
                      </c:pt>
                      <c:pt idx="65" formatCode="0">
                        <c:v>20</c:v>
                      </c:pt>
                      <c:pt idx="66" formatCode="0">
                        <c:v>19</c:v>
                      </c:pt>
                      <c:pt idx="67" formatCode="0">
                        <c:v>19</c:v>
                      </c:pt>
                      <c:pt idx="68" formatCode="0">
                        <c:v>19</c:v>
                      </c:pt>
                      <c:pt idx="69" formatCode="0">
                        <c:v>19</c:v>
                      </c:pt>
                      <c:pt idx="70" formatCode="0">
                        <c:v>19</c:v>
                      </c:pt>
                      <c:pt idx="71" formatCode="0">
                        <c:v>19</c:v>
                      </c:pt>
                      <c:pt idx="72" formatCode="0">
                        <c:v>21</c:v>
                      </c:pt>
                      <c:pt idx="73" formatCode="0">
                        <c:v>20</c:v>
                      </c:pt>
                      <c:pt idx="74" formatCode="0">
                        <c:v>18</c:v>
                      </c:pt>
                      <c:pt idx="75" formatCode="0">
                        <c:v>17</c:v>
                      </c:pt>
                      <c:pt idx="76" formatCode="0">
                        <c:v>16</c:v>
                      </c:pt>
                      <c:pt idx="77" formatCode="0">
                        <c:v>18</c:v>
                      </c:pt>
                      <c:pt idx="78" formatCode="0">
                        <c:v>20</c:v>
                      </c:pt>
                    </c:numCache>
                  </c:numRef>
                </c:val>
                <c:smooth val="0"/>
                <c:extLst xmlns:c15="http://schemas.microsoft.com/office/drawing/2012/chart">
                  <c:ext xmlns:c16="http://schemas.microsoft.com/office/drawing/2014/chart" uri="{C3380CC4-5D6E-409C-BE32-E72D297353CC}">
                    <c16:uniqueId val="{00000029-DE8D-488D-855A-43F38F7C7045}"/>
                  </c:ext>
                </c:extLst>
              </c15:ser>
            </c15:filteredLineSeries>
            <c15:filteredLineSeries>
              <c15:ser>
                <c:idx val="29"/>
                <c:order val="29"/>
                <c:tx>
                  <c:strRef>
                    <c:extLst xmlns:c15="http://schemas.microsoft.com/office/drawing/2012/chart">
                      <c:ext xmlns:c15="http://schemas.microsoft.com/office/drawing/2012/chart" uri="{02D57815-91ED-43cb-92C2-25804820EDAC}">
                        <c15:formulaRef>
                          <c15:sqref>'Table for graphs '!$A$31</c15:sqref>
                        </c15:formulaRef>
                      </c:ext>
                    </c:extLst>
                    <c:strCache>
                      <c:ptCount val="1"/>
                      <c:pt idx="0">
                        <c:v>Trajectory &gt;103 days All Sites</c:v>
                      </c:pt>
                    </c:strCache>
                  </c:strRef>
                </c:tx>
                <c:spPr>
                  <a:ln w="28575" cap="rnd">
                    <a:solidFill>
                      <a:schemeClr val="accent5">
                        <a:shade val="7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'!$B$31:$CB$31</c15:sqref>
                        </c15:formulaRef>
                      </c:ext>
                    </c:extLst>
                    <c:numCache>
                      <c:formatCode>General</c:formatCode>
                      <c:ptCount val="79"/>
                      <c:pt idx="19" formatCode="0">
                        <c:v>182</c:v>
                      </c:pt>
                      <c:pt idx="20" formatCode="0">
                        <c:v>183</c:v>
                      </c:pt>
                      <c:pt idx="21" formatCode="0">
                        <c:v>186</c:v>
                      </c:pt>
                      <c:pt idx="22" formatCode="0">
                        <c:v>164.41800000000001</c:v>
                      </c:pt>
                      <c:pt idx="23" formatCode="0">
                        <c:v>159.13137</c:v>
                      </c:pt>
                      <c:pt idx="24" formatCode="0">
                        <c:v>157.07096810000002</c:v>
                      </c:pt>
                      <c:pt idx="25" formatCode="0">
                        <c:v>146.43566368799998</c:v>
                      </c:pt>
                      <c:pt idx="26" formatCode="0">
                        <c:v>142.57428581924</c:v>
                      </c:pt>
                      <c:pt idx="27" formatCode="0">
                        <c:v>153.76310489120399</c:v>
                      </c:pt>
                      <c:pt idx="28" formatCode="0">
                        <c:v>165.15873385298039</c:v>
                      </c:pt>
                      <c:pt idx="29" formatCode="0">
                        <c:v>155.87849121888476</c:v>
                      </c:pt>
                      <c:pt idx="30" formatCode="0">
                        <c:v>152.84013356321202</c:v>
                      </c:pt>
                      <c:pt idx="31" formatCode="0">
                        <c:v>156.90307552400503</c:v>
                      </c:pt>
                      <c:pt idx="32" formatCode="0">
                        <c:v>168.46420504393592</c:v>
                      </c:pt>
                      <c:pt idx="33" formatCode="0">
                        <c:v>162.69556830510311</c:v>
                      </c:pt>
                      <c:pt idx="34" formatCode="0">
                        <c:v>153.72257638900962</c:v>
                      </c:pt>
                      <c:pt idx="35" formatCode="0">
                        <c:v>161.03198788902904</c:v>
                      </c:pt>
                      <c:pt idx="36" formatCode="0">
                        <c:v>158.02349309619015</c:v>
                      </c:pt>
                      <c:pt idx="37" formatCode="0">
                        <c:v>149.29223205501475</c:v>
                      </c:pt>
                      <c:pt idx="38" formatCode="0">
                        <c:v>144.20677110570418</c:v>
                      </c:pt>
                      <c:pt idx="39" formatCode="0">
                        <c:v>139.10938414029852</c:v>
                      </c:pt>
                      <c:pt idx="40" formatCode="0">
                        <c:v>137.81406304578684</c:v>
                      </c:pt>
                      <c:pt idx="41" formatCode="0">
                        <c:v>140.05262178115458</c:v>
                      </c:pt>
                      <c:pt idx="42" formatCode="0">
                        <c:v>144.10856920914958</c:v>
                      </c:pt>
                      <c:pt idx="43" formatCode="0">
                        <c:v>145.79187020603604</c:v>
                      </c:pt>
                      <c:pt idx="44" formatCode="0">
                        <c:v>136.94842007621219</c:v>
                      </c:pt>
                      <c:pt idx="45" formatCode="0">
                        <c:v>138.7517919631301</c:v>
                      </c:pt>
                      <c:pt idx="46" formatCode="0">
                        <c:v>138.64197164647442</c:v>
                      </c:pt>
                      <c:pt idx="47" formatCode="0">
                        <c:v>137.7872449742357</c:v>
                      </c:pt>
                      <c:pt idx="48" formatCode="0">
                        <c:v>140.44030920995215</c:v>
                      </c:pt>
                      <c:pt idx="49" formatCode="0">
                        <c:v>134.2139139167603</c:v>
                      </c:pt>
                      <c:pt idx="50" formatCode="0">
                        <c:v>133.51509094044039</c:v>
                      </c:pt>
                      <c:pt idx="51" formatCode="0">
                        <c:v>127.15133739374512</c:v>
                      </c:pt>
                      <c:pt idx="52" formatCode="0">
                        <c:v>120.633044195761</c:v>
                      </c:pt>
                      <c:pt idx="53" formatCode="0">
                        <c:v>117.76666181626028</c:v>
                      </c:pt>
                      <c:pt idx="54" formatCode="0">
                        <c:v>114.97859290971408</c:v>
                      </c:pt>
                      <c:pt idx="55" formatCode="0">
                        <c:v>106.92662762111023</c:v>
                      </c:pt>
                      <c:pt idx="56" formatCode="0">
                        <c:v>105.42162125705612</c:v>
                      </c:pt>
                      <c:pt idx="57" formatCode="0">
                        <c:v>104.78203681689047</c:v>
                      </c:pt>
                      <c:pt idx="58" formatCode="0">
                        <c:v>100.93415231677447</c:v>
                      </c:pt>
                      <c:pt idx="59" formatCode="0">
                        <c:v>95.152196205164898</c:v>
                      </c:pt>
                      <c:pt idx="60" formatCode="0">
                        <c:v>91.75329600328287</c:v>
                      </c:pt>
                      <c:pt idx="61" formatCode="0">
                        <c:v>85.264004192938913</c:v>
                      </c:pt>
                      <c:pt idx="62" formatCode="0">
                        <c:v>83.32210786767935</c:v>
                      </c:pt>
                      <c:pt idx="63" formatCode="0">
                        <c:v>79.750085698545831</c:v>
                      </c:pt>
                      <c:pt idx="64" formatCode="0">
                        <c:v>84.343934446285118</c:v>
                      </c:pt>
                      <c:pt idx="65" formatCode="0">
                        <c:v>94.018757153552883</c:v>
                      </c:pt>
                      <c:pt idx="66" formatCode="0">
                        <c:v>97.020580830721983</c:v>
                      </c:pt>
                      <c:pt idx="67" formatCode="0">
                        <c:v>87.834078796084981</c:v>
                      </c:pt>
                      <c:pt idx="68" formatCode="0">
                        <c:v>82.414406449243742</c:v>
                      </c:pt>
                      <c:pt idx="69" formatCode="0">
                        <c:v>79.166657691298781</c:v>
                      </c:pt>
                      <c:pt idx="70" formatCode="0">
                        <c:v>76.571086370736282</c:v>
                      </c:pt>
                      <c:pt idx="71" formatCode="0">
                        <c:v>74.085312688500267</c:v>
                      </c:pt>
                      <c:pt idx="72" formatCode="0">
                        <c:v>75.64254538587727</c:v>
                      </c:pt>
                      <c:pt idx="73" formatCode="0">
                        <c:v>74.189450528835408</c:v>
                      </c:pt>
                      <c:pt idx="74" formatCode="0">
                        <c:v>70.652851457965028</c:v>
                      </c:pt>
                      <c:pt idx="75" formatCode="0">
                        <c:v>68.950991126512065</c:v>
                      </c:pt>
                      <c:pt idx="76" formatCode="0">
                        <c:v>66.700480809572937</c:v>
                      </c:pt>
                      <c:pt idx="77" formatCode="0">
                        <c:v>68.224511207388588</c:v>
                      </c:pt>
                      <c:pt idx="78" formatCode="0">
                        <c:v>75.607089308286334</c:v>
                      </c:pt>
                    </c:numCache>
                  </c:numRef>
                </c:val>
                <c:smooth val="0"/>
                <c:extLst xmlns:c15="http://schemas.microsoft.com/office/drawing/2012/chart">
                  <c:ext xmlns:c16="http://schemas.microsoft.com/office/drawing/2014/chart" uri="{C3380CC4-5D6E-409C-BE32-E72D297353CC}">
                    <c16:uniqueId val="{0000002A-DE8D-488D-855A-43F38F7C7045}"/>
                  </c:ext>
                </c:extLst>
              </c15:ser>
            </c15:filteredLineSeries>
            <c15:filteredLineSeries>
              <c15:ser>
                <c:idx val="30"/>
                <c:order val="30"/>
                <c:tx>
                  <c:strRef>
                    <c:extLst xmlns:c15="http://schemas.microsoft.com/office/drawing/2012/chart">
                      <c:ext xmlns:c15="http://schemas.microsoft.com/office/drawing/2012/chart" uri="{02D57815-91ED-43cb-92C2-25804820EDAC}">
                        <c15:formulaRef>
                          <c15:sqref>'Table for graphs '!$A$32</c15:sqref>
                        </c15:formulaRef>
                      </c:ext>
                    </c:extLst>
                    <c:strCache>
                      <c:ptCount val="1"/>
                      <c:pt idx="0">
                        <c:v>Acute Leukaemia - Trajectory Total</c:v>
                      </c:pt>
                    </c:strCache>
                  </c:strRef>
                </c:tx>
                <c:spPr>
                  <a:ln w="28575" cap="rnd">
                    <a:solidFill>
                      <a:schemeClr val="accent5">
                        <a:shade val="7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'!$B$32:$CB$32</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2B-DE8D-488D-855A-43F38F7C7045}"/>
                  </c:ext>
                </c:extLst>
              </c15:ser>
            </c15:filteredLineSeries>
            <c15:filteredLineSeries>
              <c15:ser>
                <c:idx val="31"/>
                <c:order val="31"/>
                <c:tx>
                  <c:strRef>
                    <c:extLst xmlns:c15="http://schemas.microsoft.com/office/drawing/2012/chart">
                      <c:ext xmlns:c15="http://schemas.microsoft.com/office/drawing/2012/chart" uri="{02D57815-91ED-43cb-92C2-25804820EDAC}">
                        <c15:formulaRef>
                          <c15:sqref>'Table for graphs '!$A$33</c15:sqref>
                        </c15:formulaRef>
                      </c:ext>
                    </c:extLst>
                    <c:strCache>
                      <c:ptCount val="1"/>
                      <c:pt idx="0">
                        <c:v>Brain/CNS - Trajectory Total</c:v>
                      </c:pt>
                    </c:strCache>
                  </c:strRef>
                </c:tx>
                <c:spPr>
                  <a:ln w="28575" cap="rnd">
                    <a:solidFill>
                      <a:schemeClr val="accent5">
                        <a:shade val="7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'!$B$33:$CB$33</c15:sqref>
                        </c15:formulaRef>
                      </c:ext>
                    </c:extLst>
                    <c:numCache>
                      <c:formatCode>General</c:formatCode>
                      <c:ptCount val="79"/>
                      <c:pt idx="19" formatCode="0">
                        <c:v>0</c:v>
                      </c:pt>
                      <c:pt idx="20" formatCode="0">
                        <c:v>0</c:v>
                      </c:pt>
                      <c:pt idx="21" formatCode="0">
                        <c:v>0</c:v>
                      </c:pt>
                      <c:pt idx="22" formatCode="0">
                        <c:v>1</c:v>
                      </c:pt>
                      <c:pt idx="23" formatCode="0">
                        <c:v>1</c:v>
                      </c:pt>
                      <c:pt idx="24" formatCode="0">
                        <c:v>1</c:v>
                      </c:pt>
                      <c:pt idx="25" formatCode="0">
                        <c:v>1</c:v>
                      </c:pt>
                      <c:pt idx="26" formatCode="0">
                        <c:v>1</c:v>
                      </c:pt>
                      <c:pt idx="27" formatCode="0">
                        <c:v>1</c:v>
                      </c:pt>
                      <c:pt idx="28" formatCode="0">
                        <c:v>1</c:v>
                      </c:pt>
                      <c:pt idx="29" formatCode="0">
                        <c:v>1</c:v>
                      </c:pt>
                      <c:pt idx="30" formatCode="0">
                        <c:v>1</c:v>
                      </c:pt>
                      <c:pt idx="31" formatCode="0">
                        <c:v>1</c:v>
                      </c:pt>
                      <c:pt idx="32" formatCode="0">
                        <c:v>1</c:v>
                      </c:pt>
                      <c:pt idx="33" formatCode="0">
                        <c:v>1</c:v>
                      </c:pt>
                      <c:pt idx="34" formatCode="0">
                        <c:v>1</c:v>
                      </c:pt>
                      <c:pt idx="35" formatCode="0">
                        <c:v>1</c:v>
                      </c:pt>
                      <c:pt idx="36" formatCode="0">
                        <c:v>1</c:v>
                      </c:pt>
                      <c:pt idx="37" formatCode="0">
                        <c:v>1</c:v>
                      </c:pt>
                      <c:pt idx="38" formatCode="0">
                        <c:v>1</c:v>
                      </c:pt>
                      <c:pt idx="39" formatCode="0">
                        <c:v>1</c:v>
                      </c:pt>
                      <c:pt idx="40" formatCode="0">
                        <c:v>1</c:v>
                      </c:pt>
                      <c:pt idx="41" formatCode="0">
                        <c:v>1</c:v>
                      </c:pt>
                      <c:pt idx="42" formatCode="0">
                        <c:v>1</c:v>
                      </c:pt>
                      <c:pt idx="43" formatCode="0">
                        <c:v>1</c:v>
                      </c:pt>
                      <c:pt idx="44" formatCode="0">
                        <c:v>1</c:v>
                      </c:pt>
                      <c:pt idx="45" formatCode="0">
                        <c:v>1</c:v>
                      </c:pt>
                      <c:pt idx="46" formatCode="0">
                        <c:v>1</c:v>
                      </c:pt>
                      <c:pt idx="47" formatCode="0">
                        <c:v>1</c:v>
                      </c:pt>
                      <c:pt idx="48" formatCode="0">
                        <c:v>1</c:v>
                      </c:pt>
                      <c:pt idx="49" formatCode="0">
                        <c:v>1</c:v>
                      </c:pt>
                      <c:pt idx="50" formatCode="0">
                        <c:v>1</c:v>
                      </c:pt>
                      <c:pt idx="51" formatCode="0">
                        <c:v>1</c:v>
                      </c:pt>
                      <c:pt idx="52" formatCode="0">
                        <c:v>1</c:v>
                      </c:pt>
                      <c:pt idx="53" formatCode="0">
                        <c:v>1</c:v>
                      </c:pt>
                      <c:pt idx="54" formatCode="0">
                        <c:v>1</c:v>
                      </c:pt>
                      <c:pt idx="55" formatCode="0">
                        <c:v>1</c:v>
                      </c:pt>
                      <c:pt idx="56" formatCode="0">
                        <c:v>1</c:v>
                      </c:pt>
                      <c:pt idx="57" formatCode="0">
                        <c:v>1</c:v>
                      </c:pt>
                      <c:pt idx="58" formatCode="0">
                        <c:v>1</c:v>
                      </c:pt>
                      <c:pt idx="59" formatCode="0">
                        <c:v>1</c:v>
                      </c:pt>
                      <c:pt idx="60" formatCode="0">
                        <c:v>1</c:v>
                      </c:pt>
                      <c:pt idx="61" formatCode="0">
                        <c:v>1</c:v>
                      </c:pt>
                      <c:pt idx="62" formatCode="0">
                        <c:v>1</c:v>
                      </c:pt>
                      <c:pt idx="63" formatCode="0">
                        <c:v>1</c:v>
                      </c:pt>
                      <c:pt idx="64" formatCode="0">
                        <c:v>1</c:v>
                      </c:pt>
                      <c:pt idx="65" formatCode="0">
                        <c:v>1</c:v>
                      </c:pt>
                      <c:pt idx="66" formatCode="0">
                        <c:v>1</c:v>
                      </c:pt>
                      <c:pt idx="67" formatCode="0">
                        <c:v>1</c:v>
                      </c:pt>
                      <c:pt idx="68" formatCode="0">
                        <c:v>1</c:v>
                      </c:pt>
                      <c:pt idx="69" formatCode="0">
                        <c:v>1</c:v>
                      </c:pt>
                      <c:pt idx="70" formatCode="0">
                        <c:v>1</c:v>
                      </c:pt>
                      <c:pt idx="71" formatCode="0">
                        <c:v>1</c:v>
                      </c:pt>
                      <c:pt idx="72" formatCode="0">
                        <c:v>1</c:v>
                      </c:pt>
                      <c:pt idx="73" formatCode="0">
                        <c:v>1</c:v>
                      </c:pt>
                      <c:pt idx="74" formatCode="0">
                        <c:v>1</c:v>
                      </c:pt>
                      <c:pt idx="75" formatCode="0">
                        <c:v>1</c:v>
                      </c:pt>
                      <c:pt idx="76" formatCode="0">
                        <c:v>1</c:v>
                      </c:pt>
                      <c:pt idx="77" formatCode="0">
                        <c:v>1</c:v>
                      </c:pt>
                      <c:pt idx="78" formatCode="0">
                        <c:v>1</c:v>
                      </c:pt>
                    </c:numCache>
                  </c:numRef>
                </c:val>
                <c:smooth val="0"/>
                <c:extLst xmlns:c15="http://schemas.microsoft.com/office/drawing/2012/chart">
                  <c:ext xmlns:c16="http://schemas.microsoft.com/office/drawing/2014/chart" uri="{C3380CC4-5D6E-409C-BE32-E72D297353CC}">
                    <c16:uniqueId val="{0000002C-DE8D-488D-855A-43F38F7C7045}"/>
                  </c:ext>
                </c:extLst>
              </c15:ser>
            </c15:filteredLineSeries>
            <c15:filteredLineSeries>
              <c15:ser>
                <c:idx val="32"/>
                <c:order val="32"/>
                <c:tx>
                  <c:strRef>
                    <c:extLst xmlns:c15="http://schemas.microsoft.com/office/drawing/2012/chart">
                      <c:ext xmlns:c15="http://schemas.microsoft.com/office/drawing/2012/chart" uri="{02D57815-91ED-43cb-92C2-25804820EDAC}">
                        <c15:formulaRef>
                          <c15:sqref>'Table for graphs '!$A$34</c15:sqref>
                        </c15:formulaRef>
                      </c:ext>
                    </c:extLst>
                    <c:strCache>
                      <c:ptCount val="1"/>
                      <c:pt idx="0">
                        <c:v>Breast - Trajectory Total</c:v>
                      </c:pt>
                    </c:strCache>
                  </c:strRef>
                </c:tx>
                <c:spPr>
                  <a:ln w="28575" cap="rnd">
                    <a:solidFill>
                      <a:schemeClr val="accent5">
                        <a:shade val="7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'!$B$34:$CB$34</c15:sqref>
                        </c15:formulaRef>
                      </c:ext>
                    </c:extLst>
                    <c:numCache>
                      <c:formatCode>General</c:formatCode>
                      <c:ptCount val="79"/>
                      <c:pt idx="19" formatCode="0">
                        <c:v>21</c:v>
                      </c:pt>
                      <c:pt idx="20" formatCode="0">
                        <c:v>13</c:v>
                      </c:pt>
                      <c:pt idx="21" formatCode="0">
                        <c:v>12.74</c:v>
                      </c:pt>
                      <c:pt idx="22" formatCode="0">
                        <c:v>12.298999999999999</c:v>
                      </c:pt>
                      <c:pt idx="23" formatCode="0">
                        <c:v>12.05302</c:v>
                      </c:pt>
                      <c:pt idx="24" formatCode="0">
                        <c:v>11.350967600000001</c:v>
                      </c:pt>
                      <c:pt idx="25" formatCode="0">
                        <c:v>11.123948248000001</c:v>
                      </c:pt>
                      <c:pt idx="26" formatCode="0">
                        <c:v>10.901469283040001</c:v>
                      </c:pt>
                      <c:pt idx="27" formatCode="0">
                        <c:v>12.742331656767998</c:v>
                      </c:pt>
                      <c:pt idx="28" formatCode="0">
                        <c:v>14.900451782809597</c:v>
                      </c:pt>
                      <c:pt idx="29" formatCode="0">
                        <c:v>14.182214765035518</c:v>
                      </c:pt>
                      <c:pt idx="30" formatCode="0">
                        <c:v>12.763993288531967</c:v>
                      </c:pt>
                      <c:pt idx="31" formatCode="0">
                        <c:v>15.050279938509849</c:v>
                      </c:pt>
                      <c:pt idx="32" formatCode="0">
                        <c:v>17.307821929286323</c:v>
                      </c:pt>
                      <c:pt idx="33" formatCode="0">
                        <c:v>14.711648639893376</c:v>
                      </c:pt>
                      <c:pt idx="34" formatCode="0">
                        <c:v>13.240483775904039</c:v>
                      </c:pt>
                      <c:pt idx="35" formatCode="0">
                        <c:v>15.226556342289644</c:v>
                      </c:pt>
                      <c:pt idx="36" formatCode="0">
                        <c:v>15.226386433054543</c:v>
                      </c:pt>
                      <c:pt idx="37" formatCode="0">
                        <c:v>12.942428468096361</c:v>
                      </c:pt>
                      <c:pt idx="38" formatCode="0">
                        <c:v>11.648185621286725</c:v>
                      </c:pt>
                      <c:pt idx="39" formatCode="0">
                        <c:v>9.9009577780937157</c:v>
                      </c:pt>
                      <c:pt idx="40" formatCode="0">
                        <c:v>8.9108620002843448</c:v>
                      </c:pt>
                      <c:pt idx="41" formatCode="0">
                        <c:v>8.0197758002559105</c:v>
                      </c:pt>
                      <c:pt idx="42" formatCode="0">
                        <c:v>8.0197758002559105</c:v>
                      </c:pt>
                      <c:pt idx="43" formatCode="0">
                        <c:v>7.6187870102431159</c:v>
                      </c:pt>
                      <c:pt idx="44" formatCode="0">
                        <c:v>7.2378476597309591</c:v>
                      </c:pt>
                      <c:pt idx="45" formatCode="0">
                        <c:v>7.5997400427175066</c:v>
                      </c:pt>
                      <c:pt idx="46" formatCode="0">
                        <c:v>7.3970367050824049</c:v>
                      </c:pt>
                      <c:pt idx="47" formatCode="0">
                        <c:v>7.2044685343290586</c:v>
                      </c:pt>
                      <c:pt idx="48" formatCode="0">
                        <c:v>9.5430927591285517</c:v>
                      </c:pt>
                      <c:pt idx="49" formatCode="0">
                        <c:v>8.8281164302917396</c:v>
                      </c:pt>
                      <c:pt idx="50" formatCode="0">
                        <c:v>8.3867106087771539</c:v>
                      </c:pt>
                      <c:pt idx="51" formatCode="0">
                        <c:v>7.548039547899438</c:v>
                      </c:pt>
                      <c:pt idx="52" formatCode="0">
                        <c:v>7.548039547899438</c:v>
                      </c:pt>
                      <c:pt idx="53" formatCode="0">
                        <c:v>7.548039547899438</c:v>
                      </c:pt>
                      <c:pt idx="54" formatCode="0">
                        <c:v>7.548039547899438</c:v>
                      </c:pt>
                      <c:pt idx="55" formatCode="0">
                        <c:v>7.548039547899438</c:v>
                      </c:pt>
                      <c:pt idx="56" formatCode="0">
                        <c:v>7.548039547899438</c:v>
                      </c:pt>
                      <c:pt idx="57" formatCode="0">
                        <c:v>7.548039547899438</c:v>
                      </c:pt>
                      <c:pt idx="58" formatCode="0">
                        <c:v>7.548039547899438</c:v>
                      </c:pt>
                      <c:pt idx="59" formatCode="0">
                        <c:v>7.548039547899438</c:v>
                      </c:pt>
                      <c:pt idx="60" formatCode="0">
                        <c:v>7.548039547899438</c:v>
                      </c:pt>
                      <c:pt idx="61" formatCode="0">
                        <c:v>6.4158336157145222</c:v>
                      </c:pt>
                      <c:pt idx="62" formatCode="0">
                        <c:v>6.4158336157145222</c:v>
                      </c:pt>
                      <c:pt idx="63" formatCode="0">
                        <c:v>6.4158336157145222</c:v>
                      </c:pt>
                      <c:pt idx="64" formatCode="0">
                        <c:v>6.4158336157145222</c:v>
                      </c:pt>
                      <c:pt idx="65" formatCode="0">
                        <c:v>9.6237504235717832</c:v>
                      </c:pt>
                      <c:pt idx="66" formatCode="0">
                        <c:v>12.029688029464729</c:v>
                      </c:pt>
                      <c:pt idx="67" formatCode="0">
                        <c:v>9.6237504235717832</c:v>
                      </c:pt>
                      <c:pt idx="68" formatCode="0">
                        <c:v>8.4135176937298954</c:v>
                      </c:pt>
                      <c:pt idx="69" formatCode="0">
                        <c:v>8.4135176937298954</c:v>
                      </c:pt>
                      <c:pt idx="70" formatCode="0">
                        <c:v>8.4135176937298954</c:v>
                      </c:pt>
                      <c:pt idx="71" formatCode="0">
                        <c:v>8.4135176937298954</c:v>
                      </c:pt>
                      <c:pt idx="72" formatCode="0">
                        <c:v>8.4135176937298954</c:v>
                      </c:pt>
                      <c:pt idx="73" formatCode="0">
                        <c:v>8.4135176937298954</c:v>
                      </c:pt>
                      <c:pt idx="74" formatCode="0">
                        <c:v>8.4135176937298954</c:v>
                      </c:pt>
                      <c:pt idx="75" formatCode="0">
                        <c:v>8.4135176937298954</c:v>
                      </c:pt>
                      <c:pt idx="76" formatCode="0">
                        <c:v>8.4135176937298954</c:v>
                      </c:pt>
                      <c:pt idx="77" formatCode="0">
                        <c:v>8.4135176937298954</c:v>
                      </c:pt>
                      <c:pt idx="78" formatCode="0">
                        <c:v>10.516897117162369</c:v>
                      </c:pt>
                    </c:numCache>
                  </c:numRef>
                </c:val>
                <c:smooth val="0"/>
                <c:extLst xmlns:c15="http://schemas.microsoft.com/office/drawing/2012/chart">
                  <c:ext xmlns:c16="http://schemas.microsoft.com/office/drawing/2014/chart" uri="{C3380CC4-5D6E-409C-BE32-E72D297353CC}">
                    <c16:uniqueId val="{0000002D-DE8D-488D-855A-43F38F7C7045}"/>
                  </c:ext>
                </c:extLst>
              </c15:ser>
            </c15:filteredLineSeries>
            <c15:filteredLineSeries>
              <c15:ser>
                <c:idx val="33"/>
                <c:order val="33"/>
                <c:tx>
                  <c:strRef>
                    <c:extLst xmlns:c15="http://schemas.microsoft.com/office/drawing/2012/chart">
                      <c:ext xmlns:c15="http://schemas.microsoft.com/office/drawing/2012/chart" uri="{02D57815-91ED-43cb-92C2-25804820EDAC}">
                        <c15:formulaRef>
                          <c15:sqref>'Table for graphs '!$A$35</c15:sqref>
                        </c15:formulaRef>
                      </c:ext>
                    </c:extLst>
                    <c:strCache>
                      <c:ptCount val="1"/>
                      <c:pt idx="0">
                        <c:v>Children's cancer - Trajectory Total</c:v>
                      </c:pt>
                    </c:strCache>
                  </c:strRef>
                </c:tx>
                <c:spPr>
                  <a:ln w="28575" cap="rnd">
                    <a:solidFill>
                      <a:schemeClr val="accent5">
                        <a:shade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'!$B$35:$CB$35</c15:sqref>
                        </c15:formulaRef>
                      </c:ext>
                    </c:extLst>
                    <c:numCache>
                      <c:formatCode>General</c:formatCode>
                      <c:ptCount val="79"/>
                      <c:pt idx="19" formatCode="0">
                        <c:v>1</c:v>
                      </c:pt>
                      <c:pt idx="20" formatCode="0">
                        <c:v>1</c:v>
                      </c:pt>
                      <c:pt idx="21" formatCode="0">
                        <c:v>1</c:v>
                      </c:pt>
                      <c:pt idx="22" formatCode="0">
                        <c:v>0</c:v>
                      </c:pt>
                      <c:pt idx="23" formatCode="0">
                        <c:v>0</c:v>
                      </c:pt>
                      <c:pt idx="24" formatCode="0">
                        <c:v>0</c:v>
                      </c:pt>
                      <c:pt idx="25" formatCode="0">
                        <c:v>0</c:v>
                      </c:pt>
                      <c:pt idx="26" formatCode="0">
                        <c:v>0</c:v>
                      </c:pt>
                      <c:pt idx="27" formatCode="0">
                        <c:v>0</c:v>
                      </c:pt>
                      <c:pt idx="28" formatCode="0">
                        <c:v>0</c:v>
                      </c:pt>
                      <c:pt idx="29" formatCode="0">
                        <c:v>0</c:v>
                      </c:pt>
                      <c:pt idx="30" formatCode="0">
                        <c:v>0</c:v>
                      </c:pt>
                      <c:pt idx="31" formatCode="0">
                        <c:v>0</c:v>
                      </c:pt>
                      <c:pt idx="32" formatCode="0">
                        <c:v>0</c:v>
                      </c:pt>
                      <c:pt idx="33" formatCode="0">
                        <c:v>0</c:v>
                      </c:pt>
                      <c:pt idx="34" formatCode="0">
                        <c:v>0</c:v>
                      </c:pt>
                      <c:pt idx="35" formatCode="0">
                        <c:v>0</c:v>
                      </c:pt>
                      <c:pt idx="36" formatCode="0">
                        <c:v>0</c:v>
                      </c:pt>
                      <c:pt idx="37" formatCode="0">
                        <c:v>0</c:v>
                      </c:pt>
                      <c:pt idx="38" formatCode="0">
                        <c:v>0</c:v>
                      </c:pt>
                      <c:pt idx="39" formatCode="0">
                        <c:v>0</c:v>
                      </c:pt>
                      <c:pt idx="40" formatCode="0">
                        <c:v>0</c:v>
                      </c:pt>
                      <c:pt idx="41" formatCode="0">
                        <c:v>0</c:v>
                      </c:pt>
                      <c:pt idx="42" formatCode="0">
                        <c:v>0</c:v>
                      </c:pt>
                      <c:pt idx="43" formatCode="0">
                        <c:v>0</c:v>
                      </c:pt>
                      <c:pt idx="44" formatCode="0">
                        <c:v>0</c:v>
                      </c:pt>
                      <c:pt idx="45" formatCode="0">
                        <c:v>0</c:v>
                      </c:pt>
                      <c:pt idx="46" formatCode="0">
                        <c:v>0</c:v>
                      </c:pt>
                      <c:pt idx="47" formatCode="0">
                        <c:v>0</c:v>
                      </c:pt>
                      <c:pt idx="48" formatCode="0">
                        <c:v>0</c:v>
                      </c:pt>
                      <c:pt idx="49" formatCode="0">
                        <c:v>0</c:v>
                      </c:pt>
                      <c:pt idx="50" formatCode="0">
                        <c:v>0</c:v>
                      </c:pt>
                      <c:pt idx="51" formatCode="0">
                        <c:v>0</c:v>
                      </c:pt>
                      <c:pt idx="52" formatCode="0">
                        <c:v>0</c:v>
                      </c:pt>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numCache>
                  </c:numRef>
                </c:val>
                <c:smooth val="0"/>
                <c:extLst xmlns:c15="http://schemas.microsoft.com/office/drawing/2012/chart">
                  <c:ext xmlns:c16="http://schemas.microsoft.com/office/drawing/2014/chart" uri="{C3380CC4-5D6E-409C-BE32-E72D297353CC}">
                    <c16:uniqueId val="{0000002E-DE8D-488D-855A-43F38F7C7045}"/>
                  </c:ext>
                </c:extLst>
              </c15:ser>
            </c15:filteredLineSeries>
            <c15:filteredLineSeries>
              <c15:ser>
                <c:idx val="34"/>
                <c:order val="34"/>
                <c:tx>
                  <c:strRef>
                    <c:extLst xmlns:c15="http://schemas.microsoft.com/office/drawing/2012/chart">
                      <c:ext xmlns:c15="http://schemas.microsoft.com/office/drawing/2012/chart" uri="{02D57815-91ED-43cb-92C2-25804820EDAC}">
                        <c15:formulaRef>
                          <c15:sqref>'Table for graphs '!$A$36</c15:sqref>
                        </c15:formulaRef>
                      </c:ext>
                    </c:extLst>
                    <c:strCache>
                      <c:ptCount val="1"/>
                      <c:pt idx="0">
                        <c:v>Gynaecological - Trajectory Total</c:v>
                      </c:pt>
                    </c:strCache>
                  </c:strRef>
                </c:tx>
                <c:spPr>
                  <a:ln w="28575" cap="rnd">
                    <a:solidFill>
                      <a:schemeClr val="accent5">
                        <a:shade val="8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'!$B$36:$CB$36</c15:sqref>
                        </c15:formulaRef>
                      </c:ext>
                    </c:extLst>
                    <c:numCache>
                      <c:formatCode>General</c:formatCode>
                      <c:ptCount val="79"/>
                      <c:pt idx="19" formatCode="0">
                        <c:v>101</c:v>
                      </c:pt>
                      <c:pt idx="20" formatCode="0">
                        <c:v>103</c:v>
                      </c:pt>
                      <c:pt idx="21" formatCode="0">
                        <c:v>104.25</c:v>
                      </c:pt>
                      <c:pt idx="22" formatCode="0">
                        <c:v>95.111999999999995</c:v>
                      </c:pt>
                      <c:pt idx="23" formatCode="0">
                        <c:v>97.49951999999999</c:v>
                      </c:pt>
                      <c:pt idx="24" formatCode="0">
                        <c:v>98.786854799999986</c:v>
                      </c:pt>
                      <c:pt idx="25" formatCode="0">
                        <c:v>95.623394453999992</c:v>
                      </c:pt>
                      <c:pt idx="26" formatCode="0">
                        <c:v>96.92383468445999</c:v>
                      </c:pt>
                      <c:pt idx="27" formatCode="0">
                        <c:v>101.41122164749379</c:v>
                      </c:pt>
                      <c:pt idx="28" formatCode="0">
                        <c:v>106.1438072539936</c:v>
                      </c:pt>
                      <c:pt idx="29" formatCode="0">
                        <c:v>104.6302275854361</c:v>
                      </c:pt>
                      <c:pt idx="30" formatCode="0">
                        <c:v>103.58392530958174</c:v>
                      </c:pt>
                      <c:pt idx="31" formatCode="0">
                        <c:v>107.56877862178168</c:v>
                      </c:pt>
                      <c:pt idx="32" formatCode="0">
                        <c:v>111.71704431099323</c:v>
                      </c:pt>
                      <c:pt idx="33" formatCode="0">
                        <c:v>110.5998738678833</c:v>
                      </c:pt>
                      <c:pt idx="34" formatCode="0">
                        <c:v>109.01508021789689</c:v>
                      </c:pt>
                      <c:pt idx="35" formatCode="0">
                        <c:v>113.22397065059664</c:v>
                      </c:pt>
                      <c:pt idx="36" formatCode="0">
                        <c:v>111.59905098035517</c:v>
                      </c:pt>
                      <c:pt idx="37" formatCode="0">
                        <c:v>110.00023410609084</c:v>
                      </c:pt>
                      <c:pt idx="38" formatCode="0">
                        <c:v>108.90023176502993</c:v>
                      </c:pt>
                      <c:pt idx="39" formatCode="0">
                        <c:v>109.98923408268024</c:v>
                      </c:pt>
                      <c:pt idx="40" formatCode="0">
                        <c:v>109.20881696159019</c:v>
                      </c:pt>
                      <c:pt idx="41" formatCode="0">
                        <c:v>105.59107938618919</c:v>
                      </c:pt>
                      <c:pt idx="42" formatCode="0">
                        <c:v>107.10095123817132</c:v>
                      </c:pt>
                      <c:pt idx="43" formatCode="0">
                        <c:v>108.63500102983569</c:v>
                      </c:pt>
                      <c:pt idx="44" formatCode="0">
                        <c:v>107.07634993466903</c:v>
                      </c:pt>
                      <c:pt idx="45" formatCode="0">
                        <c:v>105.54273137215141</c:v>
                      </c:pt>
                      <c:pt idx="46" formatCode="0">
                        <c:v>104.03370609652238</c:v>
                      </c:pt>
                      <c:pt idx="47" formatCode="0">
                        <c:v>102.54884303288779</c:v>
                      </c:pt>
                      <c:pt idx="48" formatCode="0">
                        <c:v>106.49657928910639</c:v>
                      </c:pt>
                      <c:pt idx="49" formatCode="0">
                        <c:v>104.97419623946854</c:v>
                      </c:pt>
                      <c:pt idx="50" formatCode="0">
                        <c:v>103.47618536546202</c:v>
                      </c:pt>
                      <c:pt idx="51" formatCode="0">
                        <c:v>102.0021199784278</c:v>
                      </c:pt>
                      <c:pt idx="52" formatCode="0">
                        <c:v>98.942056379074955</c:v>
                      </c:pt>
                      <c:pt idx="53" formatCode="0">
                        <c:v>95.973794687702707</c:v>
                      </c:pt>
                      <c:pt idx="54" formatCode="0">
                        <c:v>93.094580847071626</c:v>
                      </c:pt>
                      <c:pt idx="55" formatCode="0">
                        <c:v>90.301743421659481</c:v>
                      </c:pt>
                      <c:pt idx="56" formatCode="0">
                        <c:v>87.592691119009686</c:v>
                      </c:pt>
                      <c:pt idx="57" formatCode="0">
                        <c:v>84.964910385439396</c:v>
                      </c:pt>
                      <c:pt idx="58" formatCode="0">
                        <c:v>82.415963073876213</c:v>
                      </c:pt>
                      <c:pt idx="59" formatCode="0">
                        <c:v>80.328858728376176</c:v>
                      </c:pt>
                      <c:pt idx="60" formatCode="0">
                        <c:v>76.312415791957363</c:v>
                      </c:pt>
                      <c:pt idx="61" formatCode="0">
                        <c:v>70.94364151858322</c:v>
                      </c:pt>
                      <c:pt idx="62" formatCode="0">
                        <c:v>66.557756561414863</c:v>
                      </c:pt>
                      <c:pt idx="63" formatCode="0">
                        <c:v>61.943857648777367</c:v>
                      </c:pt>
                      <c:pt idx="64" formatCode="0">
                        <c:v>61.943857648777367</c:v>
                      </c:pt>
                      <c:pt idx="65" formatCode="0">
                        <c:v>65.504014521660267</c:v>
                      </c:pt>
                      <c:pt idx="66" formatCode="0">
                        <c:v>69.274586717518403</c:v>
                      </c:pt>
                      <c:pt idx="67" formatCode="0">
                        <c:v>62.34712804576656</c:v>
                      </c:pt>
                      <c:pt idx="68" formatCode="0">
                        <c:v>59.961914418799381</c:v>
                      </c:pt>
                      <c:pt idx="69" formatCode="0">
                        <c:v>57.815222154528925</c:v>
                      </c:pt>
                      <c:pt idx="70" formatCode="0">
                        <c:v>55.883199116685518</c:v>
                      </c:pt>
                      <c:pt idx="71" formatCode="0">
                        <c:v>55.883199116685518</c:v>
                      </c:pt>
                      <c:pt idx="72" formatCode="0">
                        <c:v>55.883199116685518</c:v>
                      </c:pt>
                      <c:pt idx="73" formatCode="0">
                        <c:v>55.883199116685518</c:v>
                      </c:pt>
                      <c:pt idx="74" formatCode="0">
                        <c:v>55.883199116685518</c:v>
                      </c:pt>
                      <c:pt idx="75" formatCode="0">
                        <c:v>55.883199116685518</c:v>
                      </c:pt>
                      <c:pt idx="76" formatCode="0">
                        <c:v>55.883199116685518</c:v>
                      </c:pt>
                      <c:pt idx="77" formatCode="0">
                        <c:v>55.883199116685518</c:v>
                      </c:pt>
                      <c:pt idx="78" formatCode="0">
                        <c:v>61.471519028354066</c:v>
                      </c:pt>
                    </c:numCache>
                  </c:numRef>
                </c:val>
                <c:smooth val="0"/>
                <c:extLst xmlns:c15="http://schemas.microsoft.com/office/drawing/2012/chart">
                  <c:ext xmlns:c16="http://schemas.microsoft.com/office/drawing/2014/chart" uri="{C3380CC4-5D6E-409C-BE32-E72D297353CC}">
                    <c16:uniqueId val="{0000002F-DE8D-488D-855A-43F38F7C7045}"/>
                  </c:ext>
                </c:extLst>
              </c15:ser>
            </c15:filteredLineSeries>
            <c15:filteredLineSeries>
              <c15:ser>
                <c:idx val="35"/>
                <c:order val="35"/>
                <c:tx>
                  <c:strRef>
                    <c:extLst xmlns:c15="http://schemas.microsoft.com/office/drawing/2012/chart">
                      <c:ext xmlns:c15="http://schemas.microsoft.com/office/drawing/2012/chart" uri="{02D57815-91ED-43cb-92C2-25804820EDAC}">
                        <c15:formulaRef>
                          <c15:sqref>'Table for graphs '!$A$37</c15:sqref>
                        </c15:formulaRef>
                      </c:ext>
                    </c:extLst>
                    <c:strCache>
                      <c:ptCount val="1"/>
                      <c:pt idx="0">
                        <c:v>Haematological - Trajectory Total</c:v>
                      </c:pt>
                    </c:strCache>
                  </c:strRef>
                </c:tx>
                <c:spPr>
                  <a:ln w="28575" cap="rnd">
                    <a:solidFill>
                      <a:schemeClr val="accent5">
                        <a:shade val="8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'!$B$37:$CB$37</c15:sqref>
                        </c15:formulaRef>
                      </c:ext>
                    </c:extLst>
                    <c:numCache>
                      <c:formatCode>General</c:formatCode>
                      <c:ptCount val="79"/>
                      <c:pt idx="19" formatCode="0">
                        <c:v>19</c:v>
                      </c:pt>
                      <c:pt idx="20" formatCode="0">
                        <c:v>18</c:v>
                      </c:pt>
                      <c:pt idx="21" formatCode="0">
                        <c:v>17.759999999999998</c:v>
                      </c:pt>
                      <c:pt idx="22" formatCode="0">
                        <c:v>15.407999999999999</c:v>
                      </c:pt>
                      <c:pt idx="23" formatCode="0">
                        <c:v>13.4664</c:v>
                      </c:pt>
                      <c:pt idx="24" formatCode="0">
                        <c:v>13.315871999999999</c:v>
                      </c:pt>
                      <c:pt idx="25" formatCode="0">
                        <c:v>13.168354559999997</c:v>
                      </c:pt>
                      <c:pt idx="26" formatCode="0">
                        <c:v>13.023787468799998</c:v>
                      </c:pt>
                      <c:pt idx="27" formatCode="0">
                        <c:v>13.284263218175997</c:v>
                      </c:pt>
                      <c:pt idx="28" formatCode="0">
                        <c:v>13.815633746903039</c:v>
                      </c:pt>
                      <c:pt idx="29" formatCode="0">
                        <c:v>13.326019917026915</c:v>
                      </c:pt>
                      <c:pt idx="30" formatCode="0">
                        <c:v>13.059499518686376</c:v>
                      </c:pt>
                      <c:pt idx="31" formatCode="0">
                        <c:v>13.320689509060106</c:v>
                      </c:pt>
                      <c:pt idx="32" formatCode="0">
                        <c:v>13.85351708942251</c:v>
                      </c:pt>
                      <c:pt idx="33" formatCode="0">
                        <c:v>13.72643589948761</c:v>
                      </c:pt>
                      <c:pt idx="34" formatCode="0">
                        <c:v>13.426457595780509</c:v>
                      </c:pt>
                      <c:pt idx="35" formatCode="0">
                        <c:v>13.694986747696118</c:v>
                      </c:pt>
                      <c:pt idx="36" formatCode="0">
                        <c:v>13.401247992706125</c:v>
                      </c:pt>
                      <c:pt idx="37" formatCode="0">
                        <c:v>12.992228430456805</c:v>
                      </c:pt>
                      <c:pt idx="38" formatCode="0">
                        <c:v>12.743248929837311</c:v>
                      </c:pt>
                      <c:pt idx="39" formatCode="0">
                        <c:v>13.380411376329176</c:v>
                      </c:pt>
                      <c:pt idx="40" formatCode="0">
                        <c:v>13.694125547109739</c:v>
                      </c:pt>
                      <c:pt idx="41" formatCode="0">
                        <c:v>14.378831824465227</c:v>
                      </c:pt>
                      <c:pt idx="42" formatCode="0">
                        <c:v>16.508454753482887</c:v>
                      </c:pt>
                      <c:pt idx="43" formatCode="0">
                        <c:v>18.56967911856264</c:v>
                      </c:pt>
                      <c:pt idx="44" formatCode="0">
                        <c:v>17.169259439443326</c:v>
                      </c:pt>
                      <c:pt idx="45" formatCode="0">
                        <c:v>18.027722411415496</c:v>
                      </c:pt>
                      <c:pt idx="46" formatCode="0">
                        <c:v>18.027722411415496</c:v>
                      </c:pt>
                      <c:pt idx="47" formatCode="0">
                        <c:v>16.224950170273946</c:v>
                      </c:pt>
                      <c:pt idx="48" formatCode="0">
                        <c:v>17.036197678787644</c:v>
                      </c:pt>
                      <c:pt idx="49" formatCode="0">
                        <c:v>16.098315897900946</c:v>
                      </c:pt>
                      <c:pt idx="50" formatCode="0">
                        <c:v>17.307769608448375</c:v>
                      </c:pt>
                      <c:pt idx="51" formatCode="0">
                        <c:v>17.653925000617342</c:v>
                      </c:pt>
                      <c:pt idx="52" formatCode="0">
                        <c:v>17.653925000617342</c:v>
                      </c:pt>
                      <c:pt idx="53" formatCode="0">
                        <c:v>18.53662125064821</c:v>
                      </c:pt>
                      <c:pt idx="54" formatCode="0">
                        <c:v>18.53662125064821</c:v>
                      </c:pt>
                      <c:pt idx="55" formatCode="0">
                        <c:v>17.609790188115799</c:v>
                      </c:pt>
                      <c:pt idx="56" formatCode="0">
                        <c:v>16.729300678710008</c:v>
                      </c:pt>
                      <c:pt idx="57" formatCode="0">
                        <c:v>15.892835644774507</c:v>
                      </c:pt>
                      <c:pt idx="58" formatCode="0">
                        <c:v>14.71216510358604</c:v>
                      </c:pt>
                      <c:pt idx="59" formatCode="0">
                        <c:v>13.629130965351969</c:v>
                      </c:pt>
                      <c:pt idx="60" formatCode="0">
                        <c:v>12.63499112233508</c:v>
                      </c:pt>
                      <c:pt idx="61" formatCode="0">
                        <c:v>11.721826600943963</c:v>
                      </c:pt>
                      <c:pt idx="62" formatCode="0">
                        <c:v>10.882461802149841</c:v>
                      </c:pt>
                      <c:pt idx="63" formatCode="0">
                        <c:v>10.882461802149841</c:v>
                      </c:pt>
                      <c:pt idx="64" formatCode="0">
                        <c:v>11.970707982364825</c:v>
                      </c:pt>
                      <c:pt idx="65" formatCode="0">
                        <c:v>14.364849578837788</c:v>
                      </c:pt>
                      <c:pt idx="66" formatCode="0">
                        <c:v>17.237819494605347</c:v>
                      </c:pt>
                      <c:pt idx="67" formatCode="0">
                        <c:v>15.514037545144813</c:v>
                      </c:pt>
                      <c:pt idx="68" formatCode="0">
                        <c:v>12.41123003611585</c:v>
                      </c:pt>
                      <c:pt idx="69" formatCode="0">
                        <c:v>9.9289840288926818</c:v>
                      </c:pt>
                      <c:pt idx="70" formatCode="0">
                        <c:v>8.9360856260034129</c:v>
                      </c:pt>
                      <c:pt idx="71" formatCode="0">
                        <c:v>8.0424770634030729</c:v>
                      </c:pt>
                      <c:pt idx="72" formatCode="0">
                        <c:v>7.2382293570627656</c:v>
                      </c:pt>
                      <c:pt idx="73" formatCode="0">
                        <c:v>6.5144064213564885</c:v>
                      </c:pt>
                      <c:pt idx="74" formatCode="0">
                        <c:v>5.8629657792208398</c:v>
                      </c:pt>
                      <c:pt idx="75" formatCode="0">
                        <c:v>5.2766692012987564</c:v>
                      </c:pt>
                      <c:pt idx="76" formatCode="0">
                        <c:v>5.2766692012987564</c:v>
                      </c:pt>
                      <c:pt idx="77" formatCode="0">
                        <c:v>5.2766692012987564</c:v>
                      </c:pt>
                      <c:pt idx="78" formatCode="0">
                        <c:v>6.3320030415585071</c:v>
                      </c:pt>
                    </c:numCache>
                  </c:numRef>
                </c:val>
                <c:smooth val="0"/>
                <c:extLst xmlns:c15="http://schemas.microsoft.com/office/drawing/2012/chart">
                  <c:ext xmlns:c16="http://schemas.microsoft.com/office/drawing/2014/chart" uri="{C3380CC4-5D6E-409C-BE32-E72D297353CC}">
                    <c16:uniqueId val="{00000030-DE8D-488D-855A-43F38F7C7045}"/>
                  </c:ext>
                </c:extLst>
              </c15:ser>
            </c15:filteredLineSeries>
            <c15:filteredLineSeries>
              <c15:ser>
                <c:idx val="36"/>
                <c:order val="36"/>
                <c:tx>
                  <c:strRef>
                    <c:extLst xmlns:c15="http://schemas.microsoft.com/office/drawing/2012/chart">
                      <c:ext xmlns:c15="http://schemas.microsoft.com/office/drawing/2012/chart" uri="{02D57815-91ED-43cb-92C2-25804820EDAC}">
                        <c15:formulaRef>
                          <c15:sqref>'Table for graphs '!$A$38</c15:sqref>
                        </c15:formulaRef>
                      </c:ext>
                    </c:extLst>
                    <c:strCache>
                      <c:ptCount val="1"/>
                      <c:pt idx="0">
                        <c:v>Head and neck - Trajectory Total</c:v>
                      </c:pt>
                    </c:strCache>
                  </c:strRef>
                </c:tx>
                <c:spPr>
                  <a:ln w="28575" cap="rnd">
                    <a:solidFill>
                      <a:schemeClr val="accent5">
                        <a:shade val="8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'!$B$38:$CB$38</c15:sqref>
                        </c15:formulaRef>
                      </c:ext>
                    </c:extLst>
                    <c:numCache>
                      <c:formatCode>General</c:formatCode>
                      <c:ptCount val="79"/>
                      <c:pt idx="19" formatCode="0">
                        <c:v>29</c:v>
                      </c:pt>
                      <c:pt idx="20" formatCode="0">
                        <c:v>26</c:v>
                      </c:pt>
                      <c:pt idx="21" formatCode="0">
                        <c:v>25.950000000000003</c:v>
                      </c:pt>
                      <c:pt idx="22" formatCode="0">
                        <c:v>21.247500000000002</c:v>
                      </c:pt>
                      <c:pt idx="23" formatCode="0">
                        <c:v>18.970124999999999</c:v>
                      </c:pt>
                      <c:pt idx="24" formatCode="0">
                        <c:v>18.021618750000002</c:v>
                      </c:pt>
                      <c:pt idx="25" formatCode="0">
                        <c:v>16.219456874999999</c:v>
                      </c:pt>
                      <c:pt idx="26" formatCode="0">
                        <c:v>15.40848403125</c:v>
                      </c:pt>
                      <c:pt idx="27" formatCode="0">
                        <c:v>16.178908232812503</c:v>
                      </c:pt>
                      <c:pt idx="28" formatCode="0">
                        <c:v>17.796799056093754</c:v>
                      </c:pt>
                      <c:pt idx="29" formatCode="0">
                        <c:v>16.906959103289065</c:v>
                      </c:pt>
                      <c:pt idx="30" formatCode="0">
                        <c:v>16.061611148124612</c:v>
                      </c:pt>
                      <c:pt idx="31" formatCode="0">
                        <c:v>16.864691705530841</c:v>
                      </c:pt>
                      <c:pt idx="32" formatCode="0">
                        <c:v>18.551160876083927</c:v>
                      </c:pt>
                      <c:pt idx="33" formatCode="0">
                        <c:v>17.62360283227973</c:v>
                      </c:pt>
                      <c:pt idx="34" formatCode="0">
                        <c:v>16.742422690665741</c:v>
                      </c:pt>
                      <c:pt idx="35" formatCode="0">
                        <c:v>17.579543825199032</c:v>
                      </c:pt>
                      <c:pt idx="36" formatCode="0">
                        <c:v>16.700566633939079</c:v>
                      </c:pt>
                      <c:pt idx="37" formatCode="0">
                        <c:v>15.865538302242125</c:v>
                      </c:pt>
                      <c:pt idx="38" formatCode="0">
                        <c:v>14.469513946361364</c:v>
                      </c:pt>
                      <c:pt idx="39" formatCode="0">
                        <c:v>13.565035248417017</c:v>
                      </c:pt>
                      <c:pt idx="40" formatCode="0">
                        <c:v>13.565035248417017</c:v>
                      </c:pt>
                      <c:pt idx="41" formatCode="0">
                        <c:v>14.243287010837868</c:v>
                      </c:pt>
                      <c:pt idx="42" formatCode="0">
                        <c:v>14.955451361379762</c:v>
                      </c:pt>
                      <c:pt idx="43" formatCode="0">
                        <c:v>14.955451361379762</c:v>
                      </c:pt>
                      <c:pt idx="44" formatCode="0">
                        <c:v>14.207678793310773</c:v>
                      </c:pt>
                      <c:pt idx="45" formatCode="0">
                        <c:v>14.918062732976312</c:v>
                      </c:pt>
                      <c:pt idx="46" formatCode="0">
                        <c:v>14.918062732976312</c:v>
                      </c:pt>
                      <c:pt idx="47" formatCode="0">
                        <c:v>15.663965869625128</c:v>
                      </c:pt>
                      <c:pt idx="48" formatCode="0">
                        <c:v>16.447164163106386</c:v>
                      </c:pt>
                      <c:pt idx="49" formatCode="0">
                        <c:v>15.624805954951066</c:v>
                      </c:pt>
                      <c:pt idx="50" formatCode="0">
                        <c:v>14.843565657203513</c:v>
                      </c:pt>
                      <c:pt idx="51" formatCode="0">
                        <c:v>14.101387374343336</c:v>
                      </c:pt>
                      <c:pt idx="52" formatCode="0">
                        <c:v>12.691248636909002</c:v>
                      </c:pt>
                      <c:pt idx="53" formatCode="0">
                        <c:v>12.056686205063553</c:v>
                      </c:pt>
                      <c:pt idx="54" formatCode="0">
                        <c:v>11.453851894810374</c:v>
                      </c:pt>
                      <c:pt idx="55" formatCode="0">
                        <c:v>10.881159300069855</c:v>
                      </c:pt>
                      <c:pt idx="56" formatCode="0">
                        <c:v>10.337101335066361</c:v>
                      </c:pt>
                      <c:pt idx="57" formatCode="0">
                        <c:v>9.4275295980064975</c:v>
                      </c:pt>
                      <c:pt idx="58" formatCode="0">
                        <c:v>9.4275295980064975</c:v>
                      </c:pt>
                      <c:pt idx="59" formatCode="0">
                        <c:v>9.4275295980064975</c:v>
                      </c:pt>
                      <c:pt idx="60" formatCode="0">
                        <c:v>9.4275295980064975</c:v>
                      </c:pt>
                      <c:pt idx="61" formatCode="0">
                        <c:v>9.4275295980064975</c:v>
                      </c:pt>
                      <c:pt idx="62" formatCode="0">
                        <c:v>9.4275295980064975</c:v>
                      </c:pt>
                      <c:pt idx="63" formatCode="0">
                        <c:v>9.4275295980064975</c:v>
                      </c:pt>
                      <c:pt idx="64" formatCode="0">
                        <c:v>9.4275295980064975</c:v>
                      </c:pt>
                      <c:pt idx="65" formatCode="0">
                        <c:v>11.313035517607796</c:v>
                      </c:pt>
                      <c:pt idx="66" formatCode="0">
                        <c:v>13.575642621129354</c:v>
                      </c:pt>
                      <c:pt idx="67" formatCode="0">
                        <c:v>12.218078359016419</c:v>
                      </c:pt>
                      <c:pt idx="68" formatCode="0">
                        <c:v>10.996270523114777</c:v>
                      </c:pt>
                      <c:pt idx="69" formatCode="0">
                        <c:v>9.8966434708032995</c:v>
                      </c:pt>
                      <c:pt idx="70" formatCode="0">
                        <c:v>9.6490439770007708</c:v>
                      </c:pt>
                      <c:pt idx="71" formatCode="0">
                        <c:v>9.5376242047896334</c:v>
                      </c:pt>
                      <c:pt idx="72" formatCode="0">
                        <c:v>9.4317754211890517</c:v>
                      </c:pt>
                      <c:pt idx="73" formatCode="0">
                        <c:v>9.4317754211890517</c:v>
                      </c:pt>
                      <c:pt idx="74" formatCode="0">
                        <c:v>9.4317754211890517</c:v>
                      </c:pt>
                      <c:pt idx="75" formatCode="0">
                        <c:v>9.2618556833912553</c:v>
                      </c:pt>
                      <c:pt idx="76" formatCode="0">
                        <c:v>9.2618556833912553</c:v>
                      </c:pt>
                      <c:pt idx="77" formatCode="0">
                        <c:v>9.2618556833912553</c:v>
                      </c:pt>
                      <c:pt idx="78" formatCode="0">
                        <c:v>10.409265209455596</c:v>
                      </c:pt>
                    </c:numCache>
                  </c:numRef>
                </c:val>
                <c:smooth val="0"/>
                <c:extLst xmlns:c15="http://schemas.microsoft.com/office/drawing/2012/chart">
                  <c:ext xmlns:c16="http://schemas.microsoft.com/office/drawing/2014/chart" uri="{C3380CC4-5D6E-409C-BE32-E72D297353CC}">
                    <c16:uniqueId val="{00000031-DE8D-488D-855A-43F38F7C7045}"/>
                  </c:ext>
                </c:extLst>
              </c15:ser>
            </c15:filteredLineSeries>
            <c15:filteredLineSeries>
              <c15:ser>
                <c:idx val="37"/>
                <c:order val="37"/>
                <c:tx>
                  <c:strRef>
                    <c:extLst xmlns:c15="http://schemas.microsoft.com/office/drawing/2012/chart">
                      <c:ext xmlns:c15="http://schemas.microsoft.com/office/drawing/2012/chart" uri="{02D57815-91ED-43cb-92C2-25804820EDAC}">
                        <c15:formulaRef>
                          <c15:sqref>'Table for graphs '!$A$39</c15:sqref>
                        </c15:formulaRef>
                      </c:ext>
                    </c:extLst>
                    <c:strCache>
                      <c:ptCount val="1"/>
                      <c:pt idx="0">
                        <c:v>Lower Gastrointestinal - Trajectory Total</c:v>
                      </c:pt>
                    </c:strCache>
                  </c:strRef>
                </c:tx>
                <c:spPr>
                  <a:ln w="28575" cap="rnd">
                    <a:solidFill>
                      <a:schemeClr val="accent5">
                        <a:shade val="8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'!$B$39:$CB$39</c15:sqref>
                        </c15:formulaRef>
                      </c:ext>
                    </c:extLst>
                    <c:numCache>
                      <c:formatCode>General</c:formatCode>
                      <c:ptCount val="79"/>
                      <c:pt idx="19" formatCode="0">
                        <c:v>89</c:v>
                      </c:pt>
                      <c:pt idx="20" formatCode="0">
                        <c:v>89</c:v>
                      </c:pt>
                      <c:pt idx="21" formatCode="0">
                        <c:v>86.34</c:v>
                      </c:pt>
                      <c:pt idx="22" formatCode="0">
                        <c:v>71.075999999999993</c:v>
                      </c:pt>
                      <c:pt idx="23" formatCode="0">
                        <c:v>67.11</c:v>
                      </c:pt>
                      <c:pt idx="24" formatCode="0">
                        <c:v>63.477767999999998</c:v>
                      </c:pt>
                      <c:pt idx="25" formatCode="0">
                        <c:v>60.147183840000004</c:v>
                      </c:pt>
                      <c:pt idx="26" formatCode="0">
                        <c:v>55.980495948000005</c:v>
                      </c:pt>
                      <c:pt idx="27" formatCode="0">
                        <c:v>58.779520745400006</c:v>
                      </c:pt>
                      <c:pt idx="28" formatCode="0">
                        <c:v>61.718496782670009</c:v>
                      </c:pt>
                      <c:pt idx="29" formatCode="0">
                        <c:v>58.632571943536504</c:v>
                      </c:pt>
                      <c:pt idx="30" formatCode="0">
                        <c:v>56.873594785230409</c:v>
                      </c:pt>
                      <c:pt idx="31" formatCode="0">
                        <c:v>59.717274524491934</c:v>
                      </c:pt>
                      <c:pt idx="32" formatCode="0">
                        <c:v>65.689001976941142</c:v>
                      </c:pt>
                      <c:pt idx="33" formatCode="0">
                        <c:v>63.640612896389868</c:v>
                      </c:pt>
                      <c:pt idx="34" formatCode="0">
                        <c:v>61.266142116856955</c:v>
                      </c:pt>
                      <c:pt idx="35" formatCode="0">
                        <c:v>64.329449222699807</c:v>
                      </c:pt>
                      <c:pt idx="36" formatCode="0">
                        <c:v>61.112976761564816</c:v>
                      </c:pt>
                      <c:pt idx="37" formatCode="0">
                        <c:v>58.718655121351517</c:v>
                      </c:pt>
                      <c:pt idx="38" formatCode="0">
                        <c:v>55.782722365283945</c:v>
                      </c:pt>
                      <c:pt idx="39" formatCode="0">
                        <c:v>52.993586247019742</c:v>
                      </c:pt>
                      <c:pt idx="40" formatCode="0">
                        <c:v>50.343906934668752</c:v>
                      </c:pt>
                      <c:pt idx="41" formatCode="0">
                        <c:v>52.861102281402196</c:v>
                      </c:pt>
                      <c:pt idx="42" formatCode="0">
                        <c:v>55.504157395472305</c:v>
                      </c:pt>
                      <c:pt idx="43" formatCode="0">
                        <c:v>58.279365265245929</c:v>
                      </c:pt>
                      <c:pt idx="44" formatCode="0">
                        <c:v>54.293310267376924</c:v>
                      </c:pt>
                      <c:pt idx="45" formatCode="0">
                        <c:v>57.007975780745767</c:v>
                      </c:pt>
                      <c:pt idx="46" formatCode="0">
                        <c:v>56.437896022938311</c:v>
                      </c:pt>
                      <c:pt idx="47" formatCode="0">
                        <c:v>57.566653943397071</c:v>
                      </c:pt>
                      <c:pt idx="48" formatCode="0">
                        <c:v>60.444986640566931</c:v>
                      </c:pt>
                      <c:pt idx="49" formatCode="0">
                        <c:v>56.348534221113425</c:v>
                      </c:pt>
                      <c:pt idx="50" formatCode="0">
                        <c:v>58.585891264959507</c:v>
                      </c:pt>
                      <c:pt idx="51" formatCode="0">
                        <c:v>55.656596701711536</c:v>
                      </c:pt>
                      <c:pt idx="52" formatCode="0">
                        <c:v>52.873766866625949</c:v>
                      </c:pt>
                      <c:pt idx="53" formatCode="0">
                        <c:v>48.476362066879666</c:v>
                      </c:pt>
                      <c:pt idx="54" formatCode="0">
                        <c:v>46.898017256106172</c:v>
                      </c:pt>
                      <c:pt idx="55" formatCode="0">
                        <c:v>44.553116393300868</c:v>
                      </c:pt>
                      <c:pt idx="56" formatCode="0">
                        <c:v>42.325460573635823</c:v>
                      </c:pt>
                      <c:pt idx="57" formatCode="0">
                        <c:v>40.972227191498902</c:v>
                      </c:pt>
                      <c:pt idx="58" formatCode="0">
                        <c:v>40.972227191498902</c:v>
                      </c:pt>
                      <c:pt idx="59" formatCode="0">
                        <c:v>40.972227191498902</c:v>
                      </c:pt>
                      <c:pt idx="60" formatCode="0">
                        <c:v>39.686655478468822</c:v>
                      </c:pt>
                      <c:pt idx="61" formatCode="0">
                        <c:v>41.670988252392263</c:v>
                      </c:pt>
                      <c:pt idx="62" formatCode="0">
                        <c:v>41.189822097516881</c:v>
                      </c:pt>
                      <c:pt idx="63" formatCode="0">
                        <c:v>41.189822097516881</c:v>
                      </c:pt>
                      <c:pt idx="64" formatCode="0">
                        <c:v>44.090564412708453</c:v>
                      </c:pt>
                      <c:pt idx="65" formatCode="0">
                        <c:v>46.295092633343877</c:v>
                      </c:pt>
                      <c:pt idx="66" formatCode="0">
                        <c:v>43.008692853762028</c:v>
                      </c:pt>
                      <c:pt idx="67" formatCode="0">
                        <c:v>40.858258211073917</c:v>
                      </c:pt>
                      <c:pt idx="68" formatCode="0">
                        <c:v>40.858258211073917</c:v>
                      </c:pt>
                      <c:pt idx="69" formatCode="0">
                        <c:v>41.689014812540954</c:v>
                      </c:pt>
                      <c:pt idx="70" formatCode="0">
                        <c:v>41.689014812540954</c:v>
                      </c:pt>
                      <c:pt idx="71" formatCode="0">
                        <c:v>41.689014812540954</c:v>
                      </c:pt>
                      <c:pt idx="72" formatCode="0">
                        <c:v>41.204152288906286</c:v>
                      </c:pt>
                      <c:pt idx="73" formatCode="0">
                        <c:v>41.51977104027084</c:v>
                      </c:pt>
                      <c:pt idx="74" formatCode="0">
                        <c:v>41.51977104027084</c:v>
                      </c:pt>
                      <c:pt idx="75" formatCode="0">
                        <c:v>38.615102778293931</c:v>
                      </c:pt>
                      <c:pt idx="76" formatCode="0">
                        <c:v>39.800046178241601</c:v>
                      </c:pt>
                      <c:pt idx="77" formatCode="0">
                        <c:v>39.800046178241601</c:v>
                      </c:pt>
                      <c:pt idx="78" formatCode="0">
                        <c:v>43.780050796065765</c:v>
                      </c:pt>
                    </c:numCache>
                  </c:numRef>
                </c:val>
                <c:smooth val="0"/>
                <c:extLst xmlns:c15="http://schemas.microsoft.com/office/drawing/2012/chart">
                  <c:ext xmlns:c16="http://schemas.microsoft.com/office/drawing/2014/chart" uri="{C3380CC4-5D6E-409C-BE32-E72D297353CC}">
                    <c16:uniqueId val="{00000032-DE8D-488D-855A-43F38F7C7045}"/>
                  </c:ext>
                </c:extLst>
              </c15:ser>
            </c15:filteredLineSeries>
            <c15:filteredLineSeries>
              <c15:ser>
                <c:idx val="38"/>
                <c:order val="38"/>
                <c:tx>
                  <c:strRef>
                    <c:extLst xmlns:c15="http://schemas.microsoft.com/office/drawing/2012/chart">
                      <c:ext xmlns:c15="http://schemas.microsoft.com/office/drawing/2012/chart" uri="{02D57815-91ED-43cb-92C2-25804820EDAC}">
                        <c15:formulaRef>
                          <c15:sqref>'Table for graphs '!$A$40</c15:sqref>
                        </c15:formulaRef>
                      </c:ext>
                    </c:extLst>
                    <c:strCache>
                      <c:ptCount val="1"/>
                      <c:pt idx="0">
                        <c:v>Lung - Trajectory Total</c:v>
                      </c:pt>
                    </c:strCache>
                  </c:strRef>
                </c:tx>
                <c:spPr>
                  <a:ln w="28575" cap="rnd">
                    <a:solidFill>
                      <a:schemeClr val="accent5">
                        <a:shade val="8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'!$B$40:$CB$40</c15:sqref>
                        </c15:formulaRef>
                      </c:ext>
                    </c:extLst>
                    <c:numCache>
                      <c:formatCode>General</c:formatCode>
                      <c:ptCount val="79"/>
                      <c:pt idx="19" formatCode="0">
                        <c:v>26</c:v>
                      </c:pt>
                      <c:pt idx="20" formatCode="0">
                        <c:v>23</c:v>
                      </c:pt>
                      <c:pt idx="21" formatCode="0">
                        <c:v>19.2</c:v>
                      </c:pt>
                      <c:pt idx="22" formatCode="0">
                        <c:v>18.600000000000001</c:v>
                      </c:pt>
                      <c:pt idx="23" formatCode="0">
                        <c:v>19.53</c:v>
                      </c:pt>
                      <c:pt idx="24" formatCode="0">
                        <c:v>18.5535</c:v>
                      </c:pt>
                      <c:pt idx="25" formatCode="0">
                        <c:v>18.798884999999999</c:v>
                      </c:pt>
                      <c:pt idx="26" formatCode="0">
                        <c:v>18.798884999999999</c:v>
                      </c:pt>
                      <c:pt idx="27" formatCode="0">
                        <c:v>20.354685750000002</c:v>
                      </c:pt>
                      <c:pt idx="28" formatCode="0">
                        <c:v>21.712712175000004</c:v>
                      </c:pt>
                      <c:pt idx="29" formatCode="0">
                        <c:v>20.62707656625</c:v>
                      </c:pt>
                      <c:pt idx="30" formatCode="0">
                        <c:v>20.62707656625</c:v>
                      </c:pt>
                      <c:pt idx="31" formatCode="0">
                        <c:v>21.658430394562501</c:v>
                      </c:pt>
                      <c:pt idx="32" formatCode="0">
                        <c:v>23.450887886146877</c:v>
                      </c:pt>
                      <c:pt idx="33" formatCode="0">
                        <c:v>22.278343491839532</c:v>
                      </c:pt>
                      <c:pt idx="34" formatCode="0">
                        <c:v>21.164426317247553</c:v>
                      </c:pt>
                      <c:pt idx="35" formatCode="0">
                        <c:v>22.222647633109933</c:v>
                      </c:pt>
                      <c:pt idx="36" formatCode="0">
                        <c:v>23.333780014765431</c:v>
                      </c:pt>
                      <c:pt idx="37" formatCode="0">
                        <c:v>22.557188015508956</c:v>
                      </c:pt>
                      <c:pt idx="38" formatCode="0">
                        <c:v>21.819425616215309</c:v>
                      </c:pt>
                      <c:pt idx="39" formatCode="0">
                        <c:v>20.338357333922744</c:v>
                      </c:pt>
                      <c:pt idx="40" formatCode="0">
                        <c:v>18.655608901864088</c:v>
                      </c:pt>
                      <c:pt idx="41" formatCode="0">
                        <c:v>19.588389346957293</c:v>
                      </c:pt>
                      <c:pt idx="42" formatCode="0">
                        <c:v>20.846809115492452</c:v>
                      </c:pt>
                      <c:pt idx="43" formatCode="0">
                        <c:v>21.889149571267076</c:v>
                      </c:pt>
                      <c:pt idx="44" formatCode="0">
                        <c:v>20.067954676374669</c:v>
                      </c:pt>
                      <c:pt idx="45" formatCode="0">
                        <c:v>20.766622794619838</c:v>
                      </c:pt>
                      <c:pt idx="46" formatCode="0">
                        <c:v>20.766622794619838</c:v>
                      </c:pt>
                      <c:pt idx="47" formatCode="0">
                        <c:v>20.496826584958534</c:v>
                      </c:pt>
                      <c:pt idx="48" formatCode="0">
                        <c:v>21.521667914206461</c:v>
                      </c:pt>
                      <c:pt idx="49" formatCode="0">
                        <c:v>19.793156002986727</c:v>
                      </c:pt>
                      <c:pt idx="50" formatCode="0">
                        <c:v>19.021256811260663</c:v>
                      </c:pt>
                      <c:pt idx="51" formatCode="0">
                        <c:v>18.386918359135834</c:v>
                      </c:pt>
                      <c:pt idx="52" formatCode="0">
                        <c:v>17.879403113673547</c:v>
                      </c:pt>
                      <c:pt idx="53" formatCode="0">
                        <c:v>17.879403113673547</c:v>
                      </c:pt>
                      <c:pt idx="54" formatCode="0">
                        <c:v>17.451344764647825</c:v>
                      </c:pt>
                      <c:pt idx="55" formatCode="0">
                        <c:v>14.545500368543248</c:v>
                      </c:pt>
                      <c:pt idx="56" formatCode="0">
                        <c:v>14.102884152218191</c:v>
                      </c:pt>
                      <c:pt idx="57" formatCode="0">
                        <c:v>13.682398746709389</c:v>
                      </c:pt>
                      <c:pt idx="58" formatCode="0">
                        <c:v>13.282937611476024</c:v>
                      </c:pt>
                      <c:pt idx="59" formatCode="0">
                        <c:v>12.903449533004327</c:v>
                      </c:pt>
                      <c:pt idx="60" formatCode="0">
                        <c:v>12.125327999144016</c:v>
                      </c:pt>
                      <c:pt idx="61" formatCode="0">
                        <c:v>12.125327999144016</c:v>
                      </c:pt>
                      <c:pt idx="62" formatCode="0">
                        <c:v>12.125327999144016</c:v>
                      </c:pt>
                      <c:pt idx="63" formatCode="0">
                        <c:v>12.125327999144016</c:v>
                      </c:pt>
                      <c:pt idx="64" formatCode="0">
                        <c:v>13.337860799058419</c:v>
                      </c:pt>
                      <c:pt idx="65" formatCode="0">
                        <c:v>15.172646370663967</c:v>
                      </c:pt>
                      <c:pt idx="66" formatCode="0">
                        <c:v>17.291110397770012</c:v>
                      </c:pt>
                      <c:pt idx="67" formatCode="0">
                        <c:v>16.426554877881511</c:v>
                      </c:pt>
                      <c:pt idx="68" formatCode="0">
                        <c:v>15.741187573236314</c:v>
                      </c:pt>
                      <c:pt idx="69" formatCode="0">
                        <c:v>15.124356999055635</c:v>
                      </c:pt>
                      <c:pt idx="70" formatCode="0">
                        <c:v>14.645712907484157</c:v>
                      </c:pt>
                      <c:pt idx="71" formatCode="0">
                        <c:v>13.736289133498353</c:v>
                      </c:pt>
                      <c:pt idx="72" formatCode="0">
                        <c:v>13.327048435204739</c:v>
                      </c:pt>
                      <c:pt idx="73" formatCode="0">
                        <c:v>13.049474676823433</c:v>
                      </c:pt>
                      <c:pt idx="74" formatCode="0">
                        <c:v>12.785779606361194</c:v>
                      </c:pt>
                      <c:pt idx="75" formatCode="0">
                        <c:v>12.397000942982261</c:v>
                      </c:pt>
                      <c:pt idx="76" formatCode="0">
                        <c:v>12.146490626043132</c:v>
                      </c:pt>
                      <c:pt idx="77" formatCode="0">
                        <c:v>11.67052102385879</c:v>
                      </c:pt>
                      <c:pt idx="78" formatCode="0">
                        <c:v>12.25404707505173</c:v>
                      </c:pt>
                    </c:numCache>
                  </c:numRef>
                </c:val>
                <c:smooth val="0"/>
                <c:extLst xmlns:c15="http://schemas.microsoft.com/office/drawing/2012/chart">
                  <c:ext xmlns:c16="http://schemas.microsoft.com/office/drawing/2014/chart" uri="{C3380CC4-5D6E-409C-BE32-E72D297353CC}">
                    <c16:uniqueId val="{00000033-DE8D-488D-855A-43F38F7C7045}"/>
                  </c:ext>
                </c:extLst>
              </c15:ser>
            </c15:filteredLineSeries>
            <c15:filteredLineSeries>
              <c15:ser>
                <c:idx val="39"/>
                <c:order val="39"/>
                <c:tx>
                  <c:strRef>
                    <c:extLst xmlns:c15="http://schemas.microsoft.com/office/drawing/2012/chart">
                      <c:ext xmlns:c15="http://schemas.microsoft.com/office/drawing/2012/chart" uri="{02D57815-91ED-43cb-92C2-25804820EDAC}">
                        <c15:formulaRef>
                          <c15:sqref>'Table for graphs '!$A$41</c15:sqref>
                        </c15:formulaRef>
                      </c:ext>
                    </c:extLst>
                    <c:strCache>
                      <c:ptCount val="1"/>
                      <c:pt idx="0">
                        <c:v>Other - Trajectory Total</c:v>
                      </c:pt>
                    </c:strCache>
                  </c:strRef>
                </c:tx>
                <c:spPr>
                  <a:ln w="28575" cap="rnd">
                    <a:solidFill>
                      <a:schemeClr val="accent5">
                        <a:shade val="8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'!$B$41:$CB$41</c15:sqref>
                        </c15:formulaRef>
                      </c:ext>
                    </c:extLst>
                    <c:numCache>
                      <c:formatCode>General</c:formatCode>
                      <c:ptCount val="79"/>
                      <c:pt idx="19" formatCode="0">
                        <c:v>12</c:v>
                      </c:pt>
                      <c:pt idx="20" formatCode="0">
                        <c:v>10</c:v>
                      </c:pt>
                      <c:pt idx="21" formatCode="0">
                        <c:v>12</c:v>
                      </c:pt>
                      <c:pt idx="22" formatCode="0">
                        <c:v>8</c:v>
                      </c:pt>
                      <c:pt idx="23" formatCode="0">
                        <c:v>10</c:v>
                      </c:pt>
                      <c:pt idx="24" formatCode="0">
                        <c:v>13</c:v>
                      </c:pt>
                      <c:pt idx="25" formatCode="0">
                        <c:v>9</c:v>
                      </c:pt>
                      <c:pt idx="26" formatCode="0">
                        <c:v>9</c:v>
                      </c:pt>
                      <c:pt idx="27" formatCode="0">
                        <c:v>12</c:v>
                      </c:pt>
                      <c:pt idx="28" formatCode="0">
                        <c:v>15</c:v>
                      </c:pt>
                      <c:pt idx="29" formatCode="0">
                        <c:v>12</c:v>
                      </c:pt>
                      <c:pt idx="30" formatCode="0">
                        <c:v>12</c:v>
                      </c:pt>
                      <c:pt idx="31" formatCode="0">
                        <c:v>9</c:v>
                      </c:pt>
                      <c:pt idx="32" formatCode="0">
                        <c:v>10</c:v>
                      </c:pt>
                      <c:pt idx="33" formatCode="0">
                        <c:v>10</c:v>
                      </c:pt>
                      <c:pt idx="34" formatCode="0">
                        <c:v>8</c:v>
                      </c:pt>
                      <c:pt idx="35" formatCode="0">
                        <c:v>9</c:v>
                      </c:pt>
                      <c:pt idx="36" formatCode="0">
                        <c:v>9</c:v>
                      </c:pt>
                      <c:pt idx="37" formatCode="0">
                        <c:v>8</c:v>
                      </c:pt>
                      <c:pt idx="38" formatCode="0">
                        <c:v>8</c:v>
                      </c:pt>
                      <c:pt idx="39" formatCode="0">
                        <c:v>8</c:v>
                      </c:pt>
                      <c:pt idx="40" formatCode="0">
                        <c:v>8</c:v>
                      </c:pt>
                      <c:pt idx="41" formatCode="0">
                        <c:v>9</c:v>
                      </c:pt>
                      <c:pt idx="42" formatCode="0">
                        <c:v>10</c:v>
                      </c:pt>
                      <c:pt idx="43" formatCode="0">
                        <c:v>10</c:v>
                      </c:pt>
                      <c:pt idx="44" formatCode="0">
                        <c:v>10</c:v>
                      </c:pt>
                      <c:pt idx="45" formatCode="0">
                        <c:v>11</c:v>
                      </c:pt>
                      <c:pt idx="46" formatCode="0">
                        <c:v>11</c:v>
                      </c:pt>
                      <c:pt idx="47" formatCode="0">
                        <c:v>12</c:v>
                      </c:pt>
                      <c:pt idx="48" formatCode="0">
                        <c:v>11</c:v>
                      </c:pt>
                      <c:pt idx="49" formatCode="0">
                        <c:v>11</c:v>
                      </c:pt>
                      <c:pt idx="50" formatCode="0">
                        <c:v>12</c:v>
                      </c:pt>
                      <c:pt idx="51" formatCode="0">
                        <c:v>11</c:v>
                      </c:pt>
                      <c:pt idx="52" formatCode="0">
                        <c:v>11</c:v>
                      </c:pt>
                      <c:pt idx="53" formatCode="0">
                        <c:v>11</c:v>
                      </c:pt>
                      <c:pt idx="54" formatCode="0">
                        <c:v>10</c:v>
                      </c:pt>
                      <c:pt idx="55" formatCode="0">
                        <c:v>9</c:v>
                      </c:pt>
                      <c:pt idx="56" formatCode="0">
                        <c:v>8</c:v>
                      </c:pt>
                      <c:pt idx="57" formatCode="0">
                        <c:v>8</c:v>
                      </c:pt>
                      <c:pt idx="58" formatCode="0">
                        <c:v>8</c:v>
                      </c:pt>
                      <c:pt idx="59" formatCode="0">
                        <c:v>7</c:v>
                      </c:pt>
                      <c:pt idx="60" formatCode="0">
                        <c:v>7</c:v>
                      </c:pt>
                      <c:pt idx="61" formatCode="0">
                        <c:v>6</c:v>
                      </c:pt>
                      <c:pt idx="62" formatCode="0">
                        <c:v>6</c:v>
                      </c:pt>
                      <c:pt idx="63" formatCode="0">
                        <c:v>7</c:v>
                      </c:pt>
                      <c:pt idx="64" formatCode="0">
                        <c:v>8</c:v>
                      </c:pt>
                      <c:pt idx="65" formatCode="0">
                        <c:v>9</c:v>
                      </c:pt>
                      <c:pt idx="66" formatCode="0">
                        <c:v>10</c:v>
                      </c:pt>
                      <c:pt idx="67" formatCode="0">
                        <c:v>9</c:v>
                      </c:pt>
                      <c:pt idx="68" formatCode="0">
                        <c:v>8</c:v>
                      </c:pt>
                      <c:pt idx="69" formatCode="0">
                        <c:v>8</c:v>
                      </c:pt>
                      <c:pt idx="70" formatCode="0">
                        <c:v>7</c:v>
                      </c:pt>
                      <c:pt idx="71" formatCode="0">
                        <c:v>6</c:v>
                      </c:pt>
                      <c:pt idx="72" formatCode="0">
                        <c:v>6</c:v>
                      </c:pt>
                      <c:pt idx="73" formatCode="0">
                        <c:v>6</c:v>
                      </c:pt>
                      <c:pt idx="74" formatCode="0">
                        <c:v>6</c:v>
                      </c:pt>
                      <c:pt idx="75" formatCode="0">
                        <c:v>5</c:v>
                      </c:pt>
                      <c:pt idx="76" formatCode="0">
                        <c:v>5</c:v>
                      </c:pt>
                      <c:pt idx="77" formatCode="0">
                        <c:v>5</c:v>
                      </c:pt>
                      <c:pt idx="78" formatCode="0">
                        <c:v>6</c:v>
                      </c:pt>
                    </c:numCache>
                  </c:numRef>
                </c:val>
                <c:smooth val="0"/>
                <c:extLst xmlns:c15="http://schemas.microsoft.com/office/drawing/2012/chart">
                  <c:ext xmlns:c16="http://schemas.microsoft.com/office/drawing/2014/chart" uri="{C3380CC4-5D6E-409C-BE32-E72D297353CC}">
                    <c16:uniqueId val="{00000034-DE8D-488D-855A-43F38F7C7045}"/>
                  </c:ext>
                </c:extLst>
              </c15:ser>
            </c15:filteredLineSeries>
            <c15:filteredLineSeries>
              <c15:ser>
                <c:idx val="40"/>
                <c:order val="40"/>
                <c:tx>
                  <c:strRef>
                    <c:extLst xmlns:c15="http://schemas.microsoft.com/office/drawing/2012/chart">
                      <c:ext xmlns:c15="http://schemas.microsoft.com/office/drawing/2012/chart" uri="{02D57815-91ED-43cb-92C2-25804820EDAC}">
                        <c15:formulaRef>
                          <c15:sqref>'Table for graphs '!$A$42</c15:sqref>
                        </c15:formulaRef>
                      </c:ext>
                    </c:extLst>
                    <c:strCache>
                      <c:ptCount val="1"/>
                      <c:pt idx="0">
                        <c:v>Sarcoma - Trajectory Total</c:v>
                      </c:pt>
                    </c:strCache>
                  </c:strRef>
                </c:tx>
                <c:spPr>
                  <a:ln w="28575" cap="rnd">
                    <a:solidFill>
                      <a:schemeClr val="accent5">
                        <a:shade val="9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'!$B$42:$CB$42</c15:sqref>
                        </c15:formulaRef>
                      </c:ext>
                    </c:extLst>
                    <c:numCache>
                      <c:formatCode>General</c:formatCode>
                      <c:ptCount val="79"/>
                      <c:pt idx="19" formatCode="0">
                        <c:v>10</c:v>
                      </c:pt>
                      <c:pt idx="20" formatCode="0">
                        <c:v>9</c:v>
                      </c:pt>
                      <c:pt idx="21" formatCode="0">
                        <c:v>9</c:v>
                      </c:pt>
                      <c:pt idx="22" formatCode="0">
                        <c:v>7</c:v>
                      </c:pt>
                      <c:pt idx="23" formatCode="0">
                        <c:v>7</c:v>
                      </c:pt>
                      <c:pt idx="24" formatCode="0">
                        <c:v>7</c:v>
                      </c:pt>
                      <c:pt idx="25" formatCode="0">
                        <c:v>6</c:v>
                      </c:pt>
                      <c:pt idx="26" formatCode="0">
                        <c:v>5</c:v>
                      </c:pt>
                      <c:pt idx="27" formatCode="0">
                        <c:v>6</c:v>
                      </c:pt>
                      <c:pt idx="28" formatCode="0">
                        <c:v>7</c:v>
                      </c:pt>
                      <c:pt idx="29" formatCode="0">
                        <c:v>6</c:v>
                      </c:pt>
                      <c:pt idx="30" formatCode="0">
                        <c:v>6</c:v>
                      </c:pt>
                      <c:pt idx="31" formatCode="0">
                        <c:v>7</c:v>
                      </c:pt>
                      <c:pt idx="32" formatCode="0">
                        <c:v>8</c:v>
                      </c:pt>
                      <c:pt idx="33" formatCode="0">
                        <c:v>8</c:v>
                      </c:pt>
                      <c:pt idx="34" formatCode="0">
                        <c:v>7</c:v>
                      </c:pt>
                      <c:pt idx="35" formatCode="0">
                        <c:v>8</c:v>
                      </c:pt>
                      <c:pt idx="36" formatCode="0">
                        <c:v>8</c:v>
                      </c:pt>
                      <c:pt idx="37" formatCode="0">
                        <c:v>7</c:v>
                      </c:pt>
                      <c:pt idx="38" formatCode="0">
                        <c:v>6</c:v>
                      </c:pt>
                      <c:pt idx="39" formatCode="0">
                        <c:v>5</c:v>
                      </c:pt>
                      <c:pt idx="40" formatCode="0">
                        <c:v>5</c:v>
                      </c:pt>
                      <c:pt idx="41" formatCode="0">
                        <c:v>6</c:v>
                      </c:pt>
                      <c:pt idx="42" formatCode="0">
                        <c:v>7</c:v>
                      </c:pt>
                      <c:pt idx="43" formatCode="0">
                        <c:v>8</c:v>
                      </c:pt>
                      <c:pt idx="44" formatCode="0">
                        <c:v>7</c:v>
                      </c:pt>
                      <c:pt idx="45" formatCode="0">
                        <c:v>8</c:v>
                      </c:pt>
                      <c:pt idx="46" formatCode="0">
                        <c:v>8</c:v>
                      </c:pt>
                      <c:pt idx="47" formatCode="0">
                        <c:v>9</c:v>
                      </c:pt>
                      <c:pt idx="48" formatCode="0">
                        <c:v>9</c:v>
                      </c:pt>
                      <c:pt idx="49" formatCode="0">
                        <c:v>9</c:v>
                      </c:pt>
                      <c:pt idx="50" formatCode="0">
                        <c:v>10</c:v>
                      </c:pt>
                      <c:pt idx="51" formatCode="0">
                        <c:v>9</c:v>
                      </c:pt>
                      <c:pt idx="52" formatCode="0">
                        <c:v>9</c:v>
                      </c:pt>
                      <c:pt idx="53" formatCode="0">
                        <c:v>9</c:v>
                      </c:pt>
                      <c:pt idx="54" formatCode="0">
                        <c:v>9</c:v>
                      </c:pt>
                      <c:pt idx="55" formatCode="0">
                        <c:v>7</c:v>
                      </c:pt>
                      <c:pt idx="56" formatCode="0">
                        <c:v>7</c:v>
                      </c:pt>
                      <c:pt idx="57" formatCode="0">
                        <c:v>7</c:v>
                      </c:pt>
                      <c:pt idx="58" formatCode="0">
                        <c:v>6</c:v>
                      </c:pt>
                      <c:pt idx="59" formatCode="0">
                        <c:v>5</c:v>
                      </c:pt>
                      <c:pt idx="60" formatCode="0">
                        <c:v>4</c:v>
                      </c:pt>
                      <c:pt idx="61" formatCode="0">
                        <c:v>4</c:v>
                      </c:pt>
                      <c:pt idx="62" formatCode="0">
                        <c:v>5</c:v>
                      </c:pt>
                      <c:pt idx="63" formatCode="0">
                        <c:v>6</c:v>
                      </c:pt>
                      <c:pt idx="64" formatCode="0">
                        <c:v>7</c:v>
                      </c:pt>
                      <c:pt idx="65" formatCode="0">
                        <c:v>9</c:v>
                      </c:pt>
                      <c:pt idx="66" formatCode="0">
                        <c:v>10</c:v>
                      </c:pt>
                      <c:pt idx="67" formatCode="0">
                        <c:v>9</c:v>
                      </c:pt>
                      <c:pt idx="68" formatCode="0">
                        <c:v>8</c:v>
                      </c:pt>
                      <c:pt idx="69" formatCode="0">
                        <c:v>9</c:v>
                      </c:pt>
                      <c:pt idx="70" formatCode="0">
                        <c:v>8</c:v>
                      </c:pt>
                      <c:pt idx="71" formatCode="0">
                        <c:v>7</c:v>
                      </c:pt>
                      <c:pt idx="72" formatCode="0">
                        <c:v>7</c:v>
                      </c:pt>
                      <c:pt idx="73" formatCode="0">
                        <c:v>6</c:v>
                      </c:pt>
                      <c:pt idx="74" formatCode="0">
                        <c:v>6</c:v>
                      </c:pt>
                      <c:pt idx="75" formatCode="0">
                        <c:v>5</c:v>
                      </c:pt>
                      <c:pt idx="76" formatCode="0">
                        <c:v>5</c:v>
                      </c:pt>
                      <c:pt idx="77" formatCode="0">
                        <c:v>6</c:v>
                      </c:pt>
                      <c:pt idx="78" formatCode="0">
                        <c:v>7</c:v>
                      </c:pt>
                    </c:numCache>
                  </c:numRef>
                </c:val>
                <c:smooth val="0"/>
                <c:extLst xmlns:c15="http://schemas.microsoft.com/office/drawing/2012/chart">
                  <c:ext xmlns:c16="http://schemas.microsoft.com/office/drawing/2014/chart" uri="{C3380CC4-5D6E-409C-BE32-E72D297353CC}">
                    <c16:uniqueId val="{00000035-DE8D-488D-855A-43F38F7C7045}"/>
                  </c:ext>
                </c:extLst>
              </c15:ser>
            </c15:filteredLineSeries>
            <c15:filteredLineSeries>
              <c15:ser>
                <c:idx val="41"/>
                <c:order val="41"/>
                <c:tx>
                  <c:strRef>
                    <c:extLst xmlns:c15="http://schemas.microsoft.com/office/drawing/2012/chart">
                      <c:ext xmlns:c15="http://schemas.microsoft.com/office/drawing/2012/chart" uri="{02D57815-91ED-43cb-92C2-25804820EDAC}">
                        <c15:formulaRef>
                          <c15:sqref>'Table for graphs '!$A$43</c15:sqref>
                        </c15:formulaRef>
                      </c:ext>
                    </c:extLst>
                    <c:strCache>
                      <c:ptCount val="1"/>
                      <c:pt idx="0">
                        <c:v>Skin - Trajectory Total</c:v>
                      </c:pt>
                    </c:strCache>
                  </c:strRef>
                </c:tx>
                <c:spPr>
                  <a:ln w="28575" cap="rnd">
                    <a:solidFill>
                      <a:schemeClr val="accent5">
                        <a:shade val="9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'!$B$43:$CB$43</c15:sqref>
                        </c15:formulaRef>
                      </c:ext>
                    </c:extLst>
                    <c:numCache>
                      <c:formatCode>General</c:formatCode>
                      <c:ptCount val="79"/>
                      <c:pt idx="19" formatCode="0">
                        <c:v>35</c:v>
                      </c:pt>
                      <c:pt idx="20" formatCode="0">
                        <c:v>34</c:v>
                      </c:pt>
                      <c:pt idx="21" formatCode="0">
                        <c:v>32</c:v>
                      </c:pt>
                      <c:pt idx="22" formatCode="0">
                        <c:v>27</c:v>
                      </c:pt>
                      <c:pt idx="23" formatCode="0">
                        <c:v>26</c:v>
                      </c:pt>
                      <c:pt idx="24" formatCode="0">
                        <c:v>24</c:v>
                      </c:pt>
                      <c:pt idx="25" formatCode="0">
                        <c:v>23</c:v>
                      </c:pt>
                      <c:pt idx="26" formatCode="0">
                        <c:v>22</c:v>
                      </c:pt>
                      <c:pt idx="27" formatCode="0">
                        <c:v>26</c:v>
                      </c:pt>
                      <c:pt idx="28" formatCode="0">
                        <c:v>30</c:v>
                      </c:pt>
                      <c:pt idx="29" formatCode="0">
                        <c:v>28</c:v>
                      </c:pt>
                      <c:pt idx="30" formatCode="0">
                        <c:v>27</c:v>
                      </c:pt>
                      <c:pt idx="31" formatCode="0">
                        <c:v>26</c:v>
                      </c:pt>
                      <c:pt idx="32" formatCode="0">
                        <c:v>27</c:v>
                      </c:pt>
                      <c:pt idx="33" formatCode="0">
                        <c:v>26</c:v>
                      </c:pt>
                      <c:pt idx="34" formatCode="0">
                        <c:v>24</c:v>
                      </c:pt>
                      <c:pt idx="35" formatCode="0">
                        <c:v>25</c:v>
                      </c:pt>
                      <c:pt idx="36" formatCode="0">
                        <c:v>24</c:v>
                      </c:pt>
                      <c:pt idx="37" formatCode="0">
                        <c:v>21</c:v>
                      </c:pt>
                      <c:pt idx="38" formatCode="0">
                        <c:v>20</c:v>
                      </c:pt>
                      <c:pt idx="39" formatCode="0">
                        <c:v>19</c:v>
                      </c:pt>
                      <c:pt idx="40" formatCode="0">
                        <c:v>19</c:v>
                      </c:pt>
                      <c:pt idx="41" formatCode="0">
                        <c:v>20</c:v>
                      </c:pt>
                      <c:pt idx="42" formatCode="0">
                        <c:v>21</c:v>
                      </c:pt>
                      <c:pt idx="43" formatCode="0">
                        <c:v>22</c:v>
                      </c:pt>
                      <c:pt idx="44" formatCode="0">
                        <c:v>21</c:v>
                      </c:pt>
                      <c:pt idx="45" formatCode="0">
                        <c:v>23</c:v>
                      </c:pt>
                      <c:pt idx="46" formatCode="0">
                        <c:v>22</c:v>
                      </c:pt>
                      <c:pt idx="47" formatCode="0">
                        <c:v>21</c:v>
                      </c:pt>
                      <c:pt idx="48" formatCode="0">
                        <c:v>18</c:v>
                      </c:pt>
                      <c:pt idx="49" formatCode="0">
                        <c:v>16</c:v>
                      </c:pt>
                      <c:pt idx="50" formatCode="0">
                        <c:v>17</c:v>
                      </c:pt>
                      <c:pt idx="51" formatCode="0">
                        <c:v>16</c:v>
                      </c:pt>
                      <c:pt idx="52" formatCode="0">
                        <c:v>15</c:v>
                      </c:pt>
                      <c:pt idx="53" formatCode="0">
                        <c:v>15</c:v>
                      </c:pt>
                      <c:pt idx="54" formatCode="0">
                        <c:v>14</c:v>
                      </c:pt>
                      <c:pt idx="55" formatCode="0">
                        <c:v>13</c:v>
                      </c:pt>
                      <c:pt idx="56" formatCode="0">
                        <c:v>13</c:v>
                      </c:pt>
                      <c:pt idx="57" formatCode="0">
                        <c:v>13</c:v>
                      </c:pt>
                      <c:pt idx="58" formatCode="0">
                        <c:v>12</c:v>
                      </c:pt>
                      <c:pt idx="59" formatCode="0">
                        <c:v>11</c:v>
                      </c:pt>
                      <c:pt idx="60" formatCode="0">
                        <c:v>11</c:v>
                      </c:pt>
                      <c:pt idx="61" formatCode="0">
                        <c:v>10</c:v>
                      </c:pt>
                      <c:pt idx="62" formatCode="0">
                        <c:v>10</c:v>
                      </c:pt>
                      <c:pt idx="63" formatCode="0">
                        <c:v>11</c:v>
                      </c:pt>
                      <c:pt idx="64" formatCode="0">
                        <c:v>12</c:v>
                      </c:pt>
                      <c:pt idx="65" formatCode="0">
                        <c:v>13</c:v>
                      </c:pt>
                      <c:pt idx="66" formatCode="0">
                        <c:v>15</c:v>
                      </c:pt>
                      <c:pt idx="67" formatCode="0">
                        <c:v>12</c:v>
                      </c:pt>
                      <c:pt idx="68" formatCode="0">
                        <c:v>11</c:v>
                      </c:pt>
                      <c:pt idx="69" formatCode="0">
                        <c:v>10</c:v>
                      </c:pt>
                      <c:pt idx="70" formatCode="0">
                        <c:v>10</c:v>
                      </c:pt>
                      <c:pt idx="71" formatCode="0">
                        <c:v>10</c:v>
                      </c:pt>
                      <c:pt idx="72" formatCode="0">
                        <c:v>10</c:v>
                      </c:pt>
                      <c:pt idx="73" formatCode="0">
                        <c:v>10</c:v>
                      </c:pt>
                      <c:pt idx="74" formatCode="0">
                        <c:v>10</c:v>
                      </c:pt>
                      <c:pt idx="75" formatCode="0">
                        <c:v>11</c:v>
                      </c:pt>
                      <c:pt idx="76" formatCode="0">
                        <c:v>11</c:v>
                      </c:pt>
                      <c:pt idx="77" formatCode="0">
                        <c:v>11</c:v>
                      </c:pt>
                      <c:pt idx="78" formatCode="0">
                        <c:v>12</c:v>
                      </c:pt>
                    </c:numCache>
                  </c:numRef>
                </c:val>
                <c:smooth val="0"/>
                <c:extLst xmlns:c15="http://schemas.microsoft.com/office/drawing/2012/chart">
                  <c:ext xmlns:c16="http://schemas.microsoft.com/office/drawing/2014/chart" uri="{C3380CC4-5D6E-409C-BE32-E72D297353CC}">
                    <c16:uniqueId val="{00000036-DE8D-488D-855A-43F38F7C7045}"/>
                  </c:ext>
                </c:extLst>
              </c15:ser>
            </c15:filteredLineSeries>
            <c15:filteredLineSeries>
              <c15:ser>
                <c:idx val="42"/>
                <c:order val="42"/>
                <c:tx>
                  <c:strRef>
                    <c:extLst xmlns:c15="http://schemas.microsoft.com/office/drawing/2012/chart">
                      <c:ext xmlns:c15="http://schemas.microsoft.com/office/drawing/2012/chart" uri="{02D57815-91ED-43cb-92C2-25804820EDAC}">
                        <c15:formulaRef>
                          <c15:sqref>'Table for graphs '!$A$44</c15:sqref>
                        </c15:formulaRef>
                      </c:ext>
                    </c:extLst>
                    <c:strCache>
                      <c:ptCount val="1"/>
                      <c:pt idx="0">
                        <c:v>Upper Gastrointestinal - Trajectory Total</c:v>
                      </c:pt>
                    </c:strCache>
                  </c:strRef>
                </c:tx>
                <c:spPr>
                  <a:ln w="28575" cap="rnd">
                    <a:solidFill>
                      <a:schemeClr val="accent5">
                        <a:shade val="9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'!$B$44:$CB$44</c15:sqref>
                        </c15:formulaRef>
                      </c:ext>
                    </c:extLst>
                    <c:numCache>
                      <c:formatCode>General</c:formatCode>
                      <c:ptCount val="79"/>
                      <c:pt idx="19" formatCode="0">
                        <c:v>46</c:v>
                      </c:pt>
                      <c:pt idx="20" formatCode="0">
                        <c:v>43</c:v>
                      </c:pt>
                      <c:pt idx="21" formatCode="0">
                        <c:v>41</c:v>
                      </c:pt>
                      <c:pt idx="22" formatCode="0">
                        <c:v>32</c:v>
                      </c:pt>
                      <c:pt idx="23" formatCode="0">
                        <c:v>30</c:v>
                      </c:pt>
                      <c:pt idx="24" formatCode="0">
                        <c:v>29</c:v>
                      </c:pt>
                      <c:pt idx="25" formatCode="0">
                        <c:v>29</c:v>
                      </c:pt>
                      <c:pt idx="26" formatCode="0">
                        <c:v>28</c:v>
                      </c:pt>
                      <c:pt idx="27" formatCode="0">
                        <c:v>30</c:v>
                      </c:pt>
                      <c:pt idx="28" formatCode="0">
                        <c:v>32</c:v>
                      </c:pt>
                      <c:pt idx="29" formatCode="0">
                        <c:v>30</c:v>
                      </c:pt>
                      <c:pt idx="30" formatCode="0">
                        <c:v>29</c:v>
                      </c:pt>
                      <c:pt idx="31" formatCode="0">
                        <c:v>28</c:v>
                      </c:pt>
                      <c:pt idx="32" formatCode="0">
                        <c:v>27</c:v>
                      </c:pt>
                      <c:pt idx="33" formatCode="0">
                        <c:v>26</c:v>
                      </c:pt>
                      <c:pt idx="34" formatCode="0">
                        <c:v>25</c:v>
                      </c:pt>
                      <c:pt idx="35" formatCode="0">
                        <c:v>27</c:v>
                      </c:pt>
                      <c:pt idx="36" formatCode="0">
                        <c:v>26</c:v>
                      </c:pt>
                      <c:pt idx="37" formatCode="0">
                        <c:v>24</c:v>
                      </c:pt>
                      <c:pt idx="38" formatCode="0">
                        <c:v>23</c:v>
                      </c:pt>
                      <c:pt idx="39" formatCode="0">
                        <c:v>22</c:v>
                      </c:pt>
                      <c:pt idx="40" formatCode="0">
                        <c:v>22</c:v>
                      </c:pt>
                      <c:pt idx="41" formatCode="0">
                        <c:v>24</c:v>
                      </c:pt>
                      <c:pt idx="42" formatCode="0">
                        <c:v>25</c:v>
                      </c:pt>
                      <c:pt idx="43" formatCode="0">
                        <c:v>24</c:v>
                      </c:pt>
                      <c:pt idx="44" formatCode="0">
                        <c:v>23</c:v>
                      </c:pt>
                      <c:pt idx="45" formatCode="0">
                        <c:v>24</c:v>
                      </c:pt>
                      <c:pt idx="46" formatCode="0">
                        <c:v>24</c:v>
                      </c:pt>
                      <c:pt idx="47" formatCode="0">
                        <c:v>25</c:v>
                      </c:pt>
                      <c:pt idx="48" formatCode="0">
                        <c:v>24</c:v>
                      </c:pt>
                      <c:pt idx="49" formatCode="0">
                        <c:v>23</c:v>
                      </c:pt>
                      <c:pt idx="50" formatCode="0">
                        <c:v>24</c:v>
                      </c:pt>
                      <c:pt idx="51" formatCode="0">
                        <c:v>24</c:v>
                      </c:pt>
                      <c:pt idx="52" formatCode="0">
                        <c:v>23</c:v>
                      </c:pt>
                      <c:pt idx="53" formatCode="0">
                        <c:v>22</c:v>
                      </c:pt>
                      <c:pt idx="54" formatCode="0">
                        <c:v>21</c:v>
                      </c:pt>
                      <c:pt idx="55" formatCode="0">
                        <c:v>19</c:v>
                      </c:pt>
                      <c:pt idx="56" formatCode="0">
                        <c:v>19</c:v>
                      </c:pt>
                      <c:pt idx="57" formatCode="0">
                        <c:v>19</c:v>
                      </c:pt>
                      <c:pt idx="58" formatCode="0">
                        <c:v>18</c:v>
                      </c:pt>
                      <c:pt idx="59" formatCode="0">
                        <c:v>16</c:v>
                      </c:pt>
                      <c:pt idx="60" formatCode="0">
                        <c:v>15</c:v>
                      </c:pt>
                      <c:pt idx="61" formatCode="0">
                        <c:v>14</c:v>
                      </c:pt>
                      <c:pt idx="62" formatCode="0">
                        <c:v>13</c:v>
                      </c:pt>
                      <c:pt idx="63" formatCode="0">
                        <c:v>12</c:v>
                      </c:pt>
                      <c:pt idx="64" formatCode="0">
                        <c:v>14</c:v>
                      </c:pt>
                      <c:pt idx="65" formatCode="0">
                        <c:v>15</c:v>
                      </c:pt>
                      <c:pt idx="66" formatCode="0">
                        <c:v>14</c:v>
                      </c:pt>
                      <c:pt idx="67" formatCode="0">
                        <c:v>13</c:v>
                      </c:pt>
                      <c:pt idx="68" formatCode="0">
                        <c:v>13</c:v>
                      </c:pt>
                      <c:pt idx="69" formatCode="0">
                        <c:v>12</c:v>
                      </c:pt>
                      <c:pt idx="70" formatCode="0">
                        <c:v>11</c:v>
                      </c:pt>
                      <c:pt idx="71" formatCode="0">
                        <c:v>10</c:v>
                      </c:pt>
                      <c:pt idx="72" formatCode="0">
                        <c:v>10</c:v>
                      </c:pt>
                      <c:pt idx="73" formatCode="0">
                        <c:v>10</c:v>
                      </c:pt>
                      <c:pt idx="74" formatCode="0">
                        <c:v>10</c:v>
                      </c:pt>
                      <c:pt idx="75" formatCode="0">
                        <c:v>10</c:v>
                      </c:pt>
                      <c:pt idx="76" formatCode="0">
                        <c:v>10</c:v>
                      </c:pt>
                      <c:pt idx="77" formatCode="0">
                        <c:v>10</c:v>
                      </c:pt>
                      <c:pt idx="78" formatCode="0">
                        <c:v>11</c:v>
                      </c:pt>
                    </c:numCache>
                  </c:numRef>
                </c:val>
                <c:smooth val="0"/>
                <c:extLst xmlns:c15="http://schemas.microsoft.com/office/drawing/2012/chart">
                  <c:ext xmlns:c16="http://schemas.microsoft.com/office/drawing/2014/chart" uri="{C3380CC4-5D6E-409C-BE32-E72D297353CC}">
                    <c16:uniqueId val="{00000037-DE8D-488D-855A-43F38F7C7045}"/>
                  </c:ext>
                </c:extLst>
              </c15:ser>
            </c15:filteredLineSeries>
            <c15:filteredLineSeries>
              <c15:ser>
                <c:idx val="43"/>
                <c:order val="43"/>
                <c:tx>
                  <c:strRef>
                    <c:extLst xmlns:c15="http://schemas.microsoft.com/office/drawing/2012/chart">
                      <c:ext xmlns:c15="http://schemas.microsoft.com/office/drawing/2012/chart" uri="{02D57815-91ED-43cb-92C2-25804820EDAC}">
                        <c15:formulaRef>
                          <c15:sqref>'Table for graphs '!$A$45</c15:sqref>
                        </c15:formulaRef>
                      </c:ext>
                    </c:extLst>
                    <c:strCache>
                      <c:ptCount val="1"/>
                      <c:pt idx="0">
                        <c:v>Urological - Trajectory Total</c:v>
                      </c:pt>
                    </c:strCache>
                  </c:strRef>
                </c:tx>
                <c:spPr>
                  <a:ln w="28575" cap="rnd">
                    <a:solidFill>
                      <a:schemeClr val="accent5">
                        <a:shade val="9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'!$B$1:$CB$1</c15:sqref>
                        </c15:formulaRef>
                      </c:ext>
                    </c:extLst>
                    <c:numCache>
                      <c:formatCode>m/d/yyyy</c:formatCode>
                      <c:ptCount val="79"/>
                      <c:pt idx="0">
                        <c:v>44836</c:v>
                      </c:pt>
                      <c:pt idx="1">
                        <c:v>44843</c:v>
                      </c:pt>
                      <c:pt idx="2">
                        <c:v>44850</c:v>
                      </c:pt>
                      <c:pt idx="3">
                        <c:v>44857</c:v>
                      </c:pt>
                      <c:pt idx="4">
                        <c:v>44864</c:v>
                      </c:pt>
                      <c:pt idx="5">
                        <c:v>44871</c:v>
                      </c:pt>
                      <c:pt idx="6">
                        <c:v>44878</c:v>
                      </c:pt>
                      <c:pt idx="7">
                        <c:v>44885</c:v>
                      </c:pt>
                      <c:pt idx="8">
                        <c:v>44892</c:v>
                      </c:pt>
                      <c:pt idx="9">
                        <c:v>44899</c:v>
                      </c:pt>
                      <c:pt idx="10">
                        <c:v>44906</c:v>
                      </c:pt>
                      <c:pt idx="11">
                        <c:v>44913</c:v>
                      </c:pt>
                      <c:pt idx="12">
                        <c:v>44920</c:v>
                      </c:pt>
                      <c:pt idx="13">
                        <c:v>44927</c:v>
                      </c:pt>
                      <c:pt idx="14">
                        <c:v>44934</c:v>
                      </c:pt>
                      <c:pt idx="15">
                        <c:v>44941</c:v>
                      </c:pt>
                      <c:pt idx="16">
                        <c:v>44948</c:v>
                      </c:pt>
                      <c:pt idx="17">
                        <c:v>44955</c:v>
                      </c:pt>
                      <c:pt idx="18">
                        <c:v>44962</c:v>
                      </c:pt>
                      <c:pt idx="19">
                        <c:v>44969</c:v>
                      </c:pt>
                      <c:pt idx="20">
                        <c:v>44976</c:v>
                      </c:pt>
                      <c:pt idx="21">
                        <c:v>44983</c:v>
                      </c:pt>
                      <c:pt idx="22">
                        <c:v>44990</c:v>
                      </c:pt>
                      <c:pt idx="23">
                        <c:v>44997</c:v>
                      </c:pt>
                      <c:pt idx="24">
                        <c:v>45004</c:v>
                      </c:pt>
                      <c:pt idx="25">
                        <c:v>45011</c:v>
                      </c:pt>
                      <c:pt idx="26">
                        <c:v>45018</c:v>
                      </c:pt>
                      <c:pt idx="27">
                        <c:v>45025</c:v>
                      </c:pt>
                      <c:pt idx="28">
                        <c:v>45032</c:v>
                      </c:pt>
                      <c:pt idx="29">
                        <c:v>45039</c:v>
                      </c:pt>
                      <c:pt idx="30">
                        <c:v>45046</c:v>
                      </c:pt>
                      <c:pt idx="31">
                        <c:v>45053</c:v>
                      </c:pt>
                      <c:pt idx="32">
                        <c:v>45060</c:v>
                      </c:pt>
                      <c:pt idx="33">
                        <c:v>45067</c:v>
                      </c:pt>
                      <c:pt idx="34">
                        <c:v>45074</c:v>
                      </c:pt>
                      <c:pt idx="35">
                        <c:v>45081</c:v>
                      </c:pt>
                      <c:pt idx="36">
                        <c:v>45088</c:v>
                      </c:pt>
                      <c:pt idx="37">
                        <c:v>45095</c:v>
                      </c:pt>
                      <c:pt idx="38">
                        <c:v>45102</c:v>
                      </c:pt>
                      <c:pt idx="39">
                        <c:v>45109</c:v>
                      </c:pt>
                      <c:pt idx="40">
                        <c:v>45116</c:v>
                      </c:pt>
                      <c:pt idx="41">
                        <c:v>45123</c:v>
                      </c:pt>
                      <c:pt idx="42">
                        <c:v>45130</c:v>
                      </c:pt>
                      <c:pt idx="43">
                        <c:v>45137</c:v>
                      </c:pt>
                      <c:pt idx="44">
                        <c:v>45144</c:v>
                      </c:pt>
                      <c:pt idx="45">
                        <c:v>45151</c:v>
                      </c:pt>
                      <c:pt idx="46">
                        <c:v>45158</c:v>
                      </c:pt>
                      <c:pt idx="47">
                        <c:v>45165</c:v>
                      </c:pt>
                      <c:pt idx="48">
                        <c:v>45172</c:v>
                      </c:pt>
                      <c:pt idx="49">
                        <c:v>45179</c:v>
                      </c:pt>
                      <c:pt idx="50">
                        <c:v>45186</c:v>
                      </c:pt>
                      <c:pt idx="51">
                        <c:v>45193</c:v>
                      </c:pt>
                      <c:pt idx="52">
                        <c:v>45200</c:v>
                      </c:pt>
                      <c:pt idx="53">
                        <c:v>45207</c:v>
                      </c:pt>
                      <c:pt idx="54">
                        <c:v>45214</c:v>
                      </c:pt>
                      <c:pt idx="55">
                        <c:v>45221</c:v>
                      </c:pt>
                      <c:pt idx="56">
                        <c:v>45228</c:v>
                      </c:pt>
                      <c:pt idx="57">
                        <c:v>45235</c:v>
                      </c:pt>
                      <c:pt idx="58">
                        <c:v>45242</c:v>
                      </c:pt>
                      <c:pt idx="59">
                        <c:v>45249</c:v>
                      </c:pt>
                      <c:pt idx="60">
                        <c:v>45256</c:v>
                      </c:pt>
                      <c:pt idx="61">
                        <c:v>45263</c:v>
                      </c:pt>
                      <c:pt idx="62">
                        <c:v>45270</c:v>
                      </c:pt>
                      <c:pt idx="63">
                        <c:v>45277</c:v>
                      </c:pt>
                      <c:pt idx="64">
                        <c:v>45284</c:v>
                      </c:pt>
                      <c:pt idx="65">
                        <c:v>45291</c:v>
                      </c:pt>
                      <c:pt idx="66">
                        <c:v>45298</c:v>
                      </c:pt>
                      <c:pt idx="67">
                        <c:v>45305</c:v>
                      </c:pt>
                      <c:pt idx="68">
                        <c:v>45312</c:v>
                      </c:pt>
                      <c:pt idx="69">
                        <c:v>45319</c:v>
                      </c:pt>
                      <c:pt idx="70">
                        <c:v>45326</c:v>
                      </c:pt>
                      <c:pt idx="71">
                        <c:v>45333</c:v>
                      </c:pt>
                      <c:pt idx="72">
                        <c:v>45340</c:v>
                      </c:pt>
                      <c:pt idx="73">
                        <c:v>45347</c:v>
                      </c:pt>
                      <c:pt idx="74">
                        <c:v>45354</c:v>
                      </c:pt>
                      <c:pt idx="75">
                        <c:v>45361</c:v>
                      </c:pt>
                      <c:pt idx="76">
                        <c:v>45368</c:v>
                      </c:pt>
                      <c:pt idx="77">
                        <c:v>45375</c:v>
                      </c:pt>
                      <c:pt idx="78">
                        <c:v>45382</c:v>
                      </c:pt>
                    </c:numCache>
                  </c:numRef>
                </c:cat>
                <c:val>
                  <c:numRef>
                    <c:extLst xmlns:c15="http://schemas.microsoft.com/office/drawing/2012/chart">
                      <c:ext xmlns:c15="http://schemas.microsoft.com/office/drawing/2012/chart" uri="{02D57815-91ED-43cb-92C2-25804820EDAC}">
                        <c15:formulaRef>
                          <c15:sqref>'Table for graphs '!$B$45:$CB$45</c15:sqref>
                        </c15:formulaRef>
                      </c:ext>
                    </c:extLst>
                    <c:numCache>
                      <c:formatCode>General</c:formatCode>
                      <c:ptCount val="79"/>
                      <c:pt idx="19" formatCode="0">
                        <c:v>59</c:v>
                      </c:pt>
                      <c:pt idx="20" formatCode="0">
                        <c:v>65</c:v>
                      </c:pt>
                      <c:pt idx="21" formatCode="0">
                        <c:v>60</c:v>
                      </c:pt>
                      <c:pt idx="22" formatCode="0">
                        <c:v>55</c:v>
                      </c:pt>
                      <c:pt idx="23" formatCode="0">
                        <c:v>52</c:v>
                      </c:pt>
                      <c:pt idx="24" formatCode="0">
                        <c:v>50</c:v>
                      </c:pt>
                      <c:pt idx="25" formatCode="0">
                        <c:v>49</c:v>
                      </c:pt>
                      <c:pt idx="26" formatCode="0">
                        <c:v>48</c:v>
                      </c:pt>
                      <c:pt idx="27" formatCode="0">
                        <c:v>50</c:v>
                      </c:pt>
                      <c:pt idx="28" formatCode="0">
                        <c:v>52</c:v>
                      </c:pt>
                      <c:pt idx="29" formatCode="0">
                        <c:v>49</c:v>
                      </c:pt>
                      <c:pt idx="30" formatCode="0">
                        <c:v>48</c:v>
                      </c:pt>
                      <c:pt idx="31" formatCode="0">
                        <c:v>51</c:v>
                      </c:pt>
                      <c:pt idx="32" formatCode="0">
                        <c:v>54</c:v>
                      </c:pt>
                      <c:pt idx="33" formatCode="0">
                        <c:v>52</c:v>
                      </c:pt>
                      <c:pt idx="34" formatCode="0">
                        <c:v>50</c:v>
                      </c:pt>
                      <c:pt idx="35" formatCode="0">
                        <c:v>53</c:v>
                      </c:pt>
                      <c:pt idx="36" formatCode="0">
                        <c:v>51</c:v>
                      </c:pt>
                      <c:pt idx="37" formatCode="0">
                        <c:v>49</c:v>
                      </c:pt>
                      <c:pt idx="38" formatCode="0">
                        <c:v>47</c:v>
                      </c:pt>
                      <c:pt idx="39" formatCode="0">
                        <c:v>48</c:v>
                      </c:pt>
                      <c:pt idx="40" formatCode="0">
                        <c:v>48</c:v>
                      </c:pt>
                      <c:pt idx="41" formatCode="0">
                        <c:v>50</c:v>
                      </c:pt>
                      <c:pt idx="42" formatCode="0">
                        <c:v>51</c:v>
                      </c:pt>
                      <c:pt idx="43" formatCode="0">
                        <c:v>52</c:v>
                      </c:pt>
                      <c:pt idx="44" formatCode="0">
                        <c:v>50</c:v>
                      </c:pt>
                      <c:pt idx="45" formatCode="0">
                        <c:v>52</c:v>
                      </c:pt>
                      <c:pt idx="46" formatCode="0">
                        <c:v>52</c:v>
                      </c:pt>
                      <c:pt idx="47" formatCode="0">
                        <c:v>53</c:v>
                      </c:pt>
                      <c:pt idx="48" formatCode="0">
                        <c:v>54</c:v>
                      </c:pt>
                      <c:pt idx="49" formatCode="0">
                        <c:v>54</c:v>
                      </c:pt>
                      <c:pt idx="50" formatCode="0">
                        <c:v>55</c:v>
                      </c:pt>
                      <c:pt idx="51" formatCode="0">
                        <c:v>56</c:v>
                      </c:pt>
                      <c:pt idx="52" formatCode="0">
                        <c:v>54</c:v>
                      </c:pt>
                      <c:pt idx="53" formatCode="0">
                        <c:v>54</c:v>
                      </c:pt>
                      <c:pt idx="54" formatCode="0">
                        <c:v>53</c:v>
                      </c:pt>
                      <c:pt idx="55" formatCode="0">
                        <c:v>50</c:v>
                      </c:pt>
                      <c:pt idx="56" formatCode="0">
                        <c:v>51</c:v>
                      </c:pt>
                      <c:pt idx="57" formatCode="0">
                        <c:v>49</c:v>
                      </c:pt>
                      <c:pt idx="58" formatCode="0">
                        <c:v>47</c:v>
                      </c:pt>
                      <c:pt idx="59" formatCode="0">
                        <c:v>46</c:v>
                      </c:pt>
                      <c:pt idx="60" formatCode="0">
                        <c:v>45</c:v>
                      </c:pt>
                      <c:pt idx="61" formatCode="0">
                        <c:v>45</c:v>
                      </c:pt>
                      <c:pt idx="62" formatCode="0">
                        <c:v>45</c:v>
                      </c:pt>
                      <c:pt idx="63" formatCode="0">
                        <c:v>46</c:v>
                      </c:pt>
                      <c:pt idx="64" formatCode="0">
                        <c:v>48</c:v>
                      </c:pt>
                      <c:pt idx="65" formatCode="0">
                        <c:v>51</c:v>
                      </c:pt>
                      <c:pt idx="66" formatCode="0">
                        <c:v>50</c:v>
                      </c:pt>
                      <c:pt idx="67" formatCode="0">
                        <c:v>49</c:v>
                      </c:pt>
                      <c:pt idx="68" formatCode="0">
                        <c:v>48</c:v>
                      </c:pt>
                      <c:pt idx="69" formatCode="0">
                        <c:v>48</c:v>
                      </c:pt>
                      <c:pt idx="70" formatCode="0">
                        <c:v>48</c:v>
                      </c:pt>
                      <c:pt idx="71" formatCode="0">
                        <c:v>48</c:v>
                      </c:pt>
                      <c:pt idx="72" formatCode="0">
                        <c:v>49</c:v>
                      </c:pt>
                      <c:pt idx="73" formatCode="0">
                        <c:v>48</c:v>
                      </c:pt>
                      <c:pt idx="74" formatCode="0">
                        <c:v>47</c:v>
                      </c:pt>
                      <c:pt idx="75" formatCode="0">
                        <c:v>46</c:v>
                      </c:pt>
                      <c:pt idx="76" formatCode="0">
                        <c:v>45</c:v>
                      </c:pt>
                      <c:pt idx="77" formatCode="0">
                        <c:v>45</c:v>
                      </c:pt>
                      <c:pt idx="78" formatCode="0">
                        <c:v>50</c:v>
                      </c:pt>
                    </c:numCache>
                  </c:numRef>
                </c:val>
                <c:smooth val="0"/>
                <c:extLst xmlns:c15="http://schemas.microsoft.com/office/drawing/2012/chart">
                  <c:ext xmlns:c16="http://schemas.microsoft.com/office/drawing/2014/chart" uri="{C3380CC4-5D6E-409C-BE32-E72D297353CC}">
                    <c16:uniqueId val="{00000038-DE8D-488D-855A-43F38F7C7045}"/>
                  </c:ext>
                </c:extLst>
              </c15:ser>
            </c15:filteredLineSeries>
          </c:ext>
        </c:extLst>
      </c:lineChart>
      <c:dateAx>
        <c:axId val="54599563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crossAx val="545998543"/>
        <c:crosses val="autoZero"/>
        <c:auto val="1"/>
        <c:lblOffset val="100"/>
        <c:baseTimeUnit val="days"/>
        <c:majorUnit val="14"/>
        <c:majorTimeUnit val="days"/>
        <c:minorUnit val="7"/>
        <c:minorTimeUnit val="days"/>
      </c:dateAx>
      <c:valAx>
        <c:axId val="545998543"/>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995631"/>
        <c:crosses val="autoZero"/>
        <c:crossBetween val="between"/>
      </c:valAx>
      <c:valAx>
        <c:axId val="562657519"/>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2671663"/>
        <c:crosses val="max"/>
        <c:crossBetween val="between"/>
      </c:valAx>
      <c:dateAx>
        <c:axId val="562671663"/>
        <c:scaling>
          <c:orientation val="minMax"/>
        </c:scaling>
        <c:delete val="1"/>
        <c:axPos val="b"/>
        <c:numFmt formatCode="m/d/yyyy" sourceLinked="1"/>
        <c:majorTickMark val="out"/>
        <c:minorTickMark val="none"/>
        <c:tickLblPos val="nextTo"/>
        <c:crossAx val="562657519"/>
        <c:crosses val="autoZero"/>
        <c:auto val="1"/>
        <c:lblOffset val="100"/>
        <c:baseTimeUnit val="days"/>
      </c:dateAx>
      <c:spPr>
        <a:noFill/>
        <a:ln>
          <a:noFill/>
        </a:ln>
        <a:effectLst/>
      </c:spPr>
    </c:plotArea>
    <c:legend>
      <c:legendPos val="b"/>
      <c:layout>
        <c:manualLayout>
          <c:xMode val="edge"/>
          <c:yMode val="edge"/>
          <c:x val="2.1541857539935837E-2"/>
          <c:y val="0.92411745856870775"/>
          <c:w val="0.96211775868718619"/>
          <c:h val="7.3406672541383583E-2"/>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317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op Shadow">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12BEC4-6900-429C-A1B2-A54C45C3F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37</Pages>
  <Words>7519</Words>
  <Characters>42864</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50283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Claire Mulcahy (Swansea Bay UHB - Corporate Governance )</cp:lastModifiedBy>
  <cp:revision>8</cp:revision>
  <cp:lastPrinted>2023-11-07T09:27:00Z</cp:lastPrinted>
  <dcterms:created xsi:type="dcterms:W3CDTF">2024-03-21T07:21:00Z</dcterms:created>
  <dcterms:modified xsi:type="dcterms:W3CDTF">2024-03-25T14:58:00Z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ies>
</file>