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85CB13" w14:textId="4587FC9F" w:rsidR="4B9B3647" w:rsidRDefault="4B9B3647" w:rsidP="4B9B3647">
      <w:pPr>
        <w:jc w:val="center"/>
      </w:pPr>
    </w:p>
    <w:p w14:paraId="42809F34" w14:textId="58A1655B" w:rsidR="005A3FA3" w:rsidRPr="009A730B" w:rsidRDefault="005A3FA3" w:rsidP="005A3FA3">
      <w:pPr>
        <w:jc w:val="center"/>
        <w:rPr>
          <w:rFonts w:ascii="Verdana" w:hAnsi="Verdana"/>
          <w:sz w:val="24"/>
          <w:szCs w:val="24"/>
        </w:rPr>
      </w:pPr>
      <w:r w:rsidRPr="009A730B">
        <w:rPr>
          <w:rFonts w:ascii="Verdana" w:hAnsi="Verdana"/>
          <w:noProof/>
          <w:sz w:val="24"/>
          <w:szCs w:val="24"/>
          <w:lang w:eastAsia="en-GB"/>
        </w:rPr>
        <w:drawing>
          <wp:inline distT="0" distB="0" distL="0" distR="0" wp14:anchorId="311B599D" wp14:editId="42BA4713">
            <wp:extent cx="3257550" cy="82893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1">
                      <a:extLst>
                        <a:ext uri="{28A0092B-C50C-407E-A947-70E740481C1C}">
                          <a14:useLocalDpi xmlns:a14="http://schemas.microsoft.com/office/drawing/2010/main" val="0"/>
                        </a:ext>
                      </a:extLst>
                    </a:blip>
                    <a:stretch>
                      <a:fillRect/>
                    </a:stretch>
                  </pic:blipFill>
                  <pic:spPr>
                    <a:xfrm>
                      <a:off x="0" y="0"/>
                      <a:ext cx="3258552" cy="829185"/>
                    </a:xfrm>
                    <a:prstGeom prst="rect">
                      <a:avLst/>
                    </a:prstGeom>
                  </pic:spPr>
                </pic:pic>
              </a:graphicData>
            </a:graphic>
          </wp:inline>
        </w:drawing>
      </w:r>
    </w:p>
    <w:p w14:paraId="5B686C86" w14:textId="77777777" w:rsidR="005A3FA3" w:rsidRPr="009A730B" w:rsidRDefault="005A3FA3" w:rsidP="005A3FA3">
      <w:pPr>
        <w:jc w:val="center"/>
        <w:rPr>
          <w:rFonts w:ascii="Verdana" w:hAnsi="Verdana"/>
          <w:sz w:val="24"/>
          <w:szCs w:val="24"/>
        </w:rPr>
      </w:pPr>
    </w:p>
    <w:p w14:paraId="2FBCC06B" w14:textId="77777777" w:rsidR="00116CE1" w:rsidRPr="009A730B" w:rsidRDefault="00116CE1" w:rsidP="005A3FA3">
      <w:pPr>
        <w:tabs>
          <w:tab w:val="left" w:pos="4171"/>
        </w:tabs>
        <w:jc w:val="center"/>
        <w:rPr>
          <w:rFonts w:ascii="Verdana" w:hAnsi="Verdana" w:cs="Arial"/>
          <w:color w:val="5B9BD5" w:themeColor="accent1"/>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53F6C859" w14:textId="77777777" w:rsidR="00116CE1" w:rsidRPr="009A730B" w:rsidRDefault="00116CE1" w:rsidP="005A3FA3">
      <w:pPr>
        <w:tabs>
          <w:tab w:val="left" w:pos="4171"/>
        </w:tabs>
        <w:jc w:val="center"/>
        <w:rPr>
          <w:rFonts w:ascii="Verdana" w:hAnsi="Verdana" w:cs="Arial"/>
          <w:color w:val="5B9BD5" w:themeColor="accent1"/>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4C8286B3" w14:textId="772EA82D" w:rsidR="000C6DD7" w:rsidRPr="009A730B" w:rsidRDefault="005A3FA3" w:rsidP="005A3FA3">
      <w:pPr>
        <w:tabs>
          <w:tab w:val="left" w:pos="4171"/>
        </w:tabs>
        <w:jc w:val="center"/>
        <w:rPr>
          <w:rFonts w:ascii="Verdana" w:hAnsi="Verdana" w:cs="Arial"/>
          <w:color w:val="2E74B5" w:themeColor="accent1" w:themeShade="BF"/>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9A730B">
        <w:rPr>
          <w:rFonts w:ascii="Verdana" w:hAnsi="Verdana" w:cs="Arial"/>
          <w:color w:val="2E74B5" w:themeColor="accent1" w:themeShade="BF"/>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Swansea Bay University Health Board</w:t>
      </w:r>
      <w:r w:rsidR="00E211CE" w:rsidRPr="009A730B">
        <w:rPr>
          <w:rFonts w:ascii="Verdana" w:hAnsi="Verdana" w:cs="Arial"/>
          <w:color w:val="2E74B5" w:themeColor="accent1" w:themeShade="BF"/>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p>
    <w:p w14:paraId="4676673B" w14:textId="77777777" w:rsidR="000C6DD7" w:rsidRPr="009A730B" w:rsidRDefault="005A3FA3" w:rsidP="005A3FA3">
      <w:pPr>
        <w:tabs>
          <w:tab w:val="left" w:pos="4171"/>
        </w:tabs>
        <w:jc w:val="center"/>
        <w:rPr>
          <w:rFonts w:ascii="Verdana" w:hAnsi="Verdana" w:cs="Arial"/>
          <w:color w:val="2E74B5" w:themeColor="accent1" w:themeShade="BF"/>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9A730B">
        <w:rPr>
          <w:rFonts w:ascii="Verdana" w:hAnsi="Verdana" w:cs="Arial"/>
          <w:color w:val="2E74B5" w:themeColor="accent1" w:themeShade="BF"/>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Committee Annual Report </w:t>
      </w:r>
    </w:p>
    <w:p w14:paraId="476312FB" w14:textId="02A76F04" w:rsidR="005A3FA3" w:rsidRPr="009A730B" w:rsidRDefault="00F20A5C" w:rsidP="005A3FA3">
      <w:pPr>
        <w:tabs>
          <w:tab w:val="left" w:pos="4171"/>
        </w:tabs>
        <w:jc w:val="center"/>
        <w:rPr>
          <w:rFonts w:ascii="Verdana" w:hAnsi="Verdana" w:cs="Arial"/>
          <w:color w:val="2E74B5" w:themeColor="accent1" w:themeShade="BF"/>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9A730B">
        <w:rPr>
          <w:rFonts w:ascii="Verdana" w:hAnsi="Verdana" w:cs="Arial"/>
          <w:color w:val="2E74B5" w:themeColor="accent1" w:themeShade="BF"/>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202</w:t>
      </w:r>
      <w:r w:rsidR="0D947884" w:rsidRPr="009A730B">
        <w:rPr>
          <w:rFonts w:ascii="Verdana" w:hAnsi="Verdana" w:cs="Arial"/>
          <w:color w:val="2E74B5" w:themeColor="accent1" w:themeShade="BF"/>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5</w:t>
      </w:r>
      <w:r w:rsidR="00214B00" w:rsidRPr="009A730B">
        <w:rPr>
          <w:rFonts w:ascii="Verdana" w:hAnsi="Verdana" w:cs="Arial"/>
          <w:color w:val="2E74B5" w:themeColor="accent1" w:themeShade="BF"/>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/2</w:t>
      </w:r>
      <w:r w:rsidR="0FA026E7" w:rsidRPr="009A730B">
        <w:rPr>
          <w:rFonts w:ascii="Verdana" w:hAnsi="Verdana" w:cs="Arial"/>
          <w:color w:val="2E74B5" w:themeColor="accent1" w:themeShade="BF"/>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6</w:t>
      </w:r>
    </w:p>
    <w:p w14:paraId="3EDC0B23" w14:textId="6F558F0C" w:rsidR="005A3FA3" w:rsidRPr="009A730B" w:rsidRDefault="005A3FA3">
      <w:pPr>
        <w:rPr>
          <w:rFonts w:ascii="Verdana" w:hAnsi="Verdana"/>
          <w:sz w:val="24"/>
          <w:szCs w:val="24"/>
        </w:rPr>
      </w:pPr>
    </w:p>
    <w:p w14:paraId="405DB153" w14:textId="18BC3660" w:rsidR="00A126BF" w:rsidRPr="009A730B" w:rsidRDefault="00A126BF" w:rsidP="0010360F">
      <w:pPr>
        <w:jc w:val="center"/>
        <w:rPr>
          <w:rFonts w:ascii="Verdana" w:hAnsi="Verdana"/>
          <w:sz w:val="24"/>
          <w:szCs w:val="24"/>
        </w:rPr>
        <w:sectPr w:rsidR="00A126BF" w:rsidRPr="009A730B" w:rsidSect="000906E5">
          <w:headerReference w:type="default" r:id="rId12"/>
          <w:footerReference w:type="default" r:id="rId13"/>
          <w:headerReference w:type="first" r:id="rId14"/>
          <w:footerReference w:type="first" r:id="rId15"/>
          <w:pgSz w:w="11906" w:h="16838"/>
          <w:pgMar w:top="1440" w:right="1440" w:bottom="1440" w:left="1440" w:header="709" w:footer="709" w:gutter="0"/>
          <w:pgBorders w:offsetFrom="page">
            <w:top w:val="single" w:sz="4" w:space="24" w:color="auto"/>
            <w:left w:val="single" w:sz="4" w:space="24" w:color="auto"/>
            <w:bottom w:val="single" w:sz="4" w:space="24" w:color="auto"/>
            <w:right w:val="single" w:sz="4" w:space="24" w:color="auto"/>
          </w:pgBorders>
          <w:cols w:space="708"/>
          <w:titlePg/>
          <w:docGrid w:linePitch="360"/>
        </w:sectPr>
      </w:pPr>
    </w:p>
    <w:p w14:paraId="1AA42365" w14:textId="3BBAD920" w:rsidR="005A3FA3" w:rsidRPr="009A730B" w:rsidRDefault="005A3FA3" w:rsidP="005A3FA3">
      <w:pPr>
        <w:jc w:val="center"/>
        <w:rPr>
          <w:rFonts w:ascii="Verdana" w:hAnsi="Verdana" w:cs="Arial"/>
          <w:color w:val="5B9BD5" w:themeColor="accent1"/>
          <w:sz w:val="24"/>
          <w:szCs w:val="24"/>
          <w:u w:val="single"/>
        </w:rPr>
      </w:pPr>
      <w:r w:rsidRPr="009A730B">
        <w:rPr>
          <w:rFonts w:ascii="Verdana" w:hAnsi="Verdana" w:cs="Arial"/>
          <w:b/>
          <w:color w:val="5B9BD5" w:themeColor="accent1"/>
          <w:sz w:val="24"/>
          <w:szCs w:val="24"/>
          <w:u w:val="single"/>
        </w:rPr>
        <w:lastRenderedPageBreak/>
        <w:t>Contents</w:t>
      </w:r>
    </w:p>
    <w:tbl>
      <w:tblPr>
        <w:tblStyle w:val="TableGrid"/>
        <w:tblpPr w:leftFromText="180" w:rightFromText="180" w:vertAnchor="text" w:tblpY="775"/>
        <w:tblW w:w="0" w:type="auto"/>
        <w:tblLook w:val="04A0" w:firstRow="1" w:lastRow="0" w:firstColumn="1" w:lastColumn="0" w:noHBand="0" w:noVBand="1"/>
      </w:tblPr>
      <w:tblGrid>
        <w:gridCol w:w="1696"/>
        <w:gridCol w:w="5954"/>
        <w:gridCol w:w="1366"/>
      </w:tblGrid>
      <w:tr w:rsidR="00D11A39" w:rsidRPr="009A730B" w14:paraId="742D4917" w14:textId="77777777" w:rsidTr="00203B5E">
        <w:tc>
          <w:tcPr>
            <w:tcW w:w="1696" w:type="dxa"/>
            <w:shd w:val="clear" w:color="auto" w:fill="FFFFFF" w:themeFill="background1"/>
          </w:tcPr>
          <w:p w14:paraId="1D61A45E" w14:textId="0D47C1C9" w:rsidR="00D11A39" w:rsidRPr="009A730B" w:rsidRDefault="699B817A" w:rsidP="6D8E5F83">
            <w:pPr>
              <w:jc w:val="center"/>
              <w:rPr>
                <w:rFonts w:ascii="Verdana" w:hAnsi="Verdana" w:cs="Arial"/>
                <w:sz w:val="24"/>
                <w:szCs w:val="24"/>
              </w:rPr>
            </w:pPr>
            <w:r w:rsidRPr="009A730B">
              <w:rPr>
                <w:rFonts w:ascii="Verdana" w:hAnsi="Verdana" w:cs="Arial"/>
                <w:sz w:val="24"/>
                <w:szCs w:val="24"/>
              </w:rPr>
              <w:t xml:space="preserve">Section 1 </w:t>
            </w:r>
          </w:p>
        </w:tc>
        <w:tc>
          <w:tcPr>
            <w:tcW w:w="5954" w:type="dxa"/>
            <w:shd w:val="clear" w:color="auto" w:fill="FFFFFF" w:themeFill="background1"/>
          </w:tcPr>
          <w:p w14:paraId="45EB5F46" w14:textId="655FE59F" w:rsidR="00D11A39" w:rsidRPr="009A730B" w:rsidRDefault="699B817A" w:rsidP="6D8E5F83">
            <w:pPr>
              <w:jc w:val="center"/>
              <w:rPr>
                <w:rFonts w:ascii="Verdana" w:hAnsi="Verdana" w:cs="Arial"/>
                <w:sz w:val="24"/>
                <w:szCs w:val="24"/>
              </w:rPr>
            </w:pPr>
            <w:r w:rsidRPr="009A730B">
              <w:rPr>
                <w:rFonts w:ascii="Verdana" w:hAnsi="Verdana" w:cs="Arial"/>
                <w:sz w:val="24"/>
                <w:szCs w:val="24"/>
              </w:rPr>
              <w:t xml:space="preserve">Introduction </w:t>
            </w:r>
            <w:r w:rsidR="7A3EA622" w:rsidRPr="009A730B">
              <w:rPr>
                <w:rFonts w:ascii="Verdana" w:hAnsi="Verdana" w:cs="Arial"/>
                <w:sz w:val="24"/>
                <w:szCs w:val="24"/>
              </w:rPr>
              <w:t>and Committee Membership</w:t>
            </w:r>
          </w:p>
        </w:tc>
        <w:tc>
          <w:tcPr>
            <w:tcW w:w="1366" w:type="dxa"/>
            <w:shd w:val="clear" w:color="auto" w:fill="FFFFFF" w:themeFill="background1"/>
          </w:tcPr>
          <w:p w14:paraId="71B2D1F3" w14:textId="0017F3F3" w:rsidR="00D11A39" w:rsidRPr="009A730B" w:rsidRDefault="00144003" w:rsidP="00E235AC">
            <w:pPr>
              <w:jc w:val="center"/>
              <w:rPr>
                <w:rFonts w:ascii="Verdana" w:hAnsi="Verdana" w:cs="Arial"/>
                <w:sz w:val="24"/>
                <w:szCs w:val="24"/>
              </w:rPr>
            </w:pPr>
            <w:r>
              <w:rPr>
                <w:rFonts w:ascii="Verdana" w:hAnsi="Verdana" w:cs="Arial"/>
                <w:sz w:val="24"/>
                <w:szCs w:val="24"/>
              </w:rPr>
              <w:t xml:space="preserve">Page </w:t>
            </w:r>
            <w:r w:rsidR="00A73FEB">
              <w:rPr>
                <w:rFonts w:ascii="Verdana" w:hAnsi="Verdana" w:cs="Arial"/>
                <w:sz w:val="24"/>
                <w:szCs w:val="24"/>
              </w:rPr>
              <w:t>3</w:t>
            </w:r>
          </w:p>
        </w:tc>
      </w:tr>
      <w:tr w:rsidR="00D11A39" w:rsidRPr="009A730B" w14:paraId="3C439BF4" w14:textId="77777777" w:rsidTr="00203B5E">
        <w:tc>
          <w:tcPr>
            <w:tcW w:w="1696" w:type="dxa"/>
            <w:shd w:val="clear" w:color="auto" w:fill="FFFFFF" w:themeFill="background1"/>
          </w:tcPr>
          <w:p w14:paraId="372D5EB1" w14:textId="748AAF2D" w:rsidR="00D11A39" w:rsidRPr="009A730B" w:rsidRDefault="699B817A" w:rsidP="6D8E5F83">
            <w:pPr>
              <w:jc w:val="center"/>
              <w:rPr>
                <w:rFonts w:ascii="Verdana" w:hAnsi="Verdana" w:cs="Arial"/>
                <w:sz w:val="24"/>
                <w:szCs w:val="24"/>
              </w:rPr>
            </w:pPr>
            <w:r w:rsidRPr="009A730B">
              <w:rPr>
                <w:rFonts w:ascii="Verdana" w:hAnsi="Verdana" w:cs="Arial"/>
                <w:sz w:val="24"/>
                <w:szCs w:val="24"/>
              </w:rPr>
              <w:t xml:space="preserve">Section 2 </w:t>
            </w:r>
          </w:p>
        </w:tc>
        <w:tc>
          <w:tcPr>
            <w:tcW w:w="5954" w:type="dxa"/>
            <w:shd w:val="clear" w:color="auto" w:fill="FFFFFF" w:themeFill="background1"/>
          </w:tcPr>
          <w:p w14:paraId="62966B8A" w14:textId="57E9B6EA" w:rsidR="00D11A39" w:rsidRPr="009A730B" w:rsidRDefault="699B817A" w:rsidP="6D8E5F83">
            <w:pPr>
              <w:jc w:val="center"/>
              <w:rPr>
                <w:rFonts w:ascii="Verdana" w:hAnsi="Verdana" w:cs="Arial"/>
                <w:sz w:val="24"/>
                <w:szCs w:val="24"/>
              </w:rPr>
            </w:pPr>
            <w:r w:rsidRPr="009A730B">
              <w:rPr>
                <w:rFonts w:ascii="Verdana" w:hAnsi="Verdana" w:cs="Arial"/>
                <w:sz w:val="24"/>
                <w:szCs w:val="24"/>
              </w:rPr>
              <w:t xml:space="preserve">Performance and Finance Committee </w:t>
            </w:r>
          </w:p>
        </w:tc>
        <w:tc>
          <w:tcPr>
            <w:tcW w:w="1366" w:type="dxa"/>
            <w:shd w:val="clear" w:color="auto" w:fill="FFFFFF" w:themeFill="background1"/>
          </w:tcPr>
          <w:p w14:paraId="3FA872A9" w14:textId="786422CA" w:rsidR="00D11A39" w:rsidRPr="009A730B" w:rsidRDefault="004C5AA0" w:rsidP="00E235AC">
            <w:pPr>
              <w:jc w:val="center"/>
              <w:rPr>
                <w:rFonts w:ascii="Verdana" w:hAnsi="Verdana" w:cs="Arial"/>
                <w:sz w:val="24"/>
                <w:szCs w:val="24"/>
              </w:rPr>
            </w:pPr>
            <w:r>
              <w:rPr>
                <w:rFonts w:ascii="Verdana" w:hAnsi="Verdana" w:cs="Arial"/>
                <w:sz w:val="24"/>
                <w:szCs w:val="24"/>
              </w:rPr>
              <w:t>Page 8</w:t>
            </w:r>
          </w:p>
        </w:tc>
      </w:tr>
      <w:tr w:rsidR="00D11A39" w:rsidRPr="009A730B" w14:paraId="5A02A77B" w14:textId="77777777" w:rsidTr="00203B5E">
        <w:tc>
          <w:tcPr>
            <w:tcW w:w="1696" w:type="dxa"/>
            <w:shd w:val="clear" w:color="auto" w:fill="FFFFFF" w:themeFill="background1"/>
          </w:tcPr>
          <w:p w14:paraId="4C70EAEE" w14:textId="7F900C54" w:rsidR="00D11A39" w:rsidRPr="009A730B" w:rsidRDefault="00D11A39" w:rsidP="5A1F697D">
            <w:pPr>
              <w:jc w:val="center"/>
              <w:rPr>
                <w:rFonts w:ascii="Verdana" w:hAnsi="Verdana" w:cs="Arial"/>
                <w:sz w:val="24"/>
                <w:szCs w:val="24"/>
              </w:rPr>
            </w:pPr>
            <w:r w:rsidRPr="009A730B">
              <w:rPr>
                <w:rFonts w:ascii="Verdana" w:hAnsi="Verdana" w:cs="Arial"/>
                <w:sz w:val="24"/>
                <w:szCs w:val="24"/>
              </w:rPr>
              <w:t>Section 3</w:t>
            </w:r>
          </w:p>
        </w:tc>
        <w:tc>
          <w:tcPr>
            <w:tcW w:w="5954" w:type="dxa"/>
            <w:shd w:val="clear" w:color="auto" w:fill="FFFFFF" w:themeFill="background1"/>
          </w:tcPr>
          <w:p w14:paraId="22F17EA9" w14:textId="176C5959" w:rsidR="00D11A39" w:rsidRPr="009A730B" w:rsidRDefault="00D11A39" w:rsidP="5A1F697D">
            <w:pPr>
              <w:jc w:val="center"/>
              <w:rPr>
                <w:rFonts w:ascii="Verdana" w:hAnsi="Verdana" w:cs="Arial"/>
                <w:sz w:val="24"/>
                <w:szCs w:val="24"/>
              </w:rPr>
            </w:pPr>
            <w:r w:rsidRPr="009A730B">
              <w:rPr>
                <w:rFonts w:ascii="Verdana" w:hAnsi="Verdana" w:cs="Arial"/>
                <w:sz w:val="24"/>
                <w:szCs w:val="24"/>
              </w:rPr>
              <w:t>Audit Committee</w:t>
            </w:r>
          </w:p>
        </w:tc>
        <w:tc>
          <w:tcPr>
            <w:tcW w:w="1366" w:type="dxa"/>
            <w:shd w:val="clear" w:color="auto" w:fill="FFFFFF" w:themeFill="background1"/>
          </w:tcPr>
          <w:p w14:paraId="2594D6D6" w14:textId="764E0F1D" w:rsidR="00D11A39" w:rsidRPr="009A730B" w:rsidRDefault="00CC4023" w:rsidP="00E235AC">
            <w:pPr>
              <w:jc w:val="center"/>
              <w:rPr>
                <w:rFonts w:ascii="Verdana" w:hAnsi="Verdana" w:cs="Arial"/>
                <w:sz w:val="24"/>
                <w:szCs w:val="24"/>
              </w:rPr>
            </w:pPr>
            <w:r>
              <w:rPr>
                <w:rFonts w:ascii="Verdana" w:hAnsi="Verdana" w:cs="Arial"/>
                <w:sz w:val="24"/>
                <w:szCs w:val="24"/>
              </w:rPr>
              <w:t>Page 18</w:t>
            </w:r>
          </w:p>
        </w:tc>
      </w:tr>
      <w:tr w:rsidR="00D11A39" w:rsidRPr="009A730B" w14:paraId="004627C9" w14:textId="77777777" w:rsidTr="00203B5E">
        <w:tc>
          <w:tcPr>
            <w:tcW w:w="1696" w:type="dxa"/>
            <w:shd w:val="clear" w:color="auto" w:fill="FFFFFF" w:themeFill="background1"/>
          </w:tcPr>
          <w:p w14:paraId="6A442602" w14:textId="28D778E1" w:rsidR="00D11A39" w:rsidRPr="009A730B" w:rsidRDefault="00D11A39" w:rsidP="58F6454B">
            <w:pPr>
              <w:jc w:val="center"/>
              <w:rPr>
                <w:rFonts w:ascii="Verdana" w:hAnsi="Verdana" w:cs="Arial"/>
                <w:sz w:val="24"/>
                <w:szCs w:val="24"/>
              </w:rPr>
            </w:pPr>
            <w:r w:rsidRPr="009A730B">
              <w:rPr>
                <w:rFonts w:ascii="Verdana" w:hAnsi="Verdana" w:cs="Arial"/>
                <w:sz w:val="24"/>
                <w:szCs w:val="24"/>
              </w:rPr>
              <w:t xml:space="preserve">Section 4 </w:t>
            </w:r>
          </w:p>
        </w:tc>
        <w:tc>
          <w:tcPr>
            <w:tcW w:w="5954" w:type="dxa"/>
            <w:shd w:val="clear" w:color="auto" w:fill="FFFFFF" w:themeFill="background1"/>
          </w:tcPr>
          <w:p w14:paraId="53730E91" w14:textId="58A9586E" w:rsidR="00D11A39" w:rsidRPr="009A730B" w:rsidRDefault="00D11A39" w:rsidP="58F6454B">
            <w:pPr>
              <w:jc w:val="center"/>
              <w:rPr>
                <w:rFonts w:ascii="Verdana" w:hAnsi="Verdana" w:cs="Arial"/>
                <w:sz w:val="24"/>
                <w:szCs w:val="24"/>
              </w:rPr>
            </w:pPr>
            <w:r w:rsidRPr="009A730B">
              <w:rPr>
                <w:rFonts w:ascii="Verdana" w:hAnsi="Verdana" w:cs="Arial"/>
                <w:sz w:val="24"/>
                <w:szCs w:val="24"/>
              </w:rPr>
              <w:t xml:space="preserve">Quality and Safety Committee </w:t>
            </w:r>
          </w:p>
        </w:tc>
        <w:tc>
          <w:tcPr>
            <w:tcW w:w="1366" w:type="dxa"/>
            <w:shd w:val="clear" w:color="auto" w:fill="FFFFFF" w:themeFill="background1"/>
          </w:tcPr>
          <w:p w14:paraId="0002A37A" w14:textId="33D7436B" w:rsidR="00D11A39" w:rsidRPr="009A730B" w:rsidRDefault="00CC4023" w:rsidP="00E235AC">
            <w:pPr>
              <w:jc w:val="center"/>
              <w:rPr>
                <w:rFonts w:ascii="Verdana" w:hAnsi="Verdana" w:cs="Arial"/>
                <w:sz w:val="24"/>
                <w:szCs w:val="24"/>
              </w:rPr>
            </w:pPr>
            <w:r>
              <w:rPr>
                <w:rFonts w:ascii="Verdana" w:hAnsi="Verdana" w:cs="Arial"/>
                <w:sz w:val="24"/>
                <w:szCs w:val="24"/>
              </w:rPr>
              <w:t>Page 30</w:t>
            </w:r>
          </w:p>
        </w:tc>
      </w:tr>
      <w:tr w:rsidR="00D11A39" w:rsidRPr="009A730B" w14:paraId="7338BD2C" w14:textId="77777777" w:rsidTr="00203B5E">
        <w:tc>
          <w:tcPr>
            <w:tcW w:w="1696" w:type="dxa"/>
            <w:shd w:val="clear" w:color="auto" w:fill="FFFFFF" w:themeFill="background1"/>
          </w:tcPr>
          <w:p w14:paraId="32E7D954" w14:textId="789153C3" w:rsidR="00D11A39" w:rsidRPr="009A730B" w:rsidRDefault="699B817A" w:rsidP="6D8E5F83">
            <w:pPr>
              <w:jc w:val="center"/>
              <w:rPr>
                <w:rFonts w:ascii="Verdana" w:hAnsi="Verdana" w:cs="Arial"/>
                <w:sz w:val="24"/>
                <w:szCs w:val="24"/>
              </w:rPr>
            </w:pPr>
            <w:r w:rsidRPr="009A730B">
              <w:rPr>
                <w:rFonts w:ascii="Verdana" w:hAnsi="Verdana" w:cs="Arial"/>
                <w:sz w:val="24"/>
                <w:szCs w:val="24"/>
              </w:rPr>
              <w:t>Section 5</w:t>
            </w:r>
          </w:p>
        </w:tc>
        <w:tc>
          <w:tcPr>
            <w:tcW w:w="5954" w:type="dxa"/>
            <w:shd w:val="clear" w:color="auto" w:fill="FFFFFF" w:themeFill="background1"/>
          </w:tcPr>
          <w:p w14:paraId="038935B3" w14:textId="0332B09E" w:rsidR="00D11A39" w:rsidRPr="009A730B" w:rsidRDefault="699B817A" w:rsidP="6D8E5F83">
            <w:pPr>
              <w:jc w:val="center"/>
              <w:rPr>
                <w:rFonts w:ascii="Verdana" w:hAnsi="Verdana" w:cs="Arial"/>
                <w:sz w:val="24"/>
                <w:szCs w:val="24"/>
              </w:rPr>
            </w:pPr>
            <w:r w:rsidRPr="009A730B">
              <w:rPr>
                <w:rFonts w:ascii="Verdana" w:hAnsi="Verdana" w:cs="Arial"/>
                <w:sz w:val="24"/>
                <w:szCs w:val="24"/>
              </w:rPr>
              <w:t xml:space="preserve">Workforce OD and Digital Committee </w:t>
            </w:r>
          </w:p>
        </w:tc>
        <w:tc>
          <w:tcPr>
            <w:tcW w:w="1366" w:type="dxa"/>
            <w:shd w:val="clear" w:color="auto" w:fill="FFFFFF" w:themeFill="background1"/>
          </w:tcPr>
          <w:p w14:paraId="41DDC0C2" w14:textId="14C1FDE3" w:rsidR="00D11A39" w:rsidRPr="009A730B" w:rsidRDefault="00CC4023" w:rsidP="00E235AC">
            <w:pPr>
              <w:jc w:val="center"/>
              <w:rPr>
                <w:rFonts w:ascii="Verdana" w:hAnsi="Verdana" w:cs="Arial"/>
                <w:sz w:val="24"/>
                <w:szCs w:val="24"/>
              </w:rPr>
            </w:pPr>
            <w:r>
              <w:rPr>
                <w:rFonts w:ascii="Verdana" w:hAnsi="Verdana" w:cs="Arial"/>
                <w:sz w:val="24"/>
                <w:szCs w:val="24"/>
              </w:rPr>
              <w:t>Page 43</w:t>
            </w:r>
          </w:p>
        </w:tc>
      </w:tr>
      <w:tr w:rsidR="00D11A39" w:rsidRPr="009A730B" w14:paraId="2D708DBB" w14:textId="77777777" w:rsidTr="00203B5E">
        <w:tc>
          <w:tcPr>
            <w:tcW w:w="1696" w:type="dxa"/>
            <w:shd w:val="clear" w:color="auto" w:fill="FFFFFF" w:themeFill="background1"/>
          </w:tcPr>
          <w:p w14:paraId="0B3147BF" w14:textId="30561532" w:rsidR="00D11A39" w:rsidRPr="009A730B" w:rsidRDefault="699B817A" w:rsidP="6D8E5F83">
            <w:pPr>
              <w:jc w:val="center"/>
              <w:rPr>
                <w:rFonts w:ascii="Verdana" w:hAnsi="Verdana" w:cs="Arial"/>
                <w:sz w:val="24"/>
                <w:szCs w:val="24"/>
              </w:rPr>
            </w:pPr>
            <w:r w:rsidRPr="009A730B">
              <w:rPr>
                <w:rFonts w:ascii="Verdana" w:hAnsi="Verdana" w:cs="Arial"/>
                <w:sz w:val="24"/>
                <w:szCs w:val="24"/>
              </w:rPr>
              <w:t>Section 6</w:t>
            </w:r>
          </w:p>
        </w:tc>
        <w:tc>
          <w:tcPr>
            <w:tcW w:w="5954" w:type="dxa"/>
            <w:shd w:val="clear" w:color="auto" w:fill="FFFFFF" w:themeFill="background1"/>
          </w:tcPr>
          <w:p w14:paraId="7C9A1624" w14:textId="32507CD0" w:rsidR="00D11A39" w:rsidRPr="009A730B" w:rsidRDefault="699B817A" w:rsidP="6D8E5F83">
            <w:pPr>
              <w:jc w:val="center"/>
              <w:rPr>
                <w:rFonts w:ascii="Verdana" w:hAnsi="Verdana" w:cs="Arial"/>
                <w:sz w:val="24"/>
                <w:szCs w:val="24"/>
              </w:rPr>
            </w:pPr>
            <w:r w:rsidRPr="009A730B">
              <w:rPr>
                <w:rFonts w:ascii="Verdana" w:hAnsi="Verdana" w:cs="Arial"/>
                <w:sz w:val="24"/>
                <w:szCs w:val="24"/>
              </w:rPr>
              <w:t xml:space="preserve">Population Health and Partnerships Committee </w:t>
            </w:r>
          </w:p>
        </w:tc>
        <w:tc>
          <w:tcPr>
            <w:tcW w:w="1366" w:type="dxa"/>
            <w:shd w:val="clear" w:color="auto" w:fill="FFFFFF" w:themeFill="background1"/>
          </w:tcPr>
          <w:p w14:paraId="3E506647" w14:textId="56641C30" w:rsidR="00D11A39" w:rsidRPr="009A730B" w:rsidRDefault="00CC4023" w:rsidP="00E235AC">
            <w:pPr>
              <w:jc w:val="center"/>
              <w:rPr>
                <w:rFonts w:ascii="Verdana" w:hAnsi="Verdana" w:cs="Arial"/>
                <w:sz w:val="24"/>
                <w:szCs w:val="24"/>
              </w:rPr>
            </w:pPr>
            <w:r>
              <w:rPr>
                <w:rFonts w:ascii="Verdana" w:hAnsi="Verdana" w:cs="Arial"/>
                <w:sz w:val="24"/>
                <w:szCs w:val="24"/>
              </w:rPr>
              <w:t xml:space="preserve">Page </w:t>
            </w:r>
            <w:r w:rsidR="00E235AC">
              <w:rPr>
                <w:rFonts w:ascii="Verdana" w:hAnsi="Verdana" w:cs="Arial"/>
                <w:sz w:val="24"/>
                <w:szCs w:val="24"/>
              </w:rPr>
              <w:t>5</w:t>
            </w:r>
            <w:r w:rsidR="00A73FEB">
              <w:rPr>
                <w:rFonts w:ascii="Verdana" w:hAnsi="Verdana" w:cs="Arial"/>
                <w:sz w:val="24"/>
                <w:szCs w:val="24"/>
              </w:rPr>
              <w:t>0</w:t>
            </w:r>
          </w:p>
        </w:tc>
      </w:tr>
      <w:tr w:rsidR="00D11A39" w:rsidRPr="009A730B" w14:paraId="066A85FB" w14:textId="77777777" w:rsidTr="00203B5E">
        <w:tc>
          <w:tcPr>
            <w:tcW w:w="1696" w:type="dxa"/>
            <w:shd w:val="clear" w:color="auto" w:fill="FFFFFF" w:themeFill="background1"/>
          </w:tcPr>
          <w:p w14:paraId="303C0A4B" w14:textId="510ECDB7" w:rsidR="00D11A39" w:rsidRPr="009A730B" w:rsidRDefault="00D11A39" w:rsidP="6D8E5F83">
            <w:pPr>
              <w:jc w:val="center"/>
              <w:rPr>
                <w:rFonts w:ascii="Verdana" w:hAnsi="Verdana" w:cs="Arial"/>
                <w:sz w:val="24"/>
                <w:szCs w:val="24"/>
              </w:rPr>
            </w:pPr>
            <w:r w:rsidRPr="009A730B">
              <w:rPr>
                <w:rFonts w:ascii="Verdana" w:hAnsi="Verdana" w:cs="Arial"/>
                <w:sz w:val="24"/>
                <w:szCs w:val="24"/>
              </w:rPr>
              <w:t xml:space="preserve">Section 7 </w:t>
            </w:r>
          </w:p>
        </w:tc>
        <w:tc>
          <w:tcPr>
            <w:tcW w:w="5954" w:type="dxa"/>
            <w:shd w:val="clear" w:color="auto" w:fill="FFFFFF" w:themeFill="background1"/>
          </w:tcPr>
          <w:p w14:paraId="0A639A5E" w14:textId="0418BCA3" w:rsidR="00D11A39" w:rsidRPr="009A730B" w:rsidRDefault="00D11A39" w:rsidP="6D8E5F83">
            <w:pPr>
              <w:jc w:val="center"/>
              <w:rPr>
                <w:rFonts w:ascii="Verdana" w:hAnsi="Verdana" w:cs="Arial"/>
                <w:sz w:val="24"/>
                <w:szCs w:val="24"/>
              </w:rPr>
            </w:pPr>
            <w:r w:rsidRPr="009A730B">
              <w:rPr>
                <w:rFonts w:ascii="Verdana" w:hAnsi="Verdana" w:cs="Arial"/>
                <w:sz w:val="24"/>
                <w:szCs w:val="24"/>
              </w:rPr>
              <w:t xml:space="preserve">Mental Health Legislation Committee </w:t>
            </w:r>
          </w:p>
        </w:tc>
        <w:tc>
          <w:tcPr>
            <w:tcW w:w="1366" w:type="dxa"/>
            <w:shd w:val="clear" w:color="auto" w:fill="FFFFFF" w:themeFill="background1"/>
          </w:tcPr>
          <w:p w14:paraId="2A25C7B0" w14:textId="0E9A75B3" w:rsidR="00D11A39" w:rsidRPr="009A730B" w:rsidRDefault="00E235AC" w:rsidP="00E235AC">
            <w:pPr>
              <w:jc w:val="center"/>
              <w:rPr>
                <w:rFonts w:ascii="Verdana" w:hAnsi="Verdana" w:cs="Arial"/>
                <w:sz w:val="24"/>
                <w:szCs w:val="24"/>
              </w:rPr>
            </w:pPr>
            <w:r>
              <w:rPr>
                <w:rFonts w:ascii="Verdana" w:hAnsi="Verdana" w:cs="Arial"/>
                <w:sz w:val="24"/>
                <w:szCs w:val="24"/>
              </w:rPr>
              <w:t>Page 5</w:t>
            </w:r>
            <w:r w:rsidR="00A73FEB">
              <w:rPr>
                <w:rFonts w:ascii="Verdana" w:hAnsi="Verdana" w:cs="Arial"/>
                <w:sz w:val="24"/>
                <w:szCs w:val="24"/>
              </w:rPr>
              <w:t>5</w:t>
            </w:r>
          </w:p>
        </w:tc>
      </w:tr>
      <w:tr w:rsidR="00D11A39" w:rsidRPr="009A730B" w14:paraId="33214980" w14:textId="77777777" w:rsidTr="00203B5E">
        <w:tc>
          <w:tcPr>
            <w:tcW w:w="1696" w:type="dxa"/>
            <w:shd w:val="clear" w:color="auto" w:fill="FFFFFF" w:themeFill="background1"/>
          </w:tcPr>
          <w:p w14:paraId="47243C11" w14:textId="1E538A32" w:rsidR="00D11A39" w:rsidRPr="009A730B" w:rsidRDefault="00D11A39" w:rsidP="6D8E5F83">
            <w:pPr>
              <w:jc w:val="center"/>
              <w:rPr>
                <w:rFonts w:ascii="Verdana" w:hAnsi="Verdana" w:cs="Arial"/>
                <w:sz w:val="24"/>
                <w:szCs w:val="24"/>
              </w:rPr>
            </w:pPr>
            <w:r w:rsidRPr="009A730B">
              <w:rPr>
                <w:rFonts w:ascii="Verdana" w:hAnsi="Verdana" w:cs="Arial"/>
                <w:sz w:val="24"/>
                <w:szCs w:val="24"/>
              </w:rPr>
              <w:t xml:space="preserve">Section 8 </w:t>
            </w:r>
          </w:p>
        </w:tc>
        <w:tc>
          <w:tcPr>
            <w:tcW w:w="5954" w:type="dxa"/>
            <w:shd w:val="clear" w:color="auto" w:fill="FFFFFF" w:themeFill="background1"/>
          </w:tcPr>
          <w:p w14:paraId="542133BD" w14:textId="398D3D06" w:rsidR="00D11A39" w:rsidRPr="009A730B" w:rsidRDefault="00D11A39" w:rsidP="6D8E5F83">
            <w:pPr>
              <w:jc w:val="center"/>
              <w:rPr>
                <w:rFonts w:ascii="Verdana" w:hAnsi="Verdana" w:cs="Arial"/>
                <w:sz w:val="24"/>
                <w:szCs w:val="24"/>
              </w:rPr>
            </w:pPr>
            <w:r w:rsidRPr="009A730B">
              <w:rPr>
                <w:rFonts w:ascii="Verdana" w:hAnsi="Verdana" w:cs="Arial"/>
                <w:sz w:val="24"/>
                <w:szCs w:val="24"/>
              </w:rPr>
              <w:t xml:space="preserve">Charitable Funds Committee </w:t>
            </w:r>
          </w:p>
        </w:tc>
        <w:tc>
          <w:tcPr>
            <w:tcW w:w="1366" w:type="dxa"/>
            <w:shd w:val="clear" w:color="auto" w:fill="FFFFFF" w:themeFill="background1"/>
          </w:tcPr>
          <w:p w14:paraId="18CAB227" w14:textId="1F99A1F6" w:rsidR="00D11A39" w:rsidRPr="009A730B" w:rsidRDefault="00E235AC" w:rsidP="00E235AC">
            <w:pPr>
              <w:jc w:val="center"/>
              <w:rPr>
                <w:rFonts w:ascii="Verdana" w:hAnsi="Verdana" w:cs="Arial"/>
                <w:sz w:val="24"/>
                <w:szCs w:val="24"/>
              </w:rPr>
            </w:pPr>
            <w:r>
              <w:rPr>
                <w:rFonts w:ascii="Verdana" w:hAnsi="Verdana" w:cs="Arial"/>
                <w:sz w:val="24"/>
                <w:szCs w:val="24"/>
              </w:rPr>
              <w:t>Page 5</w:t>
            </w:r>
            <w:r w:rsidR="00A73FEB">
              <w:rPr>
                <w:rFonts w:ascii="Verdana" w:hAnsi="Verdana" w:cs="Arial"/>
                <w:sz w:val="24"/>
                <w:szCs w:val="24"/>
              </w:rPr>
              <w:t>7</w:t>
            </w:r>
          </w:p>
        </w:tc>
      </w:tr>
      <w:tr w:rsidR="00D11A39" w:rsidRPr="009A730B" w14:paraId="3DF17F90" w14:textId="77777777" w:rsidTr="00203B5E">
        <w:tc>
          <w:tcPr>
            <w:tcW w:w="1696" w:type="dxa"/>
            <w:shd w:val="clear" w:color="auto" w:fill="FFFFFF" w:themeFill="background1"/>
          </w:tcPr>
          <w:p w14:paraId="16A56E31" w14:textId="787F8829" w:rsidR="00D11A39" w:rsidRPr="009A730B" w:rsidRDefault="00D11A39" w:rsidP="6D8E5F83">
            <w:pPr>
              <w:jc w:val="center"/>
              <w:rPr>
                <w:rFonts w:ascii="Verdana" w:hAnsi="Verdana" w:cs="Arial"/>
                <w:sz w:val="24"/>
                <w:szCs w:val="24"/>
              </w:rPr>
            </w:pPr>
            <w:r w:rsidRPr="009A730B">
              <w:rPr>
                <w:rFonts w:ascii="Verdana" w:hAnsi="Verdana" w:cs="Arial"/>
                <w:sz w:val="24"/>
                <w:szCs w:val="24"/>
              </w:rPr>
              <w:t xml:space="preserve">Section 9 </w:t>
            </w:r>
          </w:p>
        </w:tc>
        <w:tc>
          <w:tcPr>
            <w:tcW w:w="5954" w:type="dxa"/>
            <w:shd w:val="clear" w:color="auto" w:fill="FFFFFF" w:themeFill="background1"/>
          </w:tcPr>
          <w:p w14:paraId="63810CF7" w14:textId="0A39ACE8" w:rsidR="00D11A39" w:rsidRPr="009A730B" w:rsidRDefault="1062E0DA" w:rsidP="6D8E5F83">
            <w:pPr>
              <w:jc w:val="center"/>
              <w:rPr>
                <w:rFonts w:ascii="Verdana" w:hAnsi="Verdana" w:cs="Arial"/>
                <w:sz w:val="24"/>
                <w:szCs w:val="24"/>
              </w:rPr>
            </w:pPr>
            <w:r w:rsidRPr="009A730B">
              <w:rPr>
                <w:rFonts w:ascii="Verdana" w:hAnsi="Verdana" w:cs="Arial"/>
                <w:sz w:val="24"/>
                <w:szCs w:val="24"/>
              </w:rPr>
              <w:t xml:space="preserve">Digital, Data, Research and Innovation Committee </w:t>
            </w:r>
          </w:p>
        </w:tc>
        <w:tc>
          <w:tcPr>
            <w:tcW w:w="1366" w:type="dxa"/>
            <w:shd w:val="clear" w:color="auto" w:fill="FFFFFF" w:themeFill="background1"/>
          </w:tcPr>
          <w:p w14:paraId="68DB3E4A" w14:textId="35AB5F5F" w:rsidR="00D11A39" w:rsidRPr="009A730B" w:rsidRDefault="00E235AC" w:rsidP="00E235AC">
            <w:pPr>
              <w:jc w:val="center"/>
              <w:rPr>
                <w:rFonts w:ascii="Verdana" w:hAnsi="Verdana" w:cs="Arial"/>
                <w:sz w:val="24"/>
                <w:szCs w:val="24"/>
              </w:rPr>
            </w:pPr>
            <w:r>
              <w:rPr>
                <w:rFonts w:ascii="Verdana" w:hAnsi="Verdana" w:cs="Arial"/>
                <w:sz w:val="24"/>
                <w:szCs w:val="24"/>
              </w:rPr>
              <w:t>Page 6</w:t>
            </w:r>
            <w:r w:rsidR="00A73FEB">
              <w:rPr>
                <w:rFonts w:ascii="Verdana" w:hAnsi="Verdana" w:cs="Arial"/>
                <w:sz w:val="24"/>
                <w:szCs w:val="24"/>
              </w:rPr>
              <w:t>1</w:t>
            </w:r>
          </w:p>
        </w:tc>
      </w:tr>
      <w:tr w:rsidR="17E063F3" w:rsidRPr="009A730B" w14:paraId="24737F61" w14:textId="77777777" w:rsidTr="00203B5E">
        <w:trPr>
          <w:trHeight w:val="300"/>
        </w:trPr>
        <w:tc>
          <w:tcPr>
            <w:tcW w:w="1696" w:type="dxa"/>
            <w:shd w:val="clear" w:color="auto" w:fill="FFFFFF" w:themeFill="background1"/>
          </w:tcPr>
          <w:p w14:paraId="26C52CF3" w14:textId="7D868A95" w:rsidR="1062E0DA" w:rsidRPr="009A730B" w:rsidRDefault="1062E0DA" w:rsidP="17E063F3">
            <w:pPr>
              <w:jc w:val="center"/>
              <w:rPr>
                <w:rFonts w:ascii="Verdana" w:hAnsi="Verdana" w:cs="Arial"/>
                <w:sz w:val="24"/>
                <w:szCs w:val="24"/>
              </w:rPr>
            </w:pPr>
            <w:r w:rsidRPr="009A730B">
              <w:rPr>
                <w:rFonts w:ascii="Verdana" w:hAnsi="Verdana" w:cs="Arial"/>
                <w:sz w:val="24"/>
                <w:szCs w:val="24"/>
              </w:rPr>
              <w:t>Section 10</w:t>
            </w:r>
          </w:p>
        </w:tc>
        <w:tc>
          <w:tcPr>
            <w:tcW w:w="5954" w:type="dxa"/>
            <w:shd w:val="clear" w:color="auto" w:fill="FFFFFF" w:themeFill="background1"/>
          </w:tcPr>
          <w:p w14:paraId="4F12C52C" w14:textId="06297FF0" w:rsidR="1062E0DA" w:rsidRPr="009A730B" w:rsidRDefault="1062E0DA" w:rsidP="17E063F3">
            <w:pPr>
              <w:jc w:val="center"/>
              <w:rPr>
                <w:rFonts w:ascii="Verdana" w:hAnsi="Verdana" w:cs="Arial"/>
                <w:sz w:val="24"/>
                <w:szCs w:val="24"/>
              </w:rPr>
            </w:pPr>
            <w:r w:rsidRPr="009A730B">
              <w:rPr>
                <w:rFonts w:ascii="Verdana" w:hAnsi="Verdana" w:cs="Arial"/>
                <w:sz w:val="24"/>
                <w:szCs w:val="24"/>
              </w:rPr>
              <w:t xml:space="preserve">Remuneration and Terms of Service Committee   </w:t>
            </w:r>
          </w:p>
        </w:tc>
        <w:tc>
          <w:tcPr>
            <w:tcW w:w="1366" w:type="dxa"/>
            <w:shd w:val="clear" w:color="auto" w:fill="FFFFFF" w:themeFill="background1"/>
          </w:tcPr>
          <w:p w14:paraId="5322A747" w14:textId="5C88EDCE" w:rsidR="3004EFBE" w:rsidRPr="009A730B" w:rsidRDefault="00E235AC" w:rsidP="00E235AC">
            <w:pPr>
              <w:jc w:val="center"/>
              <w:rPr>
                <w:rFonts w:ascii="Verdana" w:hAnsi="Verdana" w:cs="Arial"/>
                <w:sz w:val="24"/>
                <w:szCs w:val="24"/>
              </w:rPr>
            </w:pPr>
            <w:r>
              <w:rPr>
                <w:rFonts w:ascii="Verdana" w:hAnsi="Verdana" w:cs="Arial"/>
                <w:sz w:val="24"/>
                <w:szCs w:val="24"/>
              </w:rPr>
              <w:t>Page 6</w:t>
            </w:r>
            <w:r w:rsidR="00555CB9">
              <w:rPr>
                <w:rFonts w:ascii="Verdana" w:hAnsi="Verdana" w:cs="Arial"/>
                <w:sz w:val="24"/>
                <w:szCs w:val="24"/>
              </w:rPr>
              <w:t>8</w:t>
            </w:r>
          </w:p>
        </w:tc>
      </w:tr>
    </w:tbl>
    <w:p w14:paraId="4E763C17" w14:textId="77777777" w:rsidR="005A3FA3" w:rsidRPr="009A730B" w:rsidRDefault="005A3FA3" w:rsidP="00A6690B">
      <w:pPr>
        <w:rPr>
          <w:rFonts w:ascii="Verdana" w:hAnsi="Verdana" w:cs="Arial"/>
          <w:b/>
          <w:sz w:val="24"/>
          <w:szCs w:val="24"/>
        </w:rPr>
      </w:pPr>
    </w:p>
    <w:p w14:paraId="28EC216A" w14:textId="77777777" w:rsidR="005A3FA3" w:rsidRPr="009A730B" w:rsidRDefault="005A3FA3" w:rsidP="005A3FA3">
      <w:pPr>
        <w:rPr>
          <w:rFonts w:ascii="Verdana" w:hAnsi="Verdana" w:cs="Arial"/>
          <w:b/>
          <w:sz w:val="24"/>
          <w:szCs w:val="24"/>
        </w:rPr>
      </w:pPr>
    </w:p>
    <w:p w14:paraId="702D43C6" w14:textId="77777777" w:rsidR="007252BE" w:rsidRPr="009A730B" w:rsidRDefault="007252BE" w:rsidP="006E6D6C">
      <w:pPr>
        <w:jc w:val="center"/>
        <w:rPr>
          <w:rFonts w:ascii="Verdana" w:hAnsi="Verdana" w:cs="Arial"/>
          <w:b/>
          <w:sz w:val="24"/>
          <w:szCs w:val="24"/>
          <w:u w:val="single"/>
        </w:rPr>
      </w:pPr>
    </w:p>
    <w:p w14:paraId="138DF952" w14:textId="77777777" w:rsidR="007252BE" w:rsidRPr="009A730B" w:rsidRDefault="007252BE" w:rsidP="006E6D6C">
      <w:pPr>
        <w:jc w:val="center"/>
        <w:rPr>
          <w:rFonts w:ascii="Verdana" w:hAnsi="Verdana" w:cs="Arial"/>
          <w:b/>
          <w:sz w:val="24"/>
          <w:szCs w:val="24"/>
          <w:u w:val="single"/>
        </w:rPr>
      </w:pPr>
    </w:p>
    <w:p w14:paraId="48A271F7" w14:textId="77777777" w:rsidR="007252BE" w:rsidRPr="009A730B" w:rsidRDefault="007252BE" w:rsidP="006E6D6C">
      <w:pPr>
        <w:jc w:val="center"/>
        <w:rPr>
          <w:rFonts w:ascii="Verdana" w:hAnsi="Verdana" w:cs="Arial"/>
          <w:b/>
          <w:sz w:val="24"/>
          <w:szCs w:val="24"/>
          <w:u w:val="single"/>
        </w:rPr>
      </w:pPr>
    </w:p>
    <w:p w14:paraId="1AFAECE5" w14:textId="77777777" w:rsidR="007252BE" w:rsidRPr="009A730B" w:rsidRDefault="007252BE" w:rsidP="006E6D6C">
      <w:pPr>
        <w:jc w:val="center"/>
        <w:rPr>
          <w:rFonts w:ascii="Verdana" w:hAnsi="Verdana" w:cs="Arial"/>
          <w:b/>
          <w:sz w:val="24"/>
          <w:szCs w:val="24"/>
          <w:u w:val="single"/>
        </w:rPr>
      </w:pPr>
    </w:p>
    <w:p w14:paraId="275ED0B4" w14:textId="77777777" w:rsidR="007252BE" w:rsidRPr="009A730B" w:rsidRDefault="007252BE" w:rsidP="006E6D6C">
      <w:pPr>
        <w:jc w:val="center"/>
        <w:rPr>
          <w:rFonts w:ascii="Verdana" w:hAnsi="Verdana" w:cs="Arial"/>
          <w:b/>
          <w:sz w:val="24"/>
          <w:szCs w:val="24"/>
          <w:u w:val="single"/>
        </w:rPr>
      </w:pPr>
    </w:p>
    <w:p w14:paraId="7B79561D" w14:textId="77777777" w:rsidR="00E614D5" w:rsidRPr="009A730B" w:rsidRDefault="00E614D5" w:rsidP="006E6D6C">
      <w:pPr>
        <w:jc w:val="center"/>
        <w:rPr>
          <w:rFonts w:ascii="Verdana" w:hAnsi="Verdana" w:cs="Arial"/>
          <w:b/>
          <w:sz w:val="24"/>
          <w:szCs w:val="24"/>
          <w:u w:val="single"/>
        </w:rPr>
      </w:pPr>
    </w:p>
    <w:p w14:paraId="78E996BC" w14:textId="77777777" w:rsidR="007252BE" w:rsidRPr="009A730B" w:rsidRDefault="007252BE" w:rsidP="006E6D6C">
      <w:pPr>
        <w:jc w:val="center"/>
        <w:rPr>
          <w:rFonts w:ascii="Verdana" w:hAnsi="Verdana" w:cs="Arial"/>
          <w:b/>
          <w:sz w:val="24"/>
          <w:szCs w:val="24"/>
          <w:u w:val="single"/>
        </w:rPr>
      </w:pPr>
    </w:p>
    <w:p w14:paraId="3448A268" w14:textId="77777777" w:rsidR="007252BE" w:rsidRPr="009A730B" w:rsidRDefault="007252BE" w:rsidP="006E6D6C">
      <w:pPr>
        <w:jc w:val="center"/>
        <w:rPr>
          <w:rFonts w:ascii="Verdana" w:hAnsi="Verdana" w:cs="Arial"/>
          <w:b/>
          <w:sz w:val="24"/>
          <w:szCs w:val="24"/>
          <w:u w:val="single"/>
        </w:rPr>
      </w:pPr>
    </w:p>
    <w:p w14:paraId="618B5036" w14:textId="77777777" w:rsidR="007252BE" w:rsidRPr="009A730B" w:rsidRDefault="007252BE" w:rsidP="006E6D6C">
      <w:pPr>
        <w:jc w:val="center"/>
        <w:rPr>
          <w:rFonts w:ascii="Verdana" w:hAnsi="Verdana" w:cs="Arial"/>
          <w:b/>
          <w:sz w:val="24"/>
          <w:szCs w:val="24"/>
          <w:u w:val="single"/>
        </w:rPr>
      </w:pPr>
    </w:p>
    <w:p w14:paraId="38911F0E" w14:textId="77777777" w:rsidR="007252BE" w:rsidRPr="009A730B" w:rsidRDefault="007252BE" w:rsidP="006E6D6C">
      <w:pPr>
        <w:jc w:val="center"/>
        <w:rPr>
          <w:rFonts w:ascii="Verdana" w:hAnsi="Verdana" w:cs="Arial"/>
          <w:b/>
          <w:sz w:val="24"/>
          <w:szCs w:val="24"/>
          <w:u w:val="single"/>
        </w:rPr>
      </w:pPr>
    </w:p>
    <w:p w14:paraId="4DFAD8B0" w14:textId="064633C2" w:rsidR="00944EB6" w:rsidRPr="009A730B" w:rsidRDefault="00944EB6">
      <w:pPr>
        <w:rPr>
          <w:rFonts w:ascii="Verdana" w:hAnsi="Verdana" w:cs="Arial"/>
          <w:b/>
          <w:sz w:val="24"/>
          <w:szCs w:val="24"/>
          <w:u w:val="single"/>
        </w:rPr>
      </w:pPr>
    </w:p>
    <w:p w14:paraId="4E3C3DAB" w14:textId="781698B1" w:rsidR="00F150F9" w:rsidRPr="009A730B" w:rsidRDefault="00F150F9">
      <w:pPr>
        <w:rPr>
          <w:rFonts w:ascii="Verdana" w:hAnsi="Verdana" w:cs="Arial"/>
          <w:b/>
          <w:sz w:val="24"/>
          <w:szCs w:val="24"/>
          <w:u w:val="single"/>
        </w:rPr>
      </w:pPr>
    </w:p>
    <w:p w14:paraId="15ECBAC2" w14:textId="35C57314" w:rsidR="00F150F9" w:rsidRPr="009A730B" w:rsidRDefault="00F150F9">
      <w:pPr>
        <w:rPr>
          <w:rFonts w:ascii="Verdana" w:hAnsi="Verdana" w:cs="Arial"/>
          <w:b/>
          <w:sz w:val="24"/>
          <w:szCs w:val="24"/>
          <w:u w:val="single"/>
        </w:rPr>
      </w:pPr>
    </w:p>
    <w:p w14:paraId="72DC8E7E" w14:textId="12537BE0" w:rsidR="00F150F9" w:rsidRPr="009A730B" w:rsidRDefault="00F150F9">
      <w:pPr>
        <w:rPr>
          <w:rFonts w:ascii="Verdana" w:hAnsi="Verdana" w:cs="Arial"/>
          <w:b/>
          <w:sz w:val="24"/>
          <w:szCs w:val="24"/>
          <w:u w:val="single"/>
        </w:rPr>
      </w:pPr>
    </w:p>
    <w:p w14:paraId="27C3FCD8" w14:textId="427ED028" w:rsidR="00F150F9" w:rsidRPr="009A730B" w:rsidRDefault="00F150F9">
      <w:pPr>
        <w:rPr>
          <w:rFonts w:ascii="Verdana" w:hAnsi="Verdana" w:cs="Arial"/>
          <w:b/>
          <w:sz w:val="24"/>
          <w:szCs w:val="24"/>
          <w:u w:val="single"/>
        </w:rPr>
      </w:pPr>
    </w:p>
    <w:p w14:paraId="16046F7E" w14:textId="4335E9E6" w:rsidR="00076750" w:rsidRPr="009A730B" w:rsidRDefault="00076750">
      <w:pPr>
        <w:rPr>
          <w:rFonts w:ascii="Verdana" w:hAnsi="Verdana" w:cs="Arial"/>
          <w:b/>
          <w:sz w:val="24"/>
          <w:szCs w:val="24"/>
          <w:u w:val="single"/>
        </w:rPr>
      </w:pPr>
    </w:p>
    <w:p w14:paraId="20266C68" w14:textId="734110DC" w:rsidR="00D11A39" w:rsidRPr="009A730B" w:rsidRDefault="00D11A39" w:rsidP="6D8E5F83">
      <w:pPr>
        <w:rPr>
          <w:rFonts w:ascii="Verdana" w:hAnsi="Verdana" w:cs="Arial"/>
          <w:b/>
          <w:bCs/>
          <w:sz w:val="24"/>
          <w:szCs w:val="24"/>
          <w:u w:val="single"/>
        </w:rPr>
      </w:pPr>
    </w:p>
    <w:p w14:paraId="13DD9E21" w14:textId="77777777" w:rsidR="00ED3EBB" w:rsidRPr="009A730B" w:rsidRDefault="00ED3EBB" w:rsidP="6D8E5F83">
      <w:pPr>
        <w:rPr>
          <w:rFonts w:ascii="Verdana" w:hAnsi="Verdana" w:cs="Arial"/>
          <w:b/>
          <w:bCs/>
          <w:sz w:val="24"/>
          <w:szCs w:val="24"/>
          <w:u w:val="single"/>
        </w:rPr>
      </w:pPr>
    </w:p>
    <w:p w14:paraId="1C5E97EC" w14:textId="274AE431" w:rsidR="00F150F9" w:rsidRDefault="36830894" w:rsidP="17E063F3">
      <w:pPr>
        <w:spacing w:after="0" w:line="240" w:lineRule="auto"/>
        <w:jc w:val="center"/>
        <w:rPr>
          <w:rFonts w:ascii="Verdana" w:hAnsi="Verdana" w:cs="Arial"/>
          <w:b/>
          <w:bCs/>
          <w:sz w:val="24"/>
          <w:szCs w:val="24"/>
          <w:u w:val="single"/>
        </w:rPr>
      </w:pPr>
      <w:r w:rsidRPr="009A730B">
        <w:rPr>
          <w:rFonts w:ascii="Verdana" w:hAnsi="Verdana" w:cs="Arial"/>
          <w:b/>
          <w:bCs/>
          <w:sz w:val="24"/>
          <w:szCs w:val="24"/>
          <w:u w:val="single"/>
        </w:rPr>
        <w:t xml:space="preserve">Section 1 </w:t>
      </w:r>
    </w:p>
    <w:p w14:paraId="5E51FBB6" w14:textId="77777777" w:rsidR="00D244CD" w:rsidRPr="009A730B" w:rsidRDefault="00D244CD" w:rsidP="17E063F3">
      <w:pPr>
        <w:spacing w:after="0" w:line="240" w:lineRule="auto"/>
        <w:jc w:val="center"/>
        <w:rPr>
          <w:rFonts w:ascii="Verdana" w:hAnsi="Verdana" w:cs="Arial"/>
          <w:b/>
          <w:bCs/>
          <w:sz w:val="24"/>
          <w:szCs w:val="24"/>
          <w:u w:val="single"/>
        </w:rPr>
      </w:pPr>
    </w:p>
    <w:p w14:paraId="11F1D027" w14:textId="24C7B45A" w:rsidR="007252BE" w:rsidRPr="009A730B" w:rsidRDefault="5130E4FE" w:rsidP="6F2B4365">
      <w:pPr>
        <w:spacing w:after="0" w:line="240" w:lineRule="auto"/>
        <w:jc w:val="center"/>
        <w:rPr>
          <w:rFonts w:ascii="Verdana" w:hAnsi="Verdana" w:cs="Arial"/>
          <w:b/>
          <w:bCs/>
          <w:sz w:val="24"/>
          <w:szCs w:val="24"/>
        </w:rPr>
      </w:pPr>
      <w:r w:rsidRPr="009A730B">
        <w:rPr>
          <w:rFonts w:ascii="Verdana" w:hAnsi="Verdana" w:cs="Arial"/>
          <w:b/>
          <w:bCs/>
          <w:sz w:val="24"/>
          <w:szCs w:val="24"/>
        </w:rPr>
        <w:t>Introdu</w:t>
      </w:r>
      <w:r w:rsidR="06BE11C0" w:rsidRPr="009A730B">
        <w:rPr>
          <w:rFonts w:ascii="Verdana" w:hAnsi="Verdana" w:cs="Arial"/>
          <w:b/>
          <w:bCs/>
          <w:sz w:val="24"/>
          <w:szCs w:val="24"/>
        </w:rPr>
        <w:t>ction</w:t>
      </w:r>
    </w:p>
    <w:p w14:paraId="62A65C21" w14:textId="4F499E3F" w:rsidR="6F2B4365" w:rsidRPr="009A730B" w:rsidRDefault="6F2B4365" w:rsidP="6F2B4365">
      <w:pPr>
        <w:pStyle w:val="ListParagraph"/>
        <w:spacing w:after="0" w:line="240" w:lineRule="auto"/>
        <w:ind w:left="360"/>
        <w:jc w:val="center"/>
        <w:rPr>
          <w:rFonts w:ascii="Verdana" w:hAnsi="Verdana" w:cs="Arial"/>
          <w:b/>
          <w:bCs/>
          <w:sz w:val="24"/>
          <w:szCs w:val="24"/>
        </w:rPr>
      </w:pPr>
    </w:p>
    <w:p w14:paraId="66D5CE55" w14:textId="73B4E61B" w:rsidR="6F9E36DB" w:rsidRPr="009A730B" w:rsidRDefault="6F9E36DB" w:rsidP="6F2B4365">
      <w:pPr>
        <w:spacing w:before="240" w:after="240"/>
        <w:jc w:val="center"/>
        <w:rPr>
          <w:rFonts w:ascii="Verdana" w:eastAsia="Verdana" w:hAnsi="Verdana" w:cs="Verdana"/>
          <w:sz w:val="28"/>
          <w:szCs w:val="28"/>
        </w:rPr>
      </w:pPr>
      <w:r w:rsidRPr="009A730B">
        <w:rPr>
          <w:rFonts w:ascii="Verdana" w:eastAsia="Verdana" w:hAnsi="Verdana" w:cs="Verdana"/>
          <w:sz w:val="24"/>
          <w:szCs w:val="24"/>
        </w:rPr>
        <w:t xml:space="preserve">The </w:t>
      </w:r>
      <w:r w:rsidR="601A558E" w:rsidRPr="009A730B">
        <w:rPr>
          <w:rFonts w:ascii="Verdana" w:eastAsia="Verdana" w:hAnsi="Verdana" w:cs="Verdana"/>
          <w:sz w:val="24"/>
          <w:szCs w:val="24"/>
        </w:rPr>
        <w:t xml:space="preserve">Swansea Bay University Health Board (SBUHB) has established several formal </w:t>
      </w:r>
      <w:r w:rsidR="398C8628" w:rsidRPr="009A730B">
        <w:rPr>
          <w:rFonts w:ascii="Verdana" w:eastAsia="Verdana" w:hAnsi="Verdana" w:cs="Verdana"/>
          <w:sz w:val="24"/>
          <w:szCs w:val="24"/>
        </w:rPr>
        <w:t>C</w:t>
      </w:r>
      <w:r w:rsidR="601A558E" w:rsidRPr="009A730B">
        <w:rPr>
          <w:rFonts w:ascii="Verdana" w:eastAsia="Verdana" w:hAnsi="Verdana" w:cs="Verdana"/>
          <w:sz w:val="24"/>
          <w:szCs w:val="24"/>
        </w:rPr>
        <w:t xml:space="preserve">ommittees to support its system of governance, assurance, and decision-making. The annual report outlines the arrangements and activities of these </w:t>
      </w:r>
      <w:r w:rsidR="268ED686" w:rsidRPr="009A730B">
        <w:rPr>
          <w:rFonts w:ascii="Verdana" w:eastAsia="Verdana" w:hAnsi="Verdana" w:cs="Verdana"/>
          <w:sz w:val="24"/>
          <w:szCs w:val="24"/>
        </w:rPr>
        <w:t>C</w:t>
      </w:r>
      <w:r w:rsidR="601A558E" w:rsidRPr="009A730B">
        <w:rPr>
          <w:rFonts w:ascii="Verdana" w:eastAsia="Verdana" w:hAnsi="Verdana" w:cs="Verdana"/>
          <w:sz w:val="24"/>
          <w:szCs w:val="24"/>
        </w:rPr>
        <w:t>ommittees during the 202</w:t>
      </w:r>
      <w:r w:rsidR="00C06B3A">
        <w:rPr>
          <w:rFonts w:ascii="Verdana" w:eastAsia="Verdana" w:hAnsi="Verdana" w:cs="Verdana"/>
          <w:sz w:val="24"/>
          <w:szCs w:val="24"/>
        </w:rPr>
        <w:t>5</w:t>
      </w:r>
      <w:r w:rsidR="00B312EB">
        <w:rPr>
          <w:rFonts w:ascii="Verdana" w:eastAsia="Verdana" w:hAnsi="Verdana" w:cs="Verdana"/>
          <w:sz w:val="24"/>
          <w:szCs w:val="24"/>
        </w:rPr>
        <w:t>/26</w:t>
      </w:r>
      <w:r w:rsidR="601A558E" w:rsidRPr="009A730B">
        <w:rPr>
          <w:rFonts w:ascii="Verdana" w:eastAsia="Verdana" w:hAnsi="Verdana" w:cs="Verdana"/>
          <w:sz w:val="24"/>
          <w:szCs w:val="24"/>
        </w:rPr>
        <w:t xml:space="preserve"> reporting period.</w:t>
      </w:r>
    </w:p>
    <w:p w14:paraId="2A3DF189" w14:textId="748AF2DF" w:rsidR="601A558E" w:rsidRPr="009A730B" w:rsidRDefault="601A558E" w:rsidP="6F2B4365">
      <w:pPr>
        <w:spacing w:before="240" w:after="240"/>
        <w:jc w:val="center"/>
        <w:rPr>
          <w:rFonts w:ascii="Verdana" w:eastAsia="Verdana" w:hAnsi="Verdana" w:cs="Verdana"/>
          <w:sz w:val="28"/>
          <w:szCs w:val="28"/>
        </w:rPr>
      </w:pPr>
      <w:r w:rsidRPr="009A730B">
        <w:rPr>
          <w:rFonts w:ascii="Verdana" w:eastAsia="Verdana" w:hAnsi="Verdana" w:cs="Verdana"/>
          <w:sz w:val="24"/>
          <w:szCs w:val="24"/>
        </w:rPr>
        <w:t xml:space="preserve">Each </w:t>
      </w:r>
      <w:r w:rsidR="12270A2D" w:rsidRPr="009A730B">
        <w:rPr>
          <w:rFonts w:ascii="Verdana" w:eastAsia="Verdana" w:hAnsi="Verdana" w:cs="Verdana"/>
          <w:sz w:val="24"/>
          <w:szCs w:val="24"/>
        </w:rPr>
        <w:t>C</w:t>
      </w:r>
      <w:r w:rsidRPr="009A730B">
        <w:rPr>
          <w:rFonts w:ascii="Verdana" w:eastAsia="Verdana" w:hAnsi="Verdana" w:cs="Verdana"/>
          <w:sz w:val="24"/>
          <w:szCs w:val="24"/>
        </w:rPr>
        <w:t>ommittee is chaired by an Independent Member of the Board and plays a critical role in the oversight and scrutiny of key areas, including risk management, assurance processes, performance monitoring, and strategic decision-making. The diagram below illustrates the current committee structure in place across the Health Board.</w:t>
      </w:r>
    </w:p>
    <w:p w14:paraId="43C529B6" w14:textId="30CC8272" w:rsidR="601A558E" w:rsidRPr="009A730B" w:rsidRDefault="601A558E" w:rsidP="6F2B4365">
      <w:pPr>
        <w:spacing w:before="240" w:after="240"/>
        <w:jc w:val="center"/>
        <w:rPr>
          <w:rFonts w:ascii="Verdana" w:eastAsia="Verdana" w:hAnsi="Verdana" w:cs="Verdana"/>
          <w:sz w:val="28"/>
          <w:szCs w:val="28"/>
        </w:rPr>
      </w:pPr>
      <w:r w:rsidRPr="009A730B">
        <w:rPr>
          <w:rFonts w:ascii="Verdana" w:eastAsia="Verdana" w:hAnsi="Verdana" w:cs="Verdana"/>
          <w:sz w:val="24"/>
          <w:szCs w:val="24"/>
        </w:rPr>
        <w:t xml:space="preserve">Following each </w:t>
      </w:r>
      <w:r w:rsidR="349A9C2F" w:rsidRPr="009A730B">
        <w:rPr>
          <w:rFonts w:ascii="Verdana" w:eastAsia="Verdana" w:hAnsi="Verdana" w:cs="Verdana"/>
          <w:sz w:val="24"/>
          <w:szCs w:val="24"/>
        </w:rPr>
        <w:t>C</w:t>
      </w:r>
      <w:r w:rsidRPr="009A730B">
        <w:rPr>
          <w:rFonts w:ascii="Verdana" w:eastAsia="Verdana" w:hAnsi="Verdana" w:cs="Verdana"/>
          <w:sz w:val="24"/>
          <w:szCs w:val="24"/>
        </w:rPr>
        <w:t xml:space="preserve">ommittee meeting, a summary of key discussions and decisions is presented to the Board at its next formal meeting. Additionally, all papers for the public sessions of both Board and </w:t>
      </w:r>
      <w:r w:rsidR="7A2ADC02" w:rsidRPr="009A730B">
        <w:rPr>
          <w:rFonts w:ascii="Verdana" w:eastAsia="Verdana" w:hAnsi="Verdana" w:cs="Verdana"/>
          <w:sz w:val="24"/>
          <w:szCs w:val="24"/>
        </w:rPr>
        <w:t>C</w:t>
      </w:r>
      <w:r w:rsidRPr="009A730B">
        <w:rPr>
          <w:rFonts w:ascii="Verdana" w:eastAsia="Verdana" w:hAnsi="Verdana" w:cs="Verdana"/>
          <w:sz w:val="24"/>
          <w:szCs w:val="24"/>
        </w:rPr>
        <w:t>ommittee meetings are made available via the Health Board’s</w:t>
      </w:r>
      <w:r w:rsidR="597CF1B5" w:rsidRPr="009A730B">
        <w:rPr>
          <w:rFonts w:ascii="Verdana" w:eastAsia="Verdana" w:hAnsi="Verdana" w:cs="Verdana"/>
          <w:sz w:val="24"/>
          <w:szCs w:val="24"/>
        </w:rPr>
        <w:t xml:space="preserve"> </w:t>
      </w:r>
      <w:hyperlink r:id="rId16">
        <w:r w:rsidR="597CF1B5" w:rsidRPr="009A730B">
          <w:rPr>
            <w:rFonts w:ascii="Verdana" w:hAnsi="Verdana" w:cs="Arial"/>
            <w:color w:val="0563C1"/>
            <w:sz w:val="24"/>
            <w:szCs w:val="24"/>
            <w:u w:val="single"/>
          </w:rPr>
          <w:t>website</w:t>
        </w:r>
      </w:hyperlink>
      <w:r w:rsidRPr="009A730B">
        <w:rPr>
          <w:rFonts w:ascii="Verdana" w:eastAsia="Verdana" w:hAnsi="Verdana" w:cs="Verdana"/>
          <w:sz w:val="24"/>
          <w:szCs w:val="24"/>
        </w:rPr>
        <w:t xml:space="preserve"> .</w:t>
      </w:r>
    </w:p>
    <w:p w14:paraId="0AE80AE8" w14:textId="200421DC" w:rsidR="008F78E1" w:rsidRPr="009A730B" w:rsidRDefault="601A558E" w:rsidP="00ED3EBB">
      <w:pPr>
        <w:spacing w:before="240" w:after="240"/>
        <w:jc w:val="center"/>
        <w:rPr>
          <w:rFonts w:ascii="Verdana" w:eastAsia="Verdana" w:hAnsi="Verdana" w:cs="Verdana"/>
          <w:sz w:val="28"/>
          <w:szCs w:val="28"/>
        </w:rPr>
        <w:sectPr w:rsidR="008F78E1" w:rsidRPr="009A730B" w:rsidSect="00590449">
          <w:headerReference w:type="default" r:id="rId17"/>
          <w:footerReference w:type="first" r:id="rId18"/>
          <w:pgSz w:w="11906" w:h="16838"/>
          <w:pgMar w:top="1440" w:right="1440" w:bottom="1440" w:left="1440"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r w:rsidRPr="009A730B">
        <w:rPr>
          <w:rFonts w:ascii="Verdana" w:eastAsia="Verdana" w:hAnsi="Verdana" w:cs="Verdana"/>
          <w:sz w:val="24"/>
          <w:szCs w:val="24"/>
        </w:rPr>
        <w:t xml:space="preserve">It is recognised that certain meetings or agenda items are not made public. This occurs where matters are of a confidential nature or are in the early stages of development. While the Health Board remains committed to transparency and holding meetings in public where appropriate, it acknowledges that the scale and frequency of </w:t>
      </w:r>
      <w:r w:rsidR="4A9D9A15" w:rsidRPr="009A730B">
        <w:rPr>
          <w:rFonts w:ascii="Verdana" w:eastAsia="Verdana" w:hAnsi="Verdana" w:cs="Verdana"/>
          <w:sz w:val="24"/>
          <w:szCs w:val="24"/>
        </w:rPr>
        <w:t>C</w:t>
      </w:r>
      <w:r w:rsidRPr="009A730B">
        <w:rPr>
          <w:rFonts w:ascii="Verdana" w:eastAsia="Verdana" w:hAnsi="Verdana" w:cs="Verdana"/>
          <w:sz w:val="24"/>
          <w:szCs w:val="24"/>
        </w:rPr>
        <w:t xml:space="preserve">ommittee meetings make live-streaming resource intensive. However, consideration will continue to be given to identifying practical options for increasing public access to </w:t>
      </w:r>
      <w:r w:rsidR="7DBC7A4C" w:rsidRPr="009A730B">
        <w:rPr>
          <w:rFonts w:ascii="Verdana" w:eastAsia="Verdana" w:hAnsi="Verdana" w:cs="Verdana"/>
          <w:sz w:val="24"/>
          <w:szCs w:val="24"/>
        </w:rPr>
        <w:t>C</w:t>
      </w:r>
      <w:r w:rsidRPr="009A730B">
        <w:rPr>
          <w:rFonts w:ascii="Verdana" w:eastAsia="Verdana" w:hAnsi="Verdana" w:cs="Verdana"/>
          <w:sz w:val="24"/>
          <w:szCs w:val="24"/>
        </w:rPr>
        <w:t>ommittee proceedings in future</w:t>
      </w:r>
    </w:p>
    <w:p w14:paraId="60BE92D9" w14:textId="0634D508" w:rsidR="005C22D0" w:rsidRPr="009A730B" w:rsidRDefault="00207956" w:rsidP="00D244CD">
      <w:pPr>
        <w:jc w:val="center"/>
        <w:rPr>
          <w:rFonts w:ascii="Verdana" w:hAnsi="Verdana" w:cs="Arial"/>
          <w:b/>
          <w:sz w:val="24"/>
          <w:szCs w:val="24"/>
          <w:u w:val="single"/>
        </w:rPr>
      </w:pPr>
      <w:r w:rsidRPr="009A730B">
        <w:rPr>
          <w:rFonts w:ascii="Verdana" w:hAnsi="Verdana" w:cs="Arial"/>
          <w:b/>
          <w:sz w:val="24"/>
          <w:szCs w:val="24"/>
          <w:u w:val="single"/>
        </w:rPr>
        <w:lastRenderedPageBreak/>
        <w:t>Committee Membershi</w:t>
      </w:r>
      <w:r w:rsidR="00CF5AA0" w:rsidRPr="009A730B">
        <w:rPr>
          <w:rFonts w:ascii="Verdana" w:hAnsi="Verdana" w:cs="Arial"/>
          <w:b/>
          <w:sz w:val="24"/>
          <w:szCs w:val="24"/>
          <w:u w:val="single"/>
        </w:rPr>
        <w:t>p</w:t>
      </w:r>
      <w:r w:rsidR="00B25CD1">
        <w:rPr>
          <w:rFonts w:ascii="Verdana" w:hAnsi="Verdana" w:cs="Arial"/>
          <w:b/>
          <w:sz w:val="24"/>
          <w:szCs w:val="24"/>
          <w:u w:val="single"/>
        </w:rPr>
        <w:t xml:space="preserve"> 2025-26</w:t>
      </w:r>
    </w:p>
    <w:tbl>
      <w:tblPr>
        <w:tblStyle w:val="GridTable2-Accent1"/>
        <w:tblpPr w:leftFromText="180" w:rightFromText="180" w:horzAnchor="margin" w:tblpXSpec="center" w:tblpY="992"/>
        <w:tblW w:w="14958" w:type="dxa"/>
        <w:tblLook w:val="04A0" w:firstRow="1" w:lastRow="0" w:firstColumn="1" w:lastColumn="0" w:noHBand="0" w:noVBand="1"/>
      </w:tblPr>
      <w:tblGrid>
        <w:gridCol w:w="1942"/>
        <w:gridCol w:w="4255"/>
        <w:gridCol w:w="2629"/>
        <w:gridCol w:w="4514"/>
        <w:gridCol w:w="1618"/>
      </w:tblGrid>
      <w:tr w:rsidR="00AB18D8" w:rsidRPr="009A730B" w14:paraId="4DA19ACD" w14:textId="77777777" w:rsidTr="223825E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2" w:type="dxa"/>
          </w:tcPr>
          <w:p w14:paraId="0A14683A" w14:textId="77777777" w:rsidR="001505E6" w:rsidRPr="009A730B" w:rsidRDefault="001505E6" w:rsidP="00CF5AA0">
            <w:pPr>
              <w:jc w:val="center"/>
              <w:rPr>
                <w:rFonts w:ascii="Verdana" w:hAnsi="Verdana" w:cs="Arial"/>
                <w:sz w:val="24"/>
                <w:szCs w:val="24"/>
              </w:rPr>
            </w:pPr>
            <w:r w:rsidRPr="009A730B">
              <w:rPr>
                <w:rFonts w:ascii="Verdana" w:hAnsi="Verdana" w:cs="Arial"/>
                <w:sz w:val="24"/>
                <w:szCs w:val="24"/>
              </w:rPr>
              <w:t>Name of Committee</w:t>
            </w:r>
          </w:p>
        </w:tc>
        <w:tc>
          <w:tcPr>
            <w:tcW w:w="4292" w:type="dxa"/>
          </w:tcPr>
          <w:p w14:paraId="4BEF20EF" w14:textId="77777777" w:rsidR="001505E6" w:rsidRPr="009A730B" w:rsidRDefault="001505E6" w:rsidP="00863C5D">
            <w:pPr>
              <w:jc w:val="center"/>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Executives</w:t>
            </w:r>
          </w:p>
        </w:tc>
        <w:tc>
          <w:tcPr>
            <w:tcW w:w="2640" w:type="dxa"/>
          </w:tcPr>
          <w:p w14:paraId="2FCF3C94" w14:textId="77777777" w:rsidR="001505E6" w:rsidRPr="009A730B" w:rsidRDefault="001505E6" w:rsidP="00863C5D">
            <w:pPr>
              <w:jc w:val="center"/>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Independent Members</w:t>
            </w:r>
          </w:p>
        </w:tc>
        <w:tc>
          <w:tcPr>
            <w:tcW w:w="4599" w:type="dxa"/>
          </w:tcPr>
          <w:p w14:paraId="3C53C5BE" w14:textId="77777777" w:rsidR="001505E6" w:rsidRPr="009A730B" w:rsidRDefault="001505E6" w:rsidP="00863C5D">
            <w:pPr>
              <w:jc w:val="center"/>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Secretariat</w:t>
            </w:r>
          </w:p>
        </w:tc>
        <w:tc>
          <w:tcPr>
            <w:tcW w:w="1485" w:type="dxa"/>
          </w:tcPr>
          <w:p w14:paraId="74D5EAE7" w14:textId="77777777" w:rsidR="001505E6" w:rsidRPr="009A730B" w:rsidRDefault="001505E6" w:rsidP="00863C5D">
            <w:pPr>
              <w:jc w:val="center"/>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Frequency</w:t>
            </w:r>
          </w:p>
        </w:tc>
      </w:tr>
      <w:tr w:rsidR="00AB18D8" w:rsidRPr="009A730B" w14:paraId="26C46BB3" w14:textId="77777777" w:rsidTr="223825EA">
        <w:trPr>
          <w:cnfStyle w:val="000000100000" w:firstRow="0" w:lastRow="0" w:firstColumn="0" w:lastColumn="0" w:oddVBand="0" w:evenVBand="0" w:oddHBand="1" w:evenHBand="0" w:firstRowFirstColumn="0" w:firstRowLastColumn="0" w:lastRowFirstColumn="0" w:lastRowLastColumn="0"/>
          <w:trHeight w:val="960"/>
        </w:trPr>
        <w:tc>
          <w:tcPr>
            <w:cnfStyle w:val="001000000000" w:firstRow="0" w:lastRow="0" w:firstColumn="1" w:lastColumn="0" w:oddVBand="0" w:evenVBand="0" w:oddHBand="0" w:evenHBand="0" w:firstRowFirstColumn="0" w:firstRowLastColumn="0" w:lastRowFirstColumn="0" w:lastRowLastColumn="0"/>
            <w:tcW w:w="1942" w:type="dxa"/>
          </w:tcPr>
          <w:p w14:paraId="4BBC801E" w14:textId="77777777" w:rsidR="001505E6" w:rsidRPr="009A730B" w:rsidRDefault="00E8319B" w:rsidP="005C22D0">
            <w:pPr>
              <w:rPr>
                <w:rFonts w:ascii="Verdana" w:hAnsi="Verdana" w:cs="Arial"/>
                <w:sz w:val="24"/>
                <w:szCs w:val="24"/>
              </w:rPr>
            </w:pPr>
            <w:r w:rsidRPr="009A730B">
              <w:rPr>
                <w:rFonts w:ascii="Verdana" w:hAnsi="Verdana" w:cs="Arial"/>
                <w:sz w:val="24"/>
                <w:szCs w:val="24"/>
              </w:rPr>
              <w:t xml:space="preserve">Quality and </w:t>
            </w:r>
            <w:r w:rsidR="001505E6" w:rsidRPr="009A730B">
              <w:rPr>
                <w:rFonts w:ascii="Verdana" w:hAnsi="Verdana" w:cs="Arial"/>
                <w:sz w:val="24"/>
                <w:szCs w:val="24"/>
              </w:rPr>
              <w:t>Safety Committee</w:t>
            </w:r>
          </w:p>
        </w:tc>
        <w:tc>
          <w:tcPr>
            <w:tcW w:w="4292" w:type="dxa"/>
          </w:tcPr>
          <w:p w14:paraId="20ED036C" w14:textId="07A3FAE1" w:rsidR="00B65202" w:rsidRDefault="00B65202" w:rsidP="00C2615D">
            <w:pPr>
              <w:pStyle w:val="ListParagraph"/>
              <w:numPr>
                <w:ilvl w:val="0"/>
                <w:numId w:val="13"/>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cs="Arial"/>
                <w:sz w:val="24"/>
                <w:szCs w:val="24"/>
              </w:rPr>
              <w:t xml:space="preserve">Elizabeth Rix, Executive Director of Nursing </w:t>
            </w:r>
            <w:r w:rsidR="00274348">
              <w:rPr>
                <w:rFonts w:ascii="Verdana" w:hAnsi="Verdana" w:cs="Arial"/>
                <w:sz w:val="24"/>
                <w:szCs w:val="24"/>
              </w:rPr>
              <w:t xml:space="preserve">and Patient Experience </w:t>
            </w:r>
          </w:p>
          <w:p w14:paraId="3CCEF4A9" w14:textId="4E90B7EE" w:rsidR="367FE9B2" w:rsidRDefault="231C2C97" w:rsidP="00C2615D">
            <w:pPr>
              <w:pStyle w:val="ListParagraph"/>
              <w:numPr>
                <w:ilvl w:val="0"/>
                <w:numId w:val="13"/>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63897B96">
              <w:rPr>
                <w:rFonts w:ascii="Verdana" w:hAnsi="Verdana" w:cs="Arial"/>
                <w:sz w:val="24"/>
                <w:szCs w:val="24"/>
              </w:rPr>
              <w:t xml:space="preserve">Richard Evans, Executive Medical Director </w:t>
            </w:r>
          </w:p>
          <w:p w14:paraId="2ADB670B" w14:textId="270533FA" w:rsidR="006C33AC" w:rsidRPr="009A730B" w:rsidRDefault="59D406D0" w:rsidP="00C2615D">
            <w:pPr>
              <w:pStyle w:val="ListParagraph"/>
              <w:numPr>
                <w:ilvl w:val="0"/>
                <w:numId w:val="13"/>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Christine Morrell</w:t>
            </w:r>
            <w:r w:rsidR="12EC2A4C" w:rsidRPr="009A730B">
              <w:rPr>
                <w:rFonts w:ascii="Verdana" w:hAnsi="Verdana" w:cs="Arial"/>
                <w:sz w:val="24"/>
                <w:szCs w:val="24"/>
              </w:rPr>
              <w:t xml:space="preserve">, </w:t>
            </w:r>
            <w:r w:rsidR="28998A59" w:rsidRPr="009A730B">
              <w:rPr>
                <w:rFonts w:ascii="Verdana" w:hAnsi="Verdana" w:cs="Arial"/>
                <w:sz w:val="24"/>
                <w:szCs w:val="24"/>
              </w:rPr>
              <w:t>Director of Therapies and Health Science</w:t>
            </w:r>
          </w:p>
          <w:p w14:paraId="28869D06" w14:textId="3B0450CC" w:rsidR="00652E2F" w:rsidRPr="009A730B" w:rsidRDefault="00652E2F" w:rsidP="00C2615D">
            <w:pPr>
              <w:pStyle w:val="ListParagraph"/>
              <w:numPr>
                <w:ilvl w:val="0"/>
                <w:numId w:val="13"/>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 xml:space="preserve">Hazel Lloyd, Director of Corporate Governance </w:t>
            </w:r>
          </w:p>
          <w:p w14:paraId="4DC2EB68" w14:textId="3B4AD5E1" w:rsidR="00652E2F" w:rsidRPr="009A730B" w:rsidRDefault="74F704C5" w:rsidP="00C2615D">
            <w:pPr>
              <w:pStyle w:val="ListParagraph"/>
              <w:numPr>
                <w:ilvl w:val="0"/>
                <w:numId w:val="13"/>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7E7435AC">
              <w:rPr>
                <w:rFonts w:ascii="Verdana" w:hAnsi="Verdana" w:cs="Arial"/>
                <w:sz w:val="24"/>
                <w:szCs w:val="24"/>
              </w:rPr>
              <w:t xml:space="preserve">Deb Lewis, Chief Operating Officer </w:t>
            </w:r>
          </w:p>
        </w:tc>
        <w:tc>
          <w:tcPr>
            <w:tcW w:w="2640" w:type="dxa"/>
          </w:tcPr>
          <w:p w14:paraId="29C8EDBE" w14:textId="6BFBA889" w:rsidR="00474988" w:rsidRPr="009A730B" w:rsidRDefault="5DD79173" w:rsidP="00C2615D">
            <w:pPr>
              <w:pStyle w:val="ListParagraph"/>
              <w:numPr>
                <w:ilvl w:val="0"/>
                <w:numId w:val="13"/>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4DB3C012">
              <w:rPr>
                <w:rFonts w:ascii="Verdana" w:hAnsi="Verdana" w:cs="Arial"/>
                <w:sz w:val="24"/>
                <w:szCs w:val="24"/>
              </w:rPr>
              <w:t xml:space="preserve">Jean </w:t>
            </w:r>
            <w:r w:rsidRPr="106813A2">
              <w:rPr>
                <w:rFonts w:ascii="Verdana" w:hAnsi="Verdana" w:cs="Arial"/>
                <w:sz w:val="24"/>
                <w:szCs w:val="24"/>
              </w:rPr>
              <w:t>Church</w:t>
            </w:r>
            <w:r w:rsidR="001A6A9A">
              <w:rPr>
                <w:rFonts w:ascii="Verdana" w:hAnsi="Verdana" w:cs="Arial"/>
                <w:sz w:val="24"/>
                <w:szCs w:val="24"/>
              </w:rPr>
              <w:t xml:space="preserve"> (from May 2025)</w:t>
            </w:r>
          </w:p>
          <w:p w14:paraId="0AD20775" w14:textId="6529C082" w:rsidR="001505E6" w:rsidRPr="009A730B" w:rsidRDefault="7DE55123" w:rsidP="00C2615D">
            <w:pPr>
              <w:pStyle w:val="ListParagraph"/>
              <w:numPr>
                <w:ilvl w:val="0"/>
                <w:numId w:val="13"/>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Anne-Louise Ferguson</w:t>
            </w:r>
          </w:p>
          <w:p w14:paraId="3BD29253" w14:textId="064EAF51" w:rsidR="008F0F79" w:rsidRDefault="7A2D52E3" w:rsidP="00C2615D">
            <w:pPr>
              <w:pStyle w:val="ListParagraph"/>
              <w:numPr>
                <w:ilvl w:val="0"/>
                <w:numId w:val="13"/>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63897B96">
              <w:rPr>
                <w:rFonts w:ascii="Verdana" w:hAnsi="Verdana" w:cs="Arial"/>
                <w:sz w:val="24"/>
                <w:szCs w:val="24"/>
              </w:rPr>
              <w:t>Nicola Matthews</w:t>
            </w:r>
            <w:r w:rsidR="0F6B78C2" w:rsidRPr="63897B96">
              <w:rPr>
                <w:rFonts w:ascii="Verdana" w:hAnsi="Verdana" w:cs="Arial"/>
                <w:sz w:val="24"/>
                <w:szCs w:val="24"/>
              </w:rPr>
              <w:t xml:space="preserve"> </w:t>
            </w:r>
          </w:p>
          <w:p w14:paraId="09B00462" w14:textId="1A7C949F" w:rsidR="005500BE" w:rsidRPr="005500BE" w:rsidRDefault="005500BE" w:rsidP="00C2615D">
            <w:pPr>
              <w:pStyle w:val="ListParagraph"/>
              <w:numPr>
                <w:ilvl w:val="0"/>
                <w:numId w:val="13"/>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63897B96">
              <w:rPr>
                <w:rFonts w:ascii="Verdana" w:hAnsi="Verdana" w:cs="Arial"/>
                <w:sz w:val="24"/>
                <w:szCs w:val="24"/>
              </w:rPr>
              <w:t xml:space="preserve">Steve Spill </w:t>
            </w:r>
          </w:p>
          <w:p w14:paraId="684B043C" w14:textId="583BA5B4" w:rsidR="43ED6FF5" w:rsidRDefault="43ED6FF5" w:rsidP="00C2615D">
            <w:pPr>
              <w:pStyle w:val="ListParagraph"/>
              <w:numPr>
                <w:ilvl w:val="0"/>
                <w:numId w:val="13"/>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63897B96">
              <w:rPr>
                <w:rFonts w:ascii="Verdana" w:hAnsi="Verdana" w:cs="Arial"/>
                <w:sz w:val="24"/>
                <w:szCs w:val="24"/>
              </w:rPr>
              <w:t>Jackie Davies (Until August 2025)</w:t>
            </w:r>
          </w:p>
          <w:p w14:paraId="3E208CB9" w14:textId="05CECDFC" w:rsidR="107F79B4" w:rsidRDefault="107F79B4" w:rsidP="00C2615D">
            <w:pPr>
              <w:pStyle w:val="ListParagraph"/>
              <w:numPr>
                <w:ilvl w:val="0"/>
                <w:numId w:val="13"/>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106813A2">
              <w:rPr>
                <w:rFonts w:ascii="Verdana" w:hAnsi="Verdana" w:cs="Arial"/>
                <w:sz w:val="24"/>
                <w:szCs w:val="24"/>
              </w:rPr>
              <w:t xml:space="preserve">Martin Lloyd (From </w:t>
            </w:r>
            <w:r w:rsidRPr="33566B8A">
              <w:rPr>
                <w:rFonts w:ascii="Verdana" w:hAnsi="Verdana" w:cs="Arial"/>
                <w:sz w:val="24"/>
                <w:szCs w:val="24"/>
              </w:rPr>
              <w:t>November 2025)</w:t>
            </w:r>
          </w:p>
          <w:p w14:paraId="63570D68" w14:textId="7FEEE9AC" w:rsidR="000366FA" w:rsidRPr="009A730B" w:rsidRDefault="000366FA" w:rsidP="000366FA">
            <w:pPr>
              <w:pStyle w:val="ListParagrap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p w14:paraId="7E55672A" w14:textId="1501C751" w:rsidR="006E589A" w:rsidRPr="009A730B" w:rsidRDefault="006E589A" w:rsidP="6F2B4365">
            <w:pPr>
              <w:cnfStyle w:val="000000100000" w:firstRow="0" w:lastRow="0" w:firstColumn="0" w:lastColumn="0" w:oddVBand="0" w:evenVBand="0" w:oddHBand="1" w:evenHBand="0" w:firstRowFirstColumn="0" w:firstRowLastColumn="0" w:lastRowFirstColumn="0" w:lastRowLastColumn="0"/>
              <w:rPr>
                <w:rFonts w:ascii="Verdana" w:hAnsi="Verdana" w:cs="Arial"/>
              </w:rPr>
            </w:pPr>
          </w:p>
        </w:tc>
        <w:tc>
          <w:tcPr>
            <w:tcW w:w="4599" w:type="dxa"/>
          </w:tcPr>
          <w:p w14:paraId="198534E8" w14:textId="77777777" w:rsidR="00A06241" w:rsidRPr="009A730B" w:rsidRDefault="00A06241" w:rsidP="00F20A5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p w14:paraId="23C51498" w14:textId="29CF7BF2" w:rsidR="001505E6" w:rsidRPr="009A730B" w:rsidRDefault="45E764E1" w:rsidP="63897B96">
            <w:pPr>
              <w:jc w:val="center"/>
              <w:cnfStyle w:val="000000100000" w:firstRow="0" w:lastRow="0" w:firstColumn="0" w:lastColumn="0" w:oddVBand="0" w:evenVBand="0" w:oddHBand="1" w:evenHBand="0" w:firstRowFirstColumn="0" w:firstRowLastColumn="0" w:lastRowFirstColumn="0" w:lastRowLastColumn="0"/>
              <w:rPr>
                <w:rFonts w:ascii="Verdana" w:hAnsi="Verdana" w:cs="Arial"/>
                <w:i/>
                <w:iCs/>
                <w:sz w:val="24"/>
                <w:szCs w:val="24"/>
              </w:rPr>
            </w:pPr>
            <w:r w:rsidRPr="63897B96">
              <w:rPr>
                <w:rFonts w:ascii="Verdana" w:hAnsi="Verdana" w:cs="Arial"/>
                <w:sz w:val="24"/>
                <w:szCs w:val="24"/>
              </w:rPr>
              <w:t xml:space="preserve">Amelia Cole </w:t>
            </w:r>
            <w:r w:rsidR="616610E7" w:rsidRPr="63897B96">
              <w:rPr>
                <w:rFonts w:ascii="Verdana" w:hAnsi="Verdana" w:cs="Arial"/>
                <w:i/>
                <w:iCs/>
                <w:sz w:val="24"/>
                <w:szCs w:val="24"/>
              </w:rPr>
              <w:t>(Corporate Governance</w:t>
            </w:r>
            <w:r w:rsidR="12CE657D" w:rsidRPr="63897B96">
              <w:rPr>
                <w:rFonts w:ascii="Verdana" w:hAnsi="Verdana" w:cs="Arial"/>
                <w:i/>
                <w:iCs/>
                <w:sz w:val="24"/>
                <w:szCs w:val="24"/>
              </w:rPr>
              <w:t xml:space="preserve"> Officer</w:t>
            </w:r>
            <w:r w:rsidR="616610E7" w:rsidRPr="63897B96">
              <w:rPr>
                <w:rFonts w:ascii="Verdana" w:hAnsi="Verdana" w:cs="Arial"/>
                <w:i/>
                <w:iCs/>
                <w:sz w:val="24"/>
                <w:szCs w:val="24"/>
              </w:rPr>
              <w:t>)</w:t>
            </w:r>
            <w:r w:rsidR="4BC5A210" w:rsidRPr="63897B96">
              <w:rPr>
                <w:rFonts w:ascii="Verdana" w:hAnsi="Verdana" w:cs="Arial"/>
                <w:i/>
                <w:iCs/>
                <w:sz w:val="24"/>
                <w:szCs w:val="24"/>
              </w:rPr>
              <w:t xml:space="preserve"> </w:t>
            </w:r>
          </w:p>
          <w:p w14:paraId="00F28F9F" w14:textId="62FACD37" w:rsidR="001505E6" w:rsidRPr="009A730B" w:rsidRDefault="001505E6" w:rsidP="33566B8A">
            <w:pPr>
              <w:jc w:val="center"/>
              <w:cnfStyle w:val="000000100000" w:firstRow="0" w:lastRow="0" w:firstColumn="0" w:lastColumn="0" w:oddVBand="0" w:evenVBand="0" w:oddHBand="1" w:evenHBand="0" w:firstRowFirstColumn="0" w:firstRowLastColumn="0" w:lastRowFirstColumn="0" w:lastRowLastColumn="0"/>
              <w:rPr>
                <w:rFonts w:ascii="Verdana" w:hAnsi="Verdana" w:cs="Arial"/>
                <w:i/>
                <w:iCs/>
                <w:sz w:val="24"/>
                <w:szCs w:val="24"/>
              </w:rPr>
            </w:pPr>
          </w:p>
          <w:p w14:paraId="12D6B984" w14:textId="071DE33F" w:rsidR="001505E6" w:rsidRPr="009A730B" w:rsidRDefault="001505E6" w:rsidP="33566B8A">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p w14:paraId="2D63A72D" w14:textId="12004BFE" w:rsidR="001505E6" w:rsidRPr="009A730B" w:rsidRDefault="001505E6" w:rsidP="5D2F3CAB">
            <w:pPr>
              <w:jc w:val="center"/>
              <w:cnfStyle w:val="000000100000" w:firstRow="0" w:lastRow="0" w:firstColumn="0" w:lastColumn="0" w:oddVBand="0" w:evenVBand="0" w:oddHBand="1" w:evenHBand="0" w:firstRowFirstColumn="0" w:firstRowLastColumn="0" w:lastRowFirstColumn="0" w:lastRowLastColumn="0"/>
              <w:rPr>
                <w:rFonts w:ascii="Verdana" w:hAnsi="Verdana" w:cs="Arial"/>
                <w:i/>
                <w:iCs/>
                <w:sz w:val="24"/>
                <w:szCs w:val="24"/>
              </w:rPr>
            </w:pPr>
          </w:p>
        </w:tc>
        <w:tc>
          <w:tcPr>
            <w:tcW w:w="1485" w:type="dxa"/>
          </w:tcPr>
          <w:p w14:paraId="631138FF" w14:textId="4F4B2E5E" w:rsidR="001505E6" w:rsidRPr="009A730B" w:rsidRDefault="11A1B62D" w:rsidP="006E5ECF">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Bi-</w:t>
            </w:r>
            <w:r w:rsidR="5C5E074F" w:rsidRPr="009A730B">
              <w:rPr>
                <w:rFonts w:ascii="Verdana" w:hAnsi="Verdana" w:cs="Arial"/>
                <w:sz w:val="24"/>
                <w:szCs w:val="24"/>
              </w:rPr>
              <w:t>m</w:t>
            </w:r>
            <w:r w:rsidR="7F1EF9FF" w:rsidRPr="009A730B">
              <w:rPr>
                <w:rFonts w:ascii="Verdana" w:hAnsi="Verdana" w:cs="Arial"/>
                <w:sz w:val="24"/>
                <w:szCs w:val="24"/>
              </w:rPr>
              <w:t>onthly</w:t>
            </w:r>
          </w:p>
        </w:tc>
      </w:tr>
      <w:tr w:rsidR="00AB18D8" w:rsidRPr="009A730B" w14:paraId="646493FF" w14:textId="77777777" w:rsidTr="223825EA">
        <w:tc>
          <w:tcPr>
            <w:cnfStyle w:val="001000000000" w:firstRow="0" w:lastRow="0" w:firstColumn="1" w:lastColumn="0" w:oddVBand="0" w:evenVBand="0" w:oddHBand="0" w:evenHBand="0" w:firstRowFirstColumn="0" w:firstRowLastColumn="0" w:lastRowFirstColumn="0" w:lastRowLastColumn="0"/>
            <w:tcW w:w="1942" w:type="dxa"/>
          </w:tcPr>
          <w:p w14:paraId="58647C6E" w14:textId="4AD9220A" w:rsidR="001505E6" w:rsidRPr="009A730B" w:rsidRDefault="79A462B8" w:rsidP="6D8E5F83">
            <w:pPr>
              <w:rPr>
                <w:rFonts w:ascii="Verdana" w:hAnsi="Verdana" w:cs="Arial"/>
                <w:sz w:val="24"/>
                <w:szCs w:val="24"/>
              </w:rPr>
            </w:pPr>
            <w:r w:rsidRPr="009A730B">
              <w:rPr>
                <w:rFonts w:ascii="Verdana" w:hAnsi="Verdana" w:cs="Arial"/>
                <w:sz w:val="24"/>
                <w:szCs w:val="24"/>
              </w:rPr>
              <w:t xml:space="preserve">Performance and </w:t>
            </w:r>
            <w:r w:rsidR="20464045" w:rsidRPr="009A730B">
              <w:rPr>
                <w:rFonts w:ascii="Verdana" w:hAnsi="Verdana" w:cs="Arial"/>
                <w:sz w:val="24"/>
                <w:szCs w:val="24"/>
              </w:rPr>
              <w:t>Finance Committee</w:t>
            </w:r>
          </w:p>
        </w:tc>
        <w:tc>
          <w:tcPr>
            <w:tcW w:w="4292" w:type="dxa"/>
          </w:tcPr>
          <w:p w14:paraId="6C020EB3" w14:textId="3A5E77D1" w:rsidR="001505E6" w:rsidRPr="009A730B" w:rsidRDefault="4E806EFB" w:rsidP="00C2615D">
            <w:pPr>
              <w:numPr>
                <w:ilvl w:val="0"/>
                <w:numId w:val="11"/>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Darren Griffiths, Director of Finance</w:t>
            </w:r>
            <w:r w:rsidR="3273C2B6" w:rsidRPr="009A730B">
              <w:rPr>
                <w:rFonts w:ascii="Verdana" w:hAnsi="Verdana" w:cs="Arial"/>
                <w:sz w:val="24"/>
                <w:szCs w:val="24"/>
              </w:rPr>
              <w:t xml:space="preserve"> </w:t>
            </w:r>
            <w:r w:rsidR="5E0E8E8E" w:rsidRPr="009A730B">
              <w:rPr>
                <w:rFonts w:ascii="Verdana" w:hAnsi="Verdana" w:cs="Arial"/>
                <w:sz w:val="24"/>
                <w:szCs w:val="24"/>
              </w:rPr>
              <w:t xml:space="preserve">and Performance </w:t>
            </w:r>
            <w:r w:rsidR="1B8234A1" w:rsidRPr="009A730B">
              <w:rPr>
                <w:rFonts w:ascii="Verdana" w:hAnsi="Verdana" w:cs="Arial"/>
                <w:sz w:val="24"/>
                <w:szCs w:val="24"/>
              </w:rPr>
              <w:t>(until February 2026)</w:t>
            </w:r>
          </w:p>
          <w:p w14:paraId="6056E4A3" w14:textId="5EF611E7" w:rsidR="00F83328" w:rsidRPr="009A730B" w:rsidRDefault="1B8234A1" w:rsidP="00C2615D">
            <w:pPr>
              <w:numPr>
                <w:ilvl w:val="0"/>
                <w:numId w:val="11"/>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Claire Osmundsen-Little, Interim Director of Finance (from March 2026)</w:t>
            </w:r>
          </w:p>
          <w:p w14:paraId="36AEE440" w14:textId="68BC7109" w:rsidR="00A06241" w:rsidRPr="009A730B" w:rsidRDefault="75507077" w:rsidP="00C2615D">
            <w:pPr>
              <w:numPr>
                <w:ilvl w:val="0"/>
                <w:numId w:val="11"/>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lastRenderedPageBreak/>
              <w:t xml:space="preserve">Deb Lewis, Chief Operating Officer </w:t>
            </w:r>
          </w:p>
          <w:p w14:paraId="43AAC417" w14:textId="46BCEEF3" w:rsidR="00A06241" w:rsidRPr="009A730B" w:rsidRDefault="6BF0D480" w:rsidP="00C2615D">
            <w:pPr>
              <w:numPr>
                <w:ilvl w:val="0"/>
                <w:numId w:val="11"/>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 xml:space="preserve">Marie Davies, Executive Director of Planning and Partnerships </w:t>
            </w:r>
          </w:p>
          <w:p w14:paraId="40233BEA" w14:textId="1E295F6F" w:rsidR="00652E2F" w:rsidRPr="009A730B" w:rsidRDefault="5A3FF6D8" w:rsidP="00C2615D">
            <w:pPr>
              <w:numPr>
                <w:ilvl w:val="0"/>
                <w:numId w:val="11"/>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Hazel Lloyd, Director of Corporate Governance</w:t>
            </w:r>
          </w:p>
          <w:p w14:paraId="35C8628B" w14:textId="21A94DC8" w:rsidR="00A06241" w:rsidRPr="009A730B" w:rsidRDefault="6BF0D480" w:rsidP="6D8E5F83">
            <w:pPr>
              <w:ind w:left="720"/>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 xml:space="preserve"> </w:t>
            </w:r>
          </w:p>
        </w:tc>
        <w:tc>
          <w:tcPr>
            <w:tcW w:w="2640" w:type="dxa"/>
          </w:tcPr>
          <w:p w14:paraId="637944E3" w14:textId="22D745E7" w:rsidR="001505E6" w:rsidRPr="009A730B" w:rsidRDefault="2A894450" w:rsidP="00C2615D">
            <w:pPr>
              <w:numPr>
                <w:ilvl w:val="0"/>
                <w:numId w:val="11"/>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lastRenderedPageBreak/>
              <w:t>Patricia Price</w:t>
            </w:r>
            <w:r w:rsidR="4E806EFB" w:rsidRPr="009A730B">
              <w:rPr>
                <w:rFonts w:ascii="Verdana" w:hAnsi="Verdana" w:cs="Arial"/>
                <w:sz w:val="24"/>
                <w:szCs w:val="24"/>
              </w:rPr>
              <w:t xml:space="preserve"> </w:t>
            </w:r>
            <w:r w:rsidR="4E806EFB" w:rsidRPr="009A730B">
              <w:rPr>
                <w:rFonts w:ascii="Verdana" w:hAnsi="Verdana" w:cs="Arial"/>
                <w:i/>
                <w:iCs/>
                <w:sz w:val="24"/>
                <w:szCs w:val="24"/>
              </w:rPr>
              <w:t>(chair</w:t>
            </w:r>
            <w:r w:rsidR="099E2107" w:rsidRPr="009A730B">
              <w:rPr>
                <w:rFonts w:ascii="Verdana" w:hAnsi="Verdana" w:cs="Arial"/>
                <w:i/>
                <w:iCs/>
                <w:sz w:val="24"/>
                <w:szCs w:val="24"/>
              </w:rPr>
              <w:t>)</w:t>
            </w:r>
          </w:p>
          <w:p w14:paraId="49799FBB" w14:textId="23C7A039" w:rsidR="3B6927A7" w:rsidRPr="009A730B" w:rsidRDefault="099E2107" w:rsidP="00C2615D">
            <w:pPr>
              <w:numPr>
                <w:ilvl w:val="0"/>
                <w:numId w:val="11"/>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i/>
                <w:iCs/>
                <w:sz w:val="24"/>
                <w:szCs w:val="24"/>
              </w:rPr>
              <w:t>Reena Owen</w:t>
            </w:r>
          </w:p>
          <w:p w14:paraId="773EF482" w14:textId="77777777" w:rsidR="007C7329" w:rsidRPr="009A730B" w:rsidRDefault="6692FA2C" w:rsidP="00C2615D">
            <w:pPr>
              <w:numPr>
                <w:ilvl w:val="0"/>
                <w:numId w:val="11"/>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b/>
                <w:bCs/>
                <w:sz w:val="24"/>
                <w:szCs w:val="24"/>
              </w:rPr>
            </w:pPr>
            <w:r w:rsidRPr="009A730B">
              <w:rPr>
                <w:rFonts w:ascii="Verdana" w:hAnsi="Verdana" w:cs="Arial"/>
                <w:sz w:val="24"/>
                <w:szCs w:val="24"/>
              </w:rPr>
              <w:t>Stephen Spill</w:t>
            </w:r>
          </w:p>
          <w:p w14:paraId="374C43F0" w14:textId="7CAED936" w:rsidR="00412F11" w:rsidRPr="009A730B" w:rsidRDefault="5E07EF22" w:rsidP="00C2615D">
            <w:pPr>
              <w:numPr>
                <w:ilvl w:val="0"/>
                <w:numId w:val="11"/>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i/>
                <w:iCs/>
                <w:sz w:val="24"/>
                <w:szCs w:val="24"/>
              </w:rPr>
            </w:pPr>
            <w:r w:rsidRPr="009A730B">
              <w:rPr>
                <w:rFonts w:ascii="Verdana" w:hAnsi="Verdana" w:cs="Arial"/>
                <w:sz w:val="24"/>
                <w:szCs w:val="24"/>
              </w:rPr>
              <w:t xml:space="preserve">Jean Church </w:t>
            </w:r>
          </w:p>
        </w:tc>
        <w:tc>
          <w:tcPr>
            <w:tcW w:w="4599" w:type="dxa"/>
          </w:tcPr>
          <w:p w14:paraId="03D70EEE" w14:textId="6B75C6FB" w:rsidR="00A06241" w:rsidRPr="009A730B" w:rsidRDefault="5E07EF22" w:rsidP="6D8E5F83">
            <w:pPr>
              <w:pStyle w:val="ListParagraph"/>
              <w:ind w:left="0"/>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 xml:space="preserve"> Sophie Herbert </w:t>
            </w:r>
            <w:r w:rsidRPr="009A730B">
              <w:rPr>
                <w:rFonts w:ascii="Verdana" w:hAnsi="Verdana" w:cs="Arial"/>
                <w:i/>
                <w:iCs/>
                <w:sz w:val="24"/>
                <w:szCs w:val="24"/>
              </w:rPr>
              <w:t xml:space="preserve">(Corporate Governance Officer) </w:t>
            </w:r>
          </w:p>
        </w:tc>
        <w:tc>
          <w:tcPr>
            <w:tcW w:w="1485" w:type="dxa"/>
          </w:tcPr>
          <w:p w14:paraId="6C647189" w14:textId="77777777" w:rsidR="001505E6" w:rsidRPr="009A730B" w:rsidRDefault="5A486F40" w:rsidP="6D8E5F83">
            <w:pPr>
              <w:pStyle w:val="ListParagraph"/>
              <w:ind w:left="0"/>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Monthly</w:t>
            </w:r>
          </w:p>
        </w:tc>
      </w:tr>
      <w:tr w:rsidR="00AB18D8" w:rsidRPr="009A730B" w14:paraId="75B87EE5" w14:textId="77777777" w:rsidTr="223825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2" w:type="dxa"/>
          </w:tcPr>
          <w:p w14:paraId="018E87F7" w14:textId="77777777" w:rsidR="00071282" w:rsidRPr="009A730B" w:rsidRDefault="00071282" w:rsidP="00071282">
            <w:pPr>
              <w:rPr>
                <w:rFonts w:ascii="Verdana" w:hAnsi="Verdana" w:cs="Arial"/>
                <w:sz w:val="24"/>
                <w:szCs w:val="24"/>
              </w:rPr>
            </w:pPr>
            <w:r w:rsidRPr="009A730B">
              <w:rPr>
                <w:rFonts w:ascii="Verdana" w:hAnsi="Verdana" w:cs="Arial"/>
                <w:sz w:val="24"/>
                <w:szCs w:val="24"/>
              </w:rPr>
              <w:t>Audit Committee</w:t>
            </w:r>
          </w:p>
        </w:tc>
        <w:tc>
          <w:tcPr>
            <w:tcW w:w="4292" w:type="dxa"/>
          </w:tcPr>
          <w:p w14:paraId="77375114" w14:textId="5CAAEBC2" w:rsidR="00B56B60" w:rsidRPr="009A730B" w:rsidRDefault="00B56B60" w:rsidP="00C2615D">
            <w:pPr>
              <w:numPr>
                <w:ilvl w:val="0"/>
                <w:numId w:val="11"/>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 xml:space="preserve">Hazel Lloyd, Director of Corporate Governance </w:t>
            </w:r>
          </w:p>
          <w:p w14:paraId="5B945AD3" w14:textId="630BA327" w:rsidR="00071282" w:rsidRPr="009A730B" w:rsidRDefault="00071282" w:rsidP="00C2615D">
            <w:pPr>
              <w:numPr>
                <w:ilvl w:val="0"/>
                <w:numId w:val="11"/>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Darren Griffiths</w:t>
            </w:r>
            <w:r w:rsidR="00CF5AA0" w:rsidRPr="009A730B">
              <w:rPr>
                <w:rFonts w:ascii="Verdana" w:hAnsi="Verdana" w:cs="Arial"/>
                <w:sz w:val="24"/>
                <w:szCs w:val="24"/>
              </w:rPr>
              <w:t>, Director of Finance and Performance</w:t>
            </w:r>
            <w:r w:rsidR="18F091C1" w:rsidRPr="7261BF7F">
              <w:rPr>
                <w:rFonts w:ascii="Verdana" w:hAnsi="Verdana" w:cs="Arial"/>
                <w:sz w:val="24"/>
                <w:szCs w:val="24"/>
              </w:rPr>
              <w:t xml:space="preserve"> (until January 2026)</w:t>
            </w:r>
          </w:p>
          <w:p w14:paraId="326FD90F" w14:textId="6480DE71" w:rsidR="00BE3010" w:rsidRPr="009A730B" w:rsidRDefault="00BE3010" w:rsidP="00A06241">
            <w:pPr>
              <w:ind w:left="360"/>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c>
          <w:tcPr>
            <w:tcW w:w="2640" w:type="dxa"/>
          </w:tcPr>
          <w:p w14:paraId="3CE0F1A4" w14:textId="4D7FA263" w:rsidR="00071282" w:rsidRPr="009A730B" w:rsidRDefault="2E58F362" w:rsidP="00C2615D">
            <w:pPr>
              <w:numPr>
                <w:ilvl w:val="0"/>
                <w:numId w:val="11"/>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 xml:space="preserve">Nuria Zolle </w:t>
            </w:r>
            <w:r w:rsidR="5E905DED" w:rsidRPr="009A730B">
              <w:rPr>
                <w:rFonts w:ascii="Verdana" w:hAnsi="Verdana" w:cs="Arial"/>
                <w:i/>
                <w:iCs/>
                <w:sz w:val="24"/>
                <w:szCs w:val="24"/>
              </w:rPr>
              <w:t>(</w:t>
            </w:r>
            <w:r w:rsidR="55CC6A0F" w:rsidRPr="009A730B">
              <w:rPr>
                <w:rFonts w:ascii="Verdana" w:hAnsi="Verdana" w:cs="Arial"/>
                <w:i/>
                <w:iCs/>
                <w:sz w:val="24"/>
                <w:szCs w:val="24"/>
              </w:rPr>
              <w:t>c</w:t>
            </w:r>
            <w:r w:rsidR="5E905DED" w:rsidRPr="009A730B">
              <w:rPr>
                <w:rFonts w:ascii="Verdana" w:hAnsi="Verdana" w:cs="Arial"/>
                <w:i/>
                <w:iCs/>
                <w:sz w:val="24"/>
                <w:szCs w:val="24"/>
              </w:rPr>
              <w:t>hair)</w:t>
            </w:r>
          </w:p>
          <w:p w14:paraId="11190741" w14:textId="4446B07D" w:rsidR="0062269F" w:rsidRPr="009A730B" w:rsidRDefault="771B574F" w:rsidP="00C2615D">
            <w:pPr>
              <w:numPr>
                <w:ilvl w:val="0"/>
                <w:numId w:val="11"/>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139C5F6B">
              <w:rPr>
                <w:rFonts w:ascii="Verdana" w:hAnsi="Verdana" w:cs="Arial"/>
                <w:sz w:val="24"/>
                <w:szCs w:val="24"/>
              </w:rPr>
              <w:t>Steve Spill</w:t>
            </w:r>
            <w:r w:rsidR="0062269F" w:rsidRPr="139C5F6B">
              <w:rPr>
                <w:rFonts w:ascii="Verdana" w:hAnsi="Verdana" w:cs="Arial"/>
                <w:sz w:val="24"/>
                <w:szCs w:val="24"/>
              </w:rPr>
              <w:t xml:space="preserve"> </w:t>
            </w:r>
          </w:p>
          <w:p w14:paraId="28427267" w14:textId="77777777" w:rsidR="00CF5F06" w:rsidRPr="009A730B" w:rsidRDefault="0062269F" w:rsidP="00C2615D">
            <w:pPr>
              <w:pStyle w:val="ListParagraph"/>
              <w:numPr>
                <w:ilvl w:val="0"/>
                <w:numId w:val="11"/>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 xml:space="preserve">Patricia </w:t>
            </w:r>
            <w:r w:rsidR="00CF5F06" w:rsidRPr="009A730B">
              <w:rPr>
                <w:rFonts w:ascii="Verdana" w:hAnsi="Verdana" w:cs="Arial"/>
                <w:sz w:val="24"/>
                <w:szCs w:val="24"/>
              </w:rPr>
              <w:t xml:space="preserve">Price </w:t>
            </w:r>
          </w:p>
          <w:p w14:paraId="4FA7AB78" w14:textId="3DF6B638" w:rsidR="0062269F" w:rsidRPr="009A730B" w:rsidRDefault="00CF5F06" w:rsidP="00C2615D">
            <w:pPr>
              <w:pStyle w:val="ListParagraph"/>
              <w:numPr>
                <w:ilvl w:val="0"/>
                <w:numId w:val="11"/>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 xml:space="preserve">Andrew Griffiths </w:t>
            </w:r>
            <w:r w:rsidR="0062269F" w:rsidRPr="009A730B">
              <w:rPr>
                <w:rFonts w:ascii="Verdana" w:hAnsi="Verdana" w:cs="Arial"/>
                <w:sz w:val="24"/>
                <w:szCs w:val="24"/>
              </w:rPr>
              <w:t xml:space="preserve"> </w:t>
            </w:r>
          </w:p>
        </w:tc>
        <w:tc>
          <w:tcPr>
            <w:tcW w:w="4599" w:type="dxa"/>
          </w:tcPr>
          <w:p w14:paraId="7954ED8D" w14:textId="77777777" w:rsidR="00AB18D8" w:rsidRPr="009A730B" w:rsidRDefault="00AB18D8" w:rsidP="00434895">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p w14:paraId="6E69F076" w14:textId="5B0ABA7F" w:rsidR="00AB18D8" w:rsidRPr="009A730B" w:rsidRDefault="4D5F42FD" w:rsidP="63897B96">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63897B96">
              <w:rPr>
                <w:rFonts w:ascii="Verdana" w:hAnsi="Verdana" w:cs="Arial"/>
                <w:sz w:val="24"/>
                <w:szCs w:val="24"/>
              </w:rPr>
              <w:t>Amelia Cole</w:t>
            </w:r>
            <w:r w:rsidR="5E74E2EE" w:rsidRPr="63897B96">
              <w:rPr>
                <w:rFonts w:ascii="Verdana" w:hAnsi="Verdana" w:cs="Arial"/>
                <w:sz w:val="24"/>
                <w:szCs w:val="24"/>
              </w:rPr>
              <w:t xml:space="preserve"> </w:t>
            </w:r>
            <w:r w:rsidR="61EE8CCD" w:rsidRPr="63897B96">
              <w:rPr>
                <w:rFonts w:ascii="Verdana" w:hAnsi="Verdana" w:cs="Arial"/>
                <w:i/>
                <w:iCs/>
                <w:sz w:val="24"/>
                <w:szCs w:val="24"/>
              </w:rPr>
              <w:t>(Corporate Governance Officer)</w:t>
            </w:r>
            <w:r w:rsidR="61EE8CCD" w:rsidRPr="63897B96">
              <w:rPr>
                <w:rFonts w:ascii="Verdana" w:hAnsi="Verdana" w:cs="Arial"/>
                <w:sz w:val="24"/>
                <w:szCs w:val="24"/>
              </w:rPr>
              <w:t xml:space="preserve"> </w:t>
            </w:r>
          </w:p>
        </w:tc>
        <w:tc>
          <w:tcPr>
            <w:tcW w:w="1485" w:type="dxa"/>
          </w:tcPr>
          <w:p w14:paraId="713ABED9" w14:textId="77777777" w:rsidR="00071282" w:rsidRPr="009A730B" w:rsidRDefault="00071282" w:rsidP="0007128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Bi-monthly</w:t>
            </w:r>
          </w:p>
        </w:tc>
      </w:tr>
      <w:tr w:rsidR="00AB18D8" w:rsidRPr="009A730B" w14:paraId="441C21F4" w14:textId="77777777" w:rsidTr="223825EA">
        <w:tc>
          <w:tcPr>
            <w:cnfStyle w:val="001000000000" w:firstRow="0" w:lastRow="0" w:firstColumn="1" w:lastColumn="0" w:oddVBand="0" w:evenVBand="0" w:oddHBand="0" w:evenHBand="0" w:firstRowFirstColumn="0" w:firstRowLastColumn="0" w:lastRowFirstColumn="0" w:lastRowLastColumn="0"/>
            <w:tcW w:w="1942" w:type="dxa"/>
          </w:tcPr>
          <w:p w14:paraId="2825FAF1" w14:textId="0F5FB238" w:rsidR="00071282" w:rsidRPr="009A730B" w:rsidRDefault="70228AAC" w:rsidP="6D8E5F83">
            <w:pPr>
              <w:rPr>
                <w:rFonts w:ascii="Verdana" w:hAnsi="Verdana" w:cs="Arial"/>
                <w:sz w:val="24"/>
                <w:szCs w:val="24"/>
              </w:rPr>
            </w:pPr>
            <w:r w:rsidRPr="009A730B">
              <w:rPr>
                <w:rFonts w:ascii="Verdana" w:hAnsi="Verdana" w:cs="Arial"/>
                <w:sz w:val="24"/>
                <w:szCs w:val="24"/>
              </w:rPr>
              <w:t xml:space="preserve">Charitable </w:t>
            </w:r>
            <w:r w:rsidR="1724C527" w:rsidRPr="009A730B">
              <w:rPr>
                <w:rFonts w:ascii="Verdana" w:hAnsi="Verdana" w:cs="Arial"/>
                <w:sz w:val="24"/>
                <w:szCs w:val="24"/>
              </w:rPr>
              <w:t>Funds Committee</w:t>
            </w:r>
          </w:p>
        </w:tc>
        <w:tc>
          <w:tcPr>
            <w:tcW w:w="4292" w:type="dxa"/>
          </w:tcPr>
          <w:p w14:paraId="5418AE31" w14:textId="41408390" w:rsidR="00071282" w:rsidRPr="009A730B" w:rsidRDefault="13A6DB02" w:rsidP="00C2615D">
            <w:pPr>
              <w:numPr>
                <w:ilvl w:val="0"/>
                <w:numId w:val="11"/>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Darren Griffiths</w:t>
            </w:r>
            <w:r w:rsidR="58DC24C4" w:rsidRPr="009A730B">
              <w:rPr>
                <w:rFonts w:ascii="Verdana" w:hAnsi="Verdana" w:cs="Arial"/>
                <w:sz w:val="24"/>
                <w:szCs w:val="24"/>
              </w:rPr>
              <w:t>, Director of Finance and Performance</w:t>
            </w:r>
            <w:r w:rsidR="3F6F4E0B" w:rsidRPr="009A730B">
              <w:rPr>
                <w:rFonts w:ascii="Verdana" w:hAnsi="Verdana" w:cs="Arial"/>
                <w:sz w:val="24"/>
                <w:szCs w:val="24"/>
              </w:rPr>
              <w:t xml:space="preserve"> (until February 2026)</w:t>
            </w:r>
          </w:p>
          <w:p w14:paraId="2E9C8601" w14:textId="5365C14A" w:rsidR="00CF462A" w:rsidRPr="009A730B" w:rsidRDefault="3F6F4E0B" w:rsidP="00C2615D">
            <w:pPr>
              <w:numPr>
                <w:ilvl w:val="0"/>
                <w:numId w:val="11"/>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Claire Osmundsen-Little, Interim Director of Finance (from March 2026)</w:t>
            </w:r>
          </w:p>
          <w:p w14:paraId="1AB2A4FC" w14:textId="3CB86D78" w:rsidR="00071282" w:rsidRPr="009A730B" w:rsidRDefault="18363C46" w:rsidP="00C2615D">
            <w:pPr>
              <w:numPr>
                <w:ilvl w:val="0"/>
                <w:numId w:val="11"/>
              </w:numPr>
              <w:cnfStyle w:val="000000000000" w:firstRow="0" w:lastRow="0" w:firstColumn="0" w:lastColumn="0" w:oddVBand="0" w:evenVBand="0" w:oddHBand="0" w:evenHBand="0" w:firstRowFirstColumn="0" w:firstRowLastColumn="0" w:lastRowFirstColumn="0" w:lastRowLastColumn="0"/>
              <w:rPr>
                <w:rFonts w:ascii="Verdana" w:eastAsia="Verdana" w:hAnsi="Verdana" w:cs="Verdana"/>
                <w:sz w:val="24"/>
                <w:szCs w:val="24"/>
              </w:rPr>
            </w:pPr>
            <w:r w:rsidRPr="009A730B">
              <w:rPr>
                <w:rFonts w:ascii="Verdana" w:hAnsi="Verdana" w:cs="Arial"/>
                <w:sz w:val="24"/>
                <w:szCs w:val="24"/>
              </w:rPr>
              <w:t xml:space="preserve">Richard Thomas, </w:t>
            </w:r>
            <w:r w:rsidRPr="009A730B">
              <w:rPr>
                <w:rFonts w:ascii="Verdana" w:eastAsia="Verdana" w:hAnsi="Verdana" w:cs="Verdana"/>
                <w:color w:val="000000" w:themeColor="text1"/>
                <w:sz w:val="24"/>
                <w:szCs w:val="24"/>
                <w:lang w:val="en-US"/>
              </w:rPr>
              <w:t>Director of Communications, Insight and Engagement</w:t>
            </w:r>
          </w:p>
          <w:p w14:paraId="51DF61F2" w14:textId="08F0192B" w:rsidR="00071282" w:rsidRPr="009A730B" w:rsidRDefault="18363C46" w:rsidP="00C2615D">
            <w:pPr>
              <w:numPr>
                <w:ilvl w:val="0"/>
                <w:numId w:val="11"/>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 xml:space="preserve">Hazel Lloyd, Director of Corporate Governance </w:t>
            </w:r>
          </w:p>
        </w:tc>
        <w:tc>
          <w:tcPr>
            <w:tcW w:w="2640" w:type="dxa"/>
          </w:tcPr>
          <w:p w14:paraId="74BEF5CD" w14:textId="51858098" w:rsidR="00CF462A" w:rsidRPr="009A730B" w:rsidRDefault="7F3B001E" w:rsidP="00C2615D">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 xml:space="preserve">Nicola Matthews </w:t>
            </w:r>
            <w:r w:rsidR="3F6F4E0B" w:rsidRPr="009A730B">
              <w:rPr>
                <w:rFonts w:ascii="Verdana" w:hAnsi="Verdana" w:cs="Arial"/>
                <w:i/>
                <w:iCs/>
                <w:sz w:val="24"/>
                <w:szCs w:val="24"/>
              </w:rPr>
              <w:t>(chair)</w:t>
            </w:r>
          </w:p>
          <w:p w14:paraId="76EB9340" w14:textId="248E301A" w:rsidR="425AA3A4" w:rsidRPr="001E1247" w:rsidRDefault="172EF238" w:rsidP="00C2615D">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1E1247">
              <w:rPr>
                <w:rFonts w:ascii="Verdana" w:hAnsi="Verdana" w:cs="Arial"/>
                <w:sz w:val="24"/>
                <w:szCs w:val="24"/>
              </w:rPr>
              <w:t>Stephen Spill</w:t>
            </w:r>
          </w:p>
          <w:p w14:paraId="58018ECB" w14:textId="1291C5D7" w:rsidR="00111D82" w:rsidRPr="009A730B" w:rsidRDefault="3F6F4E0B" w:rsidP="00C2615D">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 xml:space="preserve">David Martin Lloyd </w:t>
            </w:r>
            <w:r w:rsidR="75913549" w:rsidRPr="009A730B">
              <w:rPr>
                <w:rFonts w:ascii="Verdana" w:hAnsi="Verdana" w:cs="Arial"/>
                <w:sz w:val="24"/>
                <w:szCs w:val="24"/>
              </w:rPr>
              <w:t>(from September 2025)</w:t>
            </w:r>
            <w:r w:rsidR="0938DE68" w:rsidRPr="009A730B">
              <w:rPr>
                <w:rFonts w:ascii="Verdana" w:hAnsi="Verdana" w:cs="Arial"/>
                <w:sz w:val="24"/>
                <w:szCs w:val="24"/>
              </w:rPr>
              <w:t xml:space="preserve"> </w:t>
            </w:r>
          </w:p>
          <w:p w14:paraId="092B0E8D" w14:textId="221C213C" w:rsidR="003F464B" w:rsidRPr="009A730B" w:rsidRDefault="003F464B" w:rsidP="6D8E5F83">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c>
          <w:tcPr>
            <w:tcW w:w="4599" w:type="dxa"/>
          </w:tcPr>
          <w:p w14:paraId="53D9F33D" w14:textId="560FC0EA" w:rsidR="007A661D" w:rsidRPr="009A730B" w:rsidRDefault="5AADDA7C" w:rsidP="6D8E5F83">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 xml:space="preserve">Sophie Herbert </w:t>
            </w:r>
            <w:r w:rsidR="4E890C0A" w:rsidRPr="009A730B">
              <w:rPr>
                <w:rFonts w:ascii="Verdana" w:hAnsi="Verdana" w:cs="Arial"/>
                <w:i/>
                <w:iCs/>
                <w:sz w:val="24"/>
                <w:szCs w:val="24"/>
              </w:rPr>
              <w:t>(Corporate Governance Officer)</w:t>
            </w:r>
          </w:p>
        </w:tc>
        <w:tc>
          <w:tcPr>
            <w:tcW w:w="1485" w:type="dxa"/>
          </w:tcPr>
          <w:p w14:paraId="6B5557F4" w14:textId="77777777" w:rsidR="00071282" w:rsidRPr="009A730B" w:rsidRDefault="70228AAC" w:rsidP="6D8E5F83">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Quarterly</w:t>
            </w:r>
          </w:p>
        </w:tc>
      </w:tr>
      <w:tr w:rsidR="00AB18D8" w:rsidRPr="009A730B" w14:paraId="5C532043" w14:textId="77777777" w:rsidTr="223825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2" w:type="dxa"/>
          </w:tcPr>
          <w:p w14:paraId="064F604A" w14:textId="18343954" w:rsidR="00071282" w:rsidRPr="009A730B" w:rsidRDefault="00071282" w:rsidP="00071282">
            <w:pPr>
              <w:rPr>
                <w:rFonts w:ascii="Verdana" w:hAnsi="Verdana" w:cs="Arial"/>
                <w:sz w:val="24"/>
                <w:szCs w:val="24"/>
              </w:rPr>
            </w:pPr>
            <w:r w:rsidRPr="009A730B">
              <w:rPr>
                <w:rFonts w:ascii="Verdana" w:hAnsi="Verdana" w:cs="Arial"/>
                <w:sz w:val="24"/>
                <w:szCs w:val="24"/>
              </w:rPr>
              <w:t xml:space="preserve">Mental Health </w:t>
            </w:r>
            <w:r w:rsidR="00B52214" w:rsidRPr="009A730B">
              <w:rPr>
                <w:rFonts w:ascii="Verdana" w:hAnsi="Verdana" w:cs="Arial"/>
                <w:sz w:val="24"/>
                <w:szCs w:val="24"/>
              </w:rPr>
              <w:lastRenderedPageBreak/>
              <w:t>Legislation Committee</w:t>
            </w:r>
          </w:p>
        </w:tc>
        <w:tc>
          <w:tcPr>
            <w:tcW w:w="4292" w:type="dxa"/>
          </w:tcPr>
          <w:p w14:paraId="1ECFB56D" w14:textId="18DD4840" w:rsidR="001979CC" w:rsidRPr="00D244CD" w:rsidRDefault="60CD9784" w:rsidP="00C2615D">
            <w:pPr>
              <w:numPr>
                <w:ilvl w:val="0"/>
                <w:numId w:val="11"/>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D244CD">
              <w:rPr>
                <w:rFonts w:ascii="Verdana" w:hAnsi="Verdana" w:cs="Arial"/>
                <w:sz w:val="24"/>
                <w:szCs w:val="24"/>
              </w:rPr>
              <w:lastRenderedPageBreak/>
              <w:t>Elizabeth Rix</w:t>
            </w:r>
            <w:r w:rsidR="4519A4B1" w:rsidRPr="00D244CD">
              <w:rPr>
                <w:rFonts w:ascii="Verdana" w:hAnsi="Verdana" w:cs="Arial"/>
                <w:sz w:val="24"/>
                <w:szCs w:val="24"/>
              </w:rPr>
              <w:t xml:space="preserve">, </w:t>
            </w:r>
            <w:r w:rsidR="0A9A8C7A" w:rsidRPr="00D244CD">
              <w:rPr>
                <w:rFonts w:ascii="Verdana" w:hAnsi="Verdana" w:cs="Arial"/>
                <w:sz w:val="24"/>
                <w:szCs w:val="24"/>
              </w:rPr>
              <w:t xml:space="preserve">Executive </w:t>
            </w:r>
            <w:r w:rsidR="4519A4B1" w:rsidRPr="00D244CD">
              <w:rPr>
                <w:rFonts w:ascii="Verdana" w:hAnsi="Verdana" w:cs="Arial"/>
                <w:sz w:val="24"/>
                <w:szCs w:val="24"/>
              </w:rPr>
              <w:t>Director of Nursing and Patient Experience</w:t>
            </w:r>
            <w:r w:rsidR="70240BB6" w:rsidRPr="00D244CD">
              <w:rPr>
                <w:rFonts w:ascii="Verdana" w:hAnsi="Verdana" w:cs="Arial"/>
                <w:sz w:val="24"/>
                <w:szCs w:val="24"/>
              </w:rPr>
              <w:t xml:space="preserve"> </w:t>
            </w:r>
            <w:r w:rsidR="001979CC" w:rsidRPr="00D244CD">
              <w:rPr>
                <w:rFonts w:ascii="Verdana" w:hAnsi="Verdana" w:cs="Arial"/>
                <w:sz w:val="24"/>
                <w:szCs w:val="24"/>
              </w:rPr>
              <w:t xml:space="preserve"> </w:t>
            </w:r>
          </w:p>
          <w:p w14:paraId="2AEFE5F2" w14:textId="700B73FA" w:rsidR="00FD7CD8" w:rsidRPr="009A730B" w:rsidRDefault="012FF5F7" w:rsidP="00C2615D">
            <w:pPr>
              <w:numPr>
                <w:ilvl w:val="0"/>
                <w:numId w:val="11"/>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D244CD">
              <w:rPr>
                <w:rFonts w:ascii="Verdana" w:hAnsi="Verdana" w:cs="Arial"/>
                <w:sz w:val="24"/>
                <w:szCs w:val="24"/>
              </w:rPr>
              <w:lastRenderedPageBreak/>
              <w:t>Hazel Lloyd, Director of Corporate Governance</w:t>
            </w:r>
            <w:r w:rsidRPr="009A730B">
              <w:rPr>
                <w:rFonts w:ascii="Verdana" w:hAnsi="Verdana" w:cs="Arial"/>
                <w:sz w:val="24"/>
                <w:szCs w:val="24"/>
              </w:rPr>
              <w:t xml:space="preserve"> </w:t>
            </w:r>
          </w:p>
        </w:tc>
        <w:tc>
          <w:tcPr>
            <w:tcW w:w="2640" w:type="dxa"/>
          </w:tcPr>
          <w:p w14:paraId="50554589" w14:textId="5E12249E" w:rsidR="0031292C" w:rsidRPr="009A730B" w:rsidRDefault="5426A260" w:rsidP="00C2615D">
            <w:pPr>
              <w:numPr>
                <w:ilvl w:val="0"/>
                <w:numId w:val="11"/>
              </w:numPr>
              <w:ind w:left="714" w:hanging="357"/>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63897B96">
              <w:rPr>
                <w:rFonts w:ascii="Verdana" w:hAnsi="Verdana" w:cs="Arial"/>
                <w:sz w:val="24"/>
                <w:szCs w:val="24"/>
              </w:rPr>
              <w:lastRenderedPageBreak/>
              <w:t>Ste</w:t>
            </w:r>
            <w:r w:rsidR="16B7B2FF" w:rsidRPr="63897B96">
              <w:rPr>
                <w:rFonts w:ascii="Verdana" w:hAnsi="Verdana" w:cs="Arial"/>
                <w:sz w:val="24"/>
                <w:szCs w:val="24"/>
              </w:rPr>
              <w:t>phen</w:t>
            </w:r>
            <w:r w:rsidRPr="63897B96">
              <w:rPr>
                <w:rFonts w:ascii="Verdana" w:hAnsi="Verdana" w:cs="Arial"/>
                <w:sz w:val="24"/>
                <w:szCs w:val="24"/>
              </w:rPr>
              <w:t xml:space="preserve"> Spill </w:t>
            </w:r>
            <w:r w:rsidRPr="63897B96">
              <w:rPr>
                <w:rFonts w:ascii="Verdana" w:hAnsi="Verdana" w:cs="Arial"/>
                <w:i/>
                <w:iCs/>
                <w:sz w:val="24"/>
                <w:szCs w:val="24"/>
              </w:rPr>
              <w:t>(chair</w:t>
            </w:r>
            <w:r w:rsidR="074BD620" w:rsidRPr="63897B96">
              <w:rPr>
                <w:rFonts w:ascii="Verdana" w:hAnsi="Verdana" w:cs="Arial"/>
                <w:i/>
                <w:iCs/>
                <w:sz w:val="24"/>
                <w:szCs w:val="24"/>
              </w:rPr>
              <w:t xml:space="preserve"> from </w:t>
            </w:r>
            <w:r w:rsidR="39DE6EEC" w:rsidRPr="63897B96">
              <w:rPr>
                <w:rFonts w:ascii="Verdana" w:hAnsi="Verdana" w:cs="Arial"/>
                <w:i/>
                <w:iCs/>
                <w:sz w:val="24"/>
                <w:szCs w:val="24"/>
              </w:rPr>
              <w:lastRenderedPageBreak/>
              <w:t xml:space="preserve">Until </w:t>
            </w:r>
            <w:r w:rsidR="0E0308C8" w:rsidRPr="63897B96">
              <w:rPr>
                <w:rFonts w:ascii="Verdana" w:hAnsi="Verdana" w:cs="Arial"/>
                <w:i/>
                <w:iCs/>
                <w:sz w:val="24"/>
                <w:szCs w:val="24"/>
              </w:rPr>
              <w:t>May 2024</w:t>
            </w:r>
            <w:r w:rsidRPr="63897B96">
              <w:rPr>
                <w:rFonts w:ascii="Verdana" w:hAnsi="Verdana" w:cs="Arial"/>
                <w:i/>
                <w:iCs/>
                <w:sz w:val="24"/>
                <w:szCs w:val="24"/>
              </w:rPr>
              <w:t>)</w:t>
            </w:r>
          </w:p>
          <w:p w14:paraId="528362D8" w14:textId="3EDCA802" w:rsidR="35DBECBF" w:rsidRDefault="35DBECBF" w:rsidP="00C2615D">
            <w:pPr>
              <w:numPr>
                <w:ilvl w:val="0"/>
                <w:numId w:val="11"/>
              </w:numPr>
              <w:ind w:left="714" w:hanging="357"/>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63897B96">
              <w:rPr>
                <w:rFonts w:ascii="Verdana" w:hAnsi="Verdana" w:cs="Arial"/>
                <w:i/>
                <w:iCs/>
                <w:sz w:val="24"/>
                <w:szCs w:val="24"/>
              </w:rPr>
              <w:t>Jackie Davies until August 2025)</w:t>
            </w:r>
          </w:p>
          <w:p w14:paraId="6C030DD8" w14:textId="10AECE5D" w:rsidR="00412F11" w:rsidRPr="009A730B" w:rsidRDefault="7A69A758" w:rsidP="00C2615D">
            <w:pPr>
              <w:numPr>
                <w:ilvl w:val="0"/>
                <w:numId w:val="11"/>
              </w:numPr>
              <w:ind w:left="714" w:hanging="357"/>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Anne</w:t>
            </w:r>
            <w:r w:rsidR="75A6D26E" w:rsidRPr="009A730B">
              <w:rPr>
                <w:rFonts w:ascii="Verdana" w:hAnsi="Verdana" w:cs="Arial"/>
                <w:sz w:val="24"/>
                <w:szCs w:val="24"/>
              </w:rPr>
              <w:t>-</w:t>
            </w:r>
            <w:r w:rsidRPr="009A730B">
              <w:rPr>
                <w:rFonts w:ascii="Verdana" w:hAnsi="Verdana" w:cs="Arial"/>
                <w:sz w:val="24"/>
                <w:szCs w:val="24"/>
              </w:rPr>
              <w:t xml:space="preserve">Louise </w:t>
            </w:r>
            <w:r w:rsidR="0CE0EFA8" w:rsidRPr="009A730B">
              <w:rPr>
                <w:rFonts w:ascii="Verdana" w:hAnsi="Verdana" w:cs="Arial"/>
                <w:sz w:val="24"/>
                <w:szCs w:val="24"/>
              </w:rPr>
              <w:t>Ferguson (</w:t>
            </w:r>
            <w:r w:rsidR="31683354" w:rsidRPr="009A730B">
              <w:rPr>
                <w:rFonts w:ascii="Verdana" w:hAnsi="Verdana" w:cs="Arial"/>
                <w:i/>
                <w:iCs/>
                <w:sz w:val="24"/>
                <w:szCs w:val="24"/>
              </w:rPr>
              <w:t>chair from September 2024)</w:t>
            </w:r>
          </w:p>
          <w:p w14:paraId="01F6357A" w14:textId="0E222692" w:rsidR="00412F11" w:rsidRPr="009A730B" w:rsidRDefault="31683354" w:rsidP="00C2615D">
            <w:pPr>
              <w:numPr>
                <w:ilvl w:val="0"/>
                <w:numId w:val="11"/>
              </w:numPr>
              <w:ind w:left="714" w:hanging="357"/>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16AF485">
              <w:rPr>
                <w:rFonts w:ascii="Verdana" w:hAnsi="Verdana" w:cs="Arial"/>
                <w:sz w:val="24"/>
                <w:szCs w:val="24"/>
              </w:rPr>
              <w:t>Patricia Price</w:t>
            </w:r>
          </w:p>
          <w:p w14:paraId="6CC70494" w14:textId="40182868" w:rsidR="00412F11" w:rsidRPr="009A730B" w:rsidRDefault="06FA9C10" w:rsidP="00C2615D">
            <w:pPr>
              <w:numPr>
                <w:ilvl w:val="0"/>
                <w:numId w:val="11"/>
              </w:numPr>
              <w:ind w:left="714" w:hanging="357"/>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16AF485">
              <w:rPr>
                <w:rFonts w:ascii="Verdana" w:hAnsi="Verdana" w:cs="Arial"/>
                <w:sz w:val="24"/>
                <w:szCs w:val="24"/>
              </w:rPr>
              <w:t>Martin Lloyd</w:t>
            </w:r>
            <w:r w:rsidR="15D29C65" w:rsidRPr="2DD9D600">
              <w:rPr>
                <w:rFonts w:ascii="Verdana" w:hAnsi="Verdana" w:cs="Arial"/>
                <w:i/>
                <w:iCs/>
                <w:sz w:val="24"/>
                <w:szCs w:val="24"/>
              </w:rPr>
              <w:t xml:space="preserve"> </w:t>
            </w:r>
            <w:r w:rsidR="15D29C65" w:rsidRPr="2DD9D600">
              <w:rPr>
                <w:rFonts w:ascii="Verdana" w:hAnsi="Verdana" w:cs="Arial"/>
                <w:sz w:val="24"/>
                <w:szCs w:val="24"/>
              </w:rPr>
              <w:t>(from September 2025)</w:t>
            </w:r>
          </w:p>
        </w:tc>
        <w:tc>
          <w:tcPr>
            <w:tcW w:w="4599" w:type="dxa"/>
          </w:tcPr>
          <w:p w14:paraId="563016F3" w14:textId="4C473F59" w:rsidR="00071282" w:rsidRPr="009A730B" w:rsidRDefault="00071282" w:rsidP="6F2B4365">
            <w:pPr>
              <w:jc w:val="center"/>
              <w:cnfStyle w:val="000000100000" w:firstRow="0" w:lastRow="0" w:firstColumn="0" w:lastColumn="0" w:oddVBand="0" w:evenVBand="0" w:oddHBand="1" w:evenHBand="0" w:firstRowFirstColumn="0" w:firstRowLastColumn="0" w:lastRowFirstColumn="0" w:lastRowLastColumn="0"/>
              <w:rPr>
                <w:rFonts w:ascii="Verdana" w:hAnsi="Verdana" w:cs="Arial"/>
                <w:i/>
                <w:iCs/>
                <w:sz w:val="24"/>
                <w:szCs w:val="24"/>
              </w:rPr>
            </w:pPr>
          </w:p>
          <w:p w14:paraId="2A0786B2" w14:textId="086087A5" w:rsidR="00071282" w:rsidRPr="009A730B" w:rsidRDefault="69550E7D" w:rsidP="6D8E5F83">
            <w:pPr>
              <w:jc w:val="center"/>
              <w:cnfStyle w:val="000000100000" w:firstRow="0" w:lastRow="0" w:firstColumn="0" w:lastColumn="0" w:oddVBand="0" w:evenVBand="0" w:oddHBand="1" w:evenHBand="0" w:firstRowFirstColumn="0" w:firstRowLastColumn="0" w:lastRowFirstColumn="0" w:lastRowLastColumn="0"/>
              <w:rPr>
                <w:rFonts w:ascii="Verdana" w:hAnsi="Verdana" w:cs="Arial"/>
                <w:i/>
                <w:iCs/>
                <w:sz w:val="24"/>
                <w:szCs w:val="24"/>
              </w:rPr>
            </w:pPr>
            <w:r w:rsidRPr="009A730B">
              <w:rPr>
                <w:rFonts w:ascii="Verdana" w:hAnsi="Verdana" w:cs="Arial"/>
                <w:i/>
                <w:iCs/>
                <w:sz w:val="24"/>
                <w:szCs w:val="24"/>
              </w:rPr>
              <w:t>Amelia Cole (Corporate Governance Officer)</w:t>
            </w:r>
          </w:p>
        </w:tc>
        <w:tc>
          <w:tcPr>
            <w:tcW w:w="1485" w:type="dxa"/>
          </w:tcPr>
          <w:p w14:paraId="7DC727E9" w14:textId="77777777" w:rsidR="00071282" w:rsidRPr="009A730B" w:rsidRDefault="00071282" w:rsidP="0007128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Quarterly</w:t>
            </w:r>
          </w:p>
        </w:tc>
      </w:tr>
      <w:tr w:rsidR="00AB18D8" w:rsidRPr="009A730B" w14:paraId="0CDB67BB" w14:textId="77777777" w:rsidTr="223825EA">
        <w:trPr>
          <w:trHeight w:val="2426"/>
        </w:trPr>
        <w:tc>
          <w:tcPr>
            <w:cnfStyle w:val="001000000000" w:firstRow="0" w:lastRow="0" w:firstColumn="1" w:lastColumn="0" w:oddVBand="0" w:evenVBand="0" w:oddHBand="0" w:evenHBand="0" w:firstRowFirstColumn="0" w:firstRowLastColumn="0" w:lastRowFirstColumn="0" w:lastRowLastColumn="0"/>
            <w:tcW w:w="1942" w:type="dxa"/>
          </w:tcPr>
          <w:p w14:paraId="36A7E94B" w14:textId="1901F396" w:rsidR="0075457F" w:rsidRPr="009A730B" w:rsidRDefault="13A6DB02" w:rsidP="6D8E5F83">
            <w:pPr>
              <w:rPr>
                <w:rFonts w:ascii="Verdana" w:eastAsia="Verdana" w:hAnsi="Verdana" w:cs="Verdana"/>
                <w:i/>
                <w:iCs/>
                <w:sz w:val="24"/>
                <w:szCs w:val="24"/>
              </w:rPr>
            </w:pPr>
            <w:r w:rsidRPr="009A730B">
              <w:rPr>
                <w:rFonts w:ascii="Verdana" w:hAnsi="Verdana" w:cs="Arial"/>
                <w:sz w:val="24"/>
                <w:szCs w:val="24"/>
              </w:rPr>
              <w:t xml:space="preserve">Workforce and OD </w:t>
            </w:r>
            <w:r w:rsidR="75913549" w:rsidRPr="009A730B">
              <w:rPr>
                <w:rFonts w:ascii="Verdana" w:hAnsi="Verdana" w:cs="Arial"/>
                <w:sz w:val="24"/>
                <w:szCs w:val="24"/>
              </w:rPr>
              <w:t xml:space="preserve">Committee </w:t>
            </w:r>
          </w:p>
          <w:p w14:paraId="7C0985AD" w14:textId="0F2B790D" w:rsidR="00071282" w:rsidRPr="009A730B" w:rsidRDefault="00071282" w:rsidP="6D8E5F83">
            <w:pPr>
              <w:rPr>
                <w:rFonts w:ascii="Verdana" w:eastAsia="Verdana" w:hAnsi="Verdana" w:cs="Verdana"/>
                <w:i/>
                <w:sz w:val="24"/>
                <w:szCs w:val="24"/>
              </w:rPr>
            </w:pPr>
          </w:p>
        </w:tc>
        <w:tc>
          <w:tcPr>
            <w:tcW w:w="4292" w:type="dxa"/>
          </w:tcPr>
          <w:p w14:paraId="6411A324" w14:textId="09EC86FE" w:rsidR="00AB18D8" w:rsidRPr="009A730B" w:rsidRDefault="75913549" w:rsidP="00C2615D">
            <w:pPr>
              <w:numPr>
                <w:ilvl w:val="0"/>
                <w:numId w:val="11"/>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Tina Ricketts, Executive Director of Workforce and OD</w:t>
            </w:r>
            <w:r w:rsidR="57951EE7" w:rsidRPr="009A730B">
              <w:rPr>
                <w:rFonts w:ascii="Verdana" w:hAnsi="Verdana" w:cs="Arial"/>
                <w:sz w:val="24"/>
                <w:szCs w:val="24"/>
              </w:rPr>
              <w:t xml:space="preserve"> </w:t>
            </w:r>
          </w:p>
          <w:p w14:paraId="1B6988DE" w14:textId="57318F49" w:rsidR="0075457F" w:rsidRPr="009A730B" w:rsidRDefault="75913549" w:rsidP="00C2615D">
            <w:pPr>
              <w:numPr>
                <w:ilvl w:val="0"/>
                <w:numId w:val="11"/>
              </w:numPr>
              <w:cnfStyle w:val="000000000000" w:firstRow="0" w:lastRow="0" w:firstColumn="0" w:lastColumn="0" w:oddVBand="0" w:evenVBand="0" w:oddHBand="0" w:evenHBand="0" w:firstRowFirstColumn="0" w:firstRowLastColumn="0" w:lastRowFirstColumn="0" w:lastRowLastColumn="0"/>
              <w:rPr>
                <w:rFonts w:ascii="Verdana" w:hAnsi="Verdana" w:cs="Arial"/>
                <w:color w:val="000000" w:themeColor="text1"/>
                <w:sz w:val="24"/>
                <w:szCs w:val="24"/>
              </w:rPr>
            </w:pPr>
            <w:r w:rsidRPr="009A730B">
              <w:rPr>
                <w:rFonts w:ascii="Verdana" w:hAnsi="Verdana" w:cs="Arial"/>
                <w:color w:val="000000" w:themeColor="text1"/>
                <w:sz w:val="24"/>
                <w:szCs w:val="24"/>
              </w:rPr>
              <w:t>Elizabeth Rix, Executive Director of Nursing and Patient Experience</w:t>
            </w:r>
          </w:p>
          <w:p w14:paraId="6C660F58" w14:textId="77777777" w:rsidR="00AB18D8" w:rsidRPr="009A730B" w:rsidRDefault="13A6DB02" w:rsidP="00C2615D">
            <w:pPr>
              <w:numPr>
                <w:ilvl w:val="0"/>
                <w:numId w:val="11"/>
              </w:numPr>
              <w:cnfStyle w:val="000000000000" w:firstRow="0" w:lastRow="0" w:firstColumn="0" w:lastColumn="0" w:oddVBand="0" w:evenVBand="0" w:oddHBand="0" w:evenHBand="0" w:firstRowFirstColumn="0" w:firstRowLastColumn="0" w:lastRowFirstColumn="0" w:lastRowLastColumn="0"/>
              <w:rPr>
                <w:rFonts w:ascii="Verdana" w:hAnsi="Verdana" w:cs="Arial"/>
                <w:color w:val="000000" w:themeColor="text1"/>
                <w:sz w:val="24"/>
                <w:szCs w:val="24"/>
              </w:rPr>
            </w:pPr>
            <w:r w:rsidRPr="009A730B">
              <w:rPr>
                <w:rFonts w:ascii="Verdana" w:hAnsi="Verdana" w:cs="Arial"/>
                <w:color w:val="000000" w:themeColor="text1"/>
                <w:sz w:val="24"/>
                <w:szCs w:val="24"/>
              </w:rPr>
              <w:t>Richard Evans</w:t>
            </w:r>
            <w:r w:rsidR="58DC24C4" w:rsidRPr="009A730B">
              <w:rPr>
                <w:rFonts w:ascii="Verdana" w:hAnsi="Verdana" w:cs="Arial"/>
                <w:color w:val="000000" w:themeColor="text1"/>
                <w:sz w:val="24"/>
                <w:szCs w:val="24"/>
              </w:rPr>
              <w:t xml:space="preserve">, Executive Medical Director </w:t>
            </w:r>
          </w:p>
          <w:p w14:paraId="0D0F5AA9" w14:textId="4E39A610" w:rsidR="00727D79" w:rsidRPr="009A730B" w:rsidRDefault="253EBEDA" w:rsidP="00C2615D">
            <w:pPr>
              <w:numPr>
                <w:ilvl w:val="0"/>
                <w:numId w:val="11"/>
              </w:numPr>
              <w:cnfStyle w:val="000000000000" w:firstRow="0" w:lastRow="0" w:firstColumn="0" w:lastColumn="0" w:oddVBand="0" w:evenVBand="0" w:oddHBand="0" w:evenHBand="0" w:firstRowFirstColumn="0" w:firstRowLastColumn="0" w:lastRowFirstColumn="0" w:lastRowLastColumn="0"/>
              <w:rPr>
                <w:rFonts w:ascii="Verdana" w:hAnsi="Verdana" w:cs="Arial"/>
                <w:color w:val="000000" w:themeColor="text1"/>
                <w:sz w:val="24"/>
                <w:szCs w:val="24"/>
              </w:rPr>
            </w:pPr>
            <w:r w:rsidRPr="009A730B">
              <w:rPr>
                <w:rFonts w:ascii="Verdana" w:hAnsi="Verdana" w:cs="Arial"/>
                <w:color w:val="000000" w:themeColor="text1"/>
                <w:sz w:val="24"/>
                <w:szCs w:val="24"/>
              </w:rPr>
              <w:t xml:space="preserve">Christine Morrell, Executive Director of Allied Health </w:t>
            </w:r>
            <w:r w:rsidR="26FF7B1C" w:rsidRPr="009A730B">
              <w:rPr>
                <w:rFonts w:ascii="Verdana" w:hAnsi="Verdana" w:cs="Arial"/>
                <w:color w:val="000000" w:themeColor="text1"/>
                <w:sz w:val="24"/>
                <w:szCs w:val="24"/>
              </w:rPr>
              <w:t xml:space="preserve">Professions </w:t>
            </w:r>
            <w:r w:rsidR="7B381C0D" w:rsidRPr="009A730B">
              <w:rPr>
                <w:rFonts w:ascii="Verdana" w:hAnsi="Verdana" w:cs="Arial"/>
                <w:color w:val="000000" w:themeColor="text1"/>
                <w:sz w:val="24"/>
                <w:szCs w:val="24"/>
              </w:rPr>
              <w:t xml:space="preserve">and Health Science </w:t>
            </w:r>
          </w:p>
          <w:p w14:paraId="6316F620" w14:textId="56DDE664" w:rsidR="00652E2F" w:rsidRPr="009A730B" w:rsidRDefault="5A3FF6D8" w:rsidP="00C2615D">
            <w:pPr>
              <w:numPr>
                <w:ilvl w:val="0"/>
                <w:numId w:val="11"/>
              </w:numPr>
              <w:cnfStyle w:val="000000000000" w:firstRow="0" w:lastRow="0" w:firstColumn="0" w:lastColumn="0" w:oddVBand="0" w:evenVBand="0" w:oddHBand="0" w:evenHBand="0" w:firstRowFirstColumn="0" w:firstRowLastColumn="0" w:lastRowFirstColumn="0" w:lastRowLastColumn="0"/>
              <w:rPr>
                <w:rFonts w:ascii="Verdana" w:hAnsi="Verdana" w:cs="Arial"/>
                <w:color w:val="000000" w:themeColor="text1"/>
                <w:sz w:val="24"/>
                <w:szCs w:val="24"/>
              </w:rPr>
            </w:pPr>
            <w:r w:rsidRPr="009A730B">
              <w:rPr>
                <w:rFonts w:ascii="Verdana" w:hAnsi="Verdana" w:cs="Arial"/>
                <w:color w:val="000000" w:themeColor="text1"/>
                <w:sz w:val="24"/>
                <w:szCs w:val="24"/>
              </w:rPr>
              <w:t xml:space="preserve">Hazel Lloyd, Director of Corporate Governance </w:t>
            </w:r>
          </w:p>
        </w:tc>
        <w:tc>
          <w:tcPr>
            <w:tcW w:w="2640" w:type="dxa"/>
          </w:tcPr>
          <w:p w14:paraId="07F46F5D" w14:textId="6A88144D" w:rsidR="00071282" w:rsidRPr="009A730B" w:rsidRDefault="72743FE1" w:rsidP="00C2615D">
            <w:pPr>
              <w:numPr>
                <w:ilvl w:val="0"/>
                <w:numId w:val="11"/>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b/>
                <w:bCs/>
                <w:sz w:val="24"/>
                <w:szCs w:val="24"/>
              </w:rPr>
            </w:pPr>
            <w:r w:rsidRPr="009A730B">
              <w:rPr>
                <w:rFonts w:ascii="Verdana" w:hAnsi="Verdana" w:cs="Arial"/>
                <w:sz w:val="24"/>
                <w:szCs w:val="24"/>
              </w:rPr>
              <w:t xml:space="preserve">Reena Owen </w:t>
            </w:r>
            <w:r w:rsidRPr="009A730B">
              <w:rPr>
                <w:rFonts w:ascii="Verdana" w:hAnsi="Verdana" w:cs="Arial"/>
                <w:i/>
                <w:iCs/>
                <w:sz w:val="24"/>
                <w:szCs w:val="24"/>
              </w:rPr>
              <w:t>(chair)</w:t>
            </w:r>
          </w:p>
          <w:p w14:paraId="704E5383" w14:textId="77777777" w:rsidR="006F1138" w:rsidRPr="009A730B" w:rsidRDefault="5ECAD6EB" w:rsidP="00C2615D">
            <w:pPr>
              <w:numPr>
                <w:ilvl w:val="0"/>
                <w:numId w:val="11"/>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Anne-Louise Ferguson</w:t>
            </w:r>
          </w:p>
          <w:p w14:paraId="59883F74" w14:textId="37DC420C" w:rsidR="00071282" w:rsidRPr="009A730B" w:rsidRDefault="72743FE1" w:rsidP="00C2615D">
            <w:pPr>
              <w:numPr>
                <w:ilvl w:val="0"/>
                <w:numId w:val="11"/>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 xml:space="preserve">Andrew Griffiths </w:t>
            </w:r>
          </w:p>
          <w:p w14:paraId="62AB8C8B" w14:textId="3BE49319" w:rsidR="008E30AA" w:rsidRPr="009A730B" w:rsidRDefault="50DE2259" w:rsidP="00C2615D">
            <w:pPr>
              <w:numPr>
                <w:ilvl w:val="0"/>
                <w:numId w:val="11"/>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David Martin Lloyd (from September 2025)</w:t>
            </w:r>
          </w:p>
          <w:p w14:paraId="5AF7299F" w14:textId="7A8556B9" w:rsidR="00071282" w:rsidRPr="009A730B" w:rsidRDefault="00071282" w:rsidP="6D8E5F83">
            <w:pPr>
              <w:ind w:left="357"/>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c>
          <w:tcPr>
            <w:tcW w:w="4599" w:type="dxa"/>
          </w:tcPr>
          <w:p w14:paraId="1A057F74" w14:textId="46244691" w:rsidR="003821C3" w:rsidRPr="009A730B" w:rsidRDefault="003821C3" w:rsidP="6D8E5F83">
            <w:pPr>
              <w:jc w:val="center"/>
              <w:cnfStyle w:val="000000000000" w:firstRow="0" w:lastRow="0" w:firstColumn="0" w:lastColumn="0" w:oddVBand="0" w:evenVBand="0" w:oddHBand="0" w:evenHBand="0" w:firstRowFirstColumn="0" w:firstRowLastColumn="0" w:lastRowFirstColumn="0" w:lastRowLastColumn="0"/>
              <w:rPr>
                <w:rFonts w:ascii="Verdana" w:hAnsi="Verdana" w:cs="Arial"/>
                <w:i/>
                <w:iCs/>
                <w:sz w:val="24"/>
                <w:szCs w:val="24"/>
              </w:rPr>
            </w:pPr>
          </w:p>
          <w:p w14:paraId="4B2E5046" w14:textId="3F123085" w:rsidR="003821C3" w:rsidRPr="009A730B" w:rsidRDefault="7BF9EB44" w:rsidP="6D8E5F83">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Sophie Herbert</w:t>
            </w:r>
            <w:r w:rsidRPr="009A730B">
              <w:rPr>
                <w:rFonts w:ascii="Verdana" w:hAnsi="Verdana" w:cs="Arial"/>
                <w:i/>
                <w:iCs/>
                <w:sz w:val="24"/>
                <w:szCs w:val="24"/>
              </w:rPr>
              <w:t xml:space="preserve"> (Corporate Governance Officer) </w:t>
            </w:r>
          </w:p>
          <w:p w14:paraId="5704997E" w14:textId="761F24AE" w:rsidR="003821C3" w:rsidRPr="009A730B" w:rsidRDefault="003821C3" w:rsidP="00A95E70">
            <w:pPr>
              <w:jc w:val="center"/>
              <w:cnfStyle w:val="000000000000" w:firstRow="0" w:lastRow="0" w:firstColumn="0" w:lastColumn="0" w:oddVBand="0" w:evenVBand="0" w:oddHBand="0" w:evenHBand="0" w:firstRowFirstColumn="0" w:firstRowLastColumn="0" w:lastRowFirstColumn="0" w:lastRowLastColumn="0"/>
              <w:rPr>
                <w:rFonts w:ascii="Verdana" w:hAnsi="Verdana" w:cs="Arial"/>
                <w:i/>
                <w:iCs/>
                <w:sz w:val="24"/>
                <w:szCs w:val="24"/>
              </w:rPr>
            </w:pPr>
          </w:p>
        </w:tc>
        <w:tc>
          <w:tcPr>
            <w:tcW w:w="1485" w:type="dxa"/>
          </w:tcPr>
          <w:p w14:paraId="668163B8" w14:textId="77777777" w:rsidR="00071282" w:rsidRPr="009A730B" w:rsidRDefault="70228AAC" w:rsidP="6D8E5F83">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Bi-monthly</w:t>
            </w:r>
          </w:p>
        </w:tc>
      </w:tr>
      <w:tr w:rsidR="6F2B4365" w:rsidRPr="009A730B" w14:paraId="307EBC8A" w14:textId="77777777" w:rsidTr="223825E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42" w:type="dxa"/>
          </w:tcPr>
          <w:p w14:paraId="465AB2C8" w14:textId="159228B8" w:rsidR="36EBBD71" w:rsidRPr="009A730B" w:rsidRDefault="36EBBD71" w:rsidP="6F2B4365">
            <w:pPr>
              <w:rPr>
                <w:rFonts w:ascii="Verdana" w:eastAsia="Verdana" w:hAnsi="Verdana" w:cs="Verdana"/>
                <w:sz w:val="24"/>
                <w:szCs w:val="24"/>
              </w:rPr>
            </w:pPr>
            <w:r w:rsidRPr="009A730B">
              <w:rPr>
                <w:rFonts w:ascii="Verdana" w:eastAsia="Verdana" w:hAnsi="Verdana" w:cs="Verdana"/>
                <w:color w:val="000000" w:themeColor="text1"/>
                <w:sz w:val="24"/>
                <w:szCs w:val="24"/>
              </w:rPr>
              <w:lastRenderedPageBreak/>
              <w:t>Digital, Data, Research and Innovation Committee</w:t>
            </w:r>
          </w:p>
          <w:p w14:paraId="19AEF8A3" w14:textId="7F78BFF0" w:rsidR="36EBBD71" w:rsidRPr="009A730B" w:rsidRDefault="36EBBD71" w:rsidP="6F2B4365">
            <w:pPr>
              <w:rPr>
                <w:rFonts w:ascii="Verdana" w:eastAsia="Verdana" w:hAnsi="Verdana" w:cs="Verdana"/>
                <w:i/>
                <w:sz w:val="24"/>
                <w:szCs w:val="24"/>
              </w:rPr>
            </w:pPr>
            <w:r w:rsidRPr="009A730B">
              <w:rPr>
                <w:rFonts w:ascii="Verdana" w:eastAsia="Verdana" w:hAnsi="Verdana" w:cs="Verdana"/>
                <w:i/>
                <w:color w:val="000000" w:themeColor="text1"/>
                <w:sz w:val="24"/>
                <w:szCs w:val="24"/>
              </w:rPr>
              <w:t>(</w:t>
            </w:r>
            <w:r w:rsidR="16DCAF75" w:rsidRPr="009A730B">
              <w:rPr>
                <w:rFonts w:ascii="Verdana" w:eastAsia="Verdana" w:hAnsi="Verdana" w:cs="Verdana"/>
                <w:i/>
                <w:color w:val="000000" w:themeColor="text1"/>
                <w:sz w:val="24"/>
                <w:szCs w:val="24"/>
              </w:rPr>
              <w:t>T</w:t>
            </w:r>
            <w:r w:rsidR="16DCAF75" w:rsidRPr="009A730B">
              <w:rPr>
                <w:rFonts w:ascii="Verdana" w:eastAsia="Verdana" w:hAnsi="Verdana" w:cs="Verdana"/>
                <w:i/>
                <w:sz w:val="24"/>
                <w:szCs w:val="24"/>
              </w:rPr>
              <w:t>he committee was established in November 2024)</w:t>
            </w:r>
          </w:p>
        </w:tc>
        <w:tc>
          <w:tcPr>
            <w:tcW w:w="4292" w:type="dxa"/>
          </w:tcPr>
          <w:p w14:paraId="3CC19891" w14:textId="59DD6B13" w:rsidR="4A723EB2" w:rsidRPr="009A730B" w:rsidRDefault="4A723EB2" w:rsidP="00C2615D">
            <w:pPr>
              <w:pStyle w:val="ListParagraph"/>
              <w:numPr>
                <w:ilvl w:val="0"/>
                <w:numId w:val="10"/>
              </w:numPr>
              <w:cnfStyle w:val="000000100000" w:firstRow="0" w:lastRow="0" w:firstColumn="0" w:lastColumn="0" w:oddVBand="0" w:evenVBand="0" w:oddHBand="1" w:evenHBand="0" w:firstRowFirstColumn="0" w:firstRowLastColumn="0" w:lastRowFirstColumn="0" w:lastRowLastColumn="0"/>
              <w:rPr>
                <w:rFonts w:ascii="Verdana" w:hAnsi="Verdana" w:cs="Arial"/>
                <w:color w:val="000000" w:themeColor="text1"/>
                <w:sz w:val="24"/>
                <w:szCs w:val="24"/>
              </w:rPr>
            </w:pPr>
            <w:r w:rsidRPr="009A730B">
              <w:rPr>
                <w:rFonts w:ascii="Verdana" w:hAnsi="Verdana" w:cs="Arial"/>
                <w:color w:val="000000" w:themeColor="text1"/>
                <w:sz w:val="24"/>
                <w:szCs w:val="24"/>
              </w:rPr>
              <w:t>Matt John, Director of Digital</w:t>
            </w:r>
          </w:p>
          <w:p w14:paraId="008BE8E2" w14:textId="756C32BD" w:rsidR="293CA0D9" w:rsidRPr="009A730B" w:rsidRDefault="18C56691" w:rsidP="00C2615D">
            <w:pPr>
              <w:pStyle w:val="ListParagraph"/>
              <w:numPr>
                <w:ilvl w:val="0"/>
                <w:numId w:val="10"/>
              </w:numPr>
              <w:cnfStyle w:val="000000100000" w:firstRow="0" w:lastRow="0" w:firstColumn="0" w:lastColumn="0" w:oddVBand="0" w:evenVBand="0" w:oddHBand="1" w:evenHBand="0" w:firstRowFirstColumn="0" w:firstRowLastColumn="0" w:lastRowFirstColumn="0" w:lastRowLastColumn="0"/>
              <w:rPr>
                <w:rFonts w:ascii="Verdana" w:hAnsi="Verdana" w:cs="Arial"/>
                <w:color w:val="000000" w:themeColor="text1"/>
                <w:sz w:val="24"/>
                <w:szCs w:val="24"/>
              </w:rPr>
            </w:pPr>
            <w:r w:rsidRPr="63897B96">
              <w:rPr>
                <w:rFonts w:ascii="Verdana" w:hAnsi="Verdana" w:cs="Arial"/>
                <w:color w:val="000000" w:themeColor="text1"/>
                <w:sz w:val="24"/>
                <w:szCs w:val="24"/>
              </w:rPr>
              <w:t>Richard Evans, Executive Medical Director</w:t>
            </w:r>
            <w:r w:rsidR="7380D9C0" w:rsidRPr="63897B96">
              <w:rPr>
                <w:rFonts w:ascii="Verdana" w:hAnsi="Verdana" w:cs="Arial"/>
                <w:color w:val="000000" w:themeColor="text1"/>
                <w:sz w:val="24"/>
                <w:szCs w:val="24"/>
              </w:rPr>
              <w:t xml:space="preserve"> </w:t>
            </w:r>
          </w:p>
          <w:p w14:paraId="45EAB0F7" w14:textId="13E9CD9D" w:rsidR="293CA0D9" w:rsidRPr="009A730B" w:rsidRDefault="293CA0D9" w:rsidP="00C2615D">
            <w:pPr>
              <w:pStyle w:val="ListParagraph"/>
              <w:numPr>
                <w:ilvl w:val="0"/>
                <w:numId w:val="10"/>
              </w:numPr>
              <w:cnfStyle w:val="000000100000" w:firstRow="0" w:lastRow="0" w:firstColumn="0" w:lastColumn="0" w:oddVBand="0" w:evenVBand="0" w:oddHBand="1" w:evenHBand="0" w:firstRowFirstColumn="0" w:firstRowLastColumn="0" w:lastRowFirstColumn="0" w:lastRowLastColumn="0"/>
              <w:rPr>
                <w:rFonts w:ascii="Verdana" w:hAnsi="Verdana" w:cs="Arial"/>
                <w:color w:val="000000" w:themeColor="text1"/>
                <w:sz w:val="24"/>
                <w:szCs w:val="24"/>
              </w:rPr>
            </w:pPr>
            <w:r w:rsidRPr="009A730B">
              <w:rPr>
                <w:rFonts w:ascii="Verdana" w:hAnsi="Verdana" w:cs="Arial"/>
                <w:color w:val="000000" w:themeColor="text1"/>
                <w:sz w:val="24"/>
                <w:szCs w:val="24"/>
              </w:rPr>
              <w:t>Hazel Lloyd, Director of Corporate Governance</w:t>
            </w:r>
          </w:p>
          <w:p w14:paraId="2486E143" w14:textId="77B063E2" w:rsidR="293CA0D9" w:rsidRPr="009A730B" w:rsidRDefault="1D5ADE49" w:rsidP="00C2615D">
            <w:pPr>
              <w:pStyle w:val="ListParagraph"/>
              <w:numPr>
                <w:ilvl w:val="0"/>
                <w:numId w:val="10"/>
              </w:numPr>
              <w:cnfStyle w:val="000000100000" w:firstRow="0" w:lastRow="0" w:firstColumn="0" w:lastColumn="0" w:oddVBand="0" w:evenVBand="0" w:oddHBand="1" w:evenHBand="0" w:firstRowFirstColumn="0" w:firstRowLastColumn="0" w:lastRowFirstColumn="0" w:lastRowLastColumn="0"/>
              <w:rPr>
                <w:rFonts w:ascii="Verdana" w:hAnsi="Verdana" w:cs="Arial"/>
                <w:color w:val="000000" w:themeColor="text1"/>
                <w:sz w:val="24"/>
                <w:szCs w:val="24"/>
              </w:rPr>
            </w:pPr>
            <w:r w:rsidRPr="372D7A94">
              <w:rPr>
                <w:rFonts w:ascii="Verdana" w:hAnsi="Verdana" w:cs="Arial"/>
                <w:color w:val="000000" w:themeColor="text1"/>
                <w:sz w:val="24"/>
                <w:szCs w:val="24"/>
              </w:rPr>
              <w:t>Claire Osmundsen-Little (From May 2026)</w:t>
            </w:r>
          </w:p>
        </w:tc>
        <w:tc>
          <w:tcPr>
            <w:tcW w:w="2640" w:type="dxa"/>
          </w:tcPr>
          <w:p w14:paraId="37D7DF17" w14:textId="5D208872" w:rsidR="16DCAF75" w:rsidRPr="009A730B" w:rsidRDefault="16DCAF75" w:rsidP="00C2615D">
            <w:pPr>
              <w:pStyle w:val="ListParagraph"/>
              <w:numPr>
                <w:ilvl w:val="0"/>
                <w:numId w:val="10"/>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139C5F6B">
              <w:rPr>
                <w:rFonts w:ascii="Verdana" w:hAnsi="Verdana" w:cs="Arial"/>
                <w:i/>
                <w:iCs/>
                <w:sz w:val="24"/>
                <w:szCs w:val="24"/>
              </w:rPr>
              <w:t>Andrew Griffiths (chair from February 2025)</w:t>
            </w:r>
          </w:p>
          <w:p w14:paraId="6EA1B854" w14:textId="3C0436B1" w:rsidR="68236E76" w:rsidRDefault="68236E76" w:rsidP="00C2615D">
            <w:pPr>
              <w:pStyle w:val="ListParagraph"/>
              <w:numPr>
                <w:ilvl w:val="0"/>
                <w:numId w:val="10"/>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139C5F6B">
              <w:rPr>
                <w:rFonts w:ascii="Verdana" w:hAnsi="Verdana" w:cs="Arial"/>
                <w:i/>
                <w:iCs/>
                <w:sz w:val="24"/>
                <w:szCs w:val="24"/>
              </w:rPr>
              <w:t>Jean Church</w:t>
            </w:r>
          </w:p>
          <w:p w14:paraId="7A924CB8" w14:textId="57FD1CAB" w:rsidR="16DCAF75" w:rsidRPr="009A730B" w:rsidRDefault="16DCAF75" w:rsidP="00C2615D">
            <w:pPr>
              <w:pStyle w:val="ListParagraph"/>
              <w:numPr>
                <w:ilvl w:val="0"/>
                <w:numId w:val="10"/>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Nuria Zolle</w:t>
            </w:r>
          </w:p>
          <w:p w14:paraId="2B6F60BF" w14:textId="55DB686E" w:rsidR="16DCAF75" w:rsidRPr="009A730B" w:rsidRDefault="7C9911EA" w:rsidP="00C2615D">
            <w:pPr>
              <w:pStyle w:val="ListParagraph"/>
              <w:numPr>
                <w:ilvl w:val="0"/>
                <w:numId w:val="10"/>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40BE6EE6">
              <w:rPr>
                <w:rFonts w:ascii="Verdana" w:hAnsi="Verdana" w:cs="Arial"/>
                <w:sz w:val="24"/>
                <w:szCs w:val="24"/>
              </w:rPr>
              <w:t>Keith Lloyd</w:t>
            </w:r>
            <w:r w:rsidR="54DBA275" w:rsidRPr="40BE6EE6">
              <w:rPr>
                <w:rFonts w:ascii="Verdana" w:hAnsi="Verdana" w:cs="Arial"/>
                <w:sz w:val="24"/>
                <w:szCs w:val="24"/>
              </w:rPr>
              <w:t xml:space="preserve"> (until December 2025)</w:t>
            </w:r>
          </w:p>
          <w:p w14:paraId="682810FB" w14:textId="5B8A1572" w:rsidR="16DCAF75" w:rsidRPr="009A730B" w:rsidRDefault="2FCDDD8A" w:rsidP="00C2615D">
            <w:pPr>
              <w:pStyle w:val="ListParagraph"/>
              <w:numPr>
                <w:ilvl w:val="0"/>
                <w:numId w:val="10"/>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 xml:space="preserve">Charlotte Rees </w:t>
            </w:r>
            <w:r w:rsidR="4331E12F" w:rsidRPr="40BE6EE6">
              <w:rPr>
                <w:rFonts w:ascii="Verdana" w:hAnsi="Verdana" w:cs="Arial"/>
                <w:sz w:val="24"/>
                <w:szCs w:val="24"/>
              </w:rPr>
              <w:t xml:space="preserve">(from </w:t>
            </w:r>
            <w:r w:rsidR="4331E12F" w:rsidRPr="08BB01AC">
              <w:rPr>
                <w:rFonts w:ascii="Verdana" w:hAnsi="Verdana" w:cs="Arial"/>
                <w:sz w:val="24"/>
                <w:szCs w:val="24"/>
              </w:rPr>
              <w:t>May 2026)</w:t>
            </w:r>
          </w:p>
        </w:tc>
        <w:tc>
          <w:tcPr>
            <w:tcW w:w="4599" w:type="dxa"/>
          </w:tcPr>
          <w:p w14:paraId="33EFFF6F" w14:textId="071272AF" w:rsidR="16DCAF75" w:rsidRPr="009A730B" w:rsidRDefault="76B35A8C" w:rsidP="00686B3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9A730B">
              <w:rPr>
                <w:rFonts w:ascii="Verdana" w:hAnsi="Verdana" w:cs="Arial"/>
                <w:i/>
                <w:iCs/>
                <w:sz w:val="24"/>
                <w:szCs w:val="24"/>
              </w:rPr>
              <w:t xml:space="preserve">Amelia Cole (Corporate Governance Officer) </w:t>
            </w:r>
          </w:p>
          <w:p w14:paraId="216A1B2B" w14:textId="61090554" w:rsidR="6F2B4365" w:rsidRPr="009A730B" w:rsidRDefault="6F2B4365" w:rsidP="6F2B4365">
            <w:pPr>
              <w:jc w:val="center"/>
              <w:cnfStyle w:val="000000100000" w:firstRow="0" w:lastRow="0" w:firstColumn="0" w:lastColumn="0" w:oddVBand="0" w:evenVBand="0" w:oddHBand="1" w:evenHBand="0" w:firstRowFirstColumn="0" w:firstRowLastColumn="0" w:lastRowFirstColumn="0" w:lastRowLastColumn="0"/>
              <w:rPr>
                <w:rFonts w:ascii="Verdana" w:hAnsi="Verdana" w:cs="Arial"/>
                <w:i/>
                <w:iCs/>
                <w:sz w:val="24"/>
                <w:szCs w:val="24"/>
              </w:rPr>
            </w:pPr>
          </w:p>
        </w:tc>
        <w:tc>
          <w:tcPr>
            <w:tcW w:w="1485" w:type="dxa"/>
          </w:tcPr>
          <w:p w14:paraId="7D41682B" w14:textId="17A79F30" w:rsidR="16DCAF75" w:rsidRPr="009A730B" w:rsidRDefault="16DCAF75" w:rsidP="6F2B436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Quarterly</w:t>
            </w:r>
          </w:p>
          <w:p w14:paraId="17A8E62F" w14:textId="5BFEA678" w:rsidR="6F2B4365" w:rsidRPr="009A730B" w:rsidRDefault="6F2B4365" w:rsidP="6F2B436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AB18D8" w:rsidRPr="009A730B" w14:paraId="55F23557" w14:textId="77777777" w:rsidTr="223825EA">
        <w:tc>
          <w:tcPr>
            <w:cnfStyle w:val="001000000000" w:firstRow="0" w:lastRow="0" w:firstColumn="1" w:lastColumn="0" w:oddVBand="0" w:evenVBand="0" w:oddHBand="0" w:evenHBand="0" w:firstRowFirstColumn="0" w:firstRowLastColumn="0" w:lastRowFirstColumn="0" w:lastRowLastColumn="0"/>
            <w:tcW w:w="1942" w:type="dxa"/>
          </w:tcPr>
          <w:p w14:paraId="42C704E1" w14:textId="5B90C882" w:rsidR="007B1B26" w:rsidRPr="009A730B" w:rsidRDefault="50744800" w:rsidP="6F2B4365">
            <w:pPr>
              <w:rPr>
                <w:rFonts w:ascii="Verdana" w:hAnsi="Verdana" w:cs="Arial"/>
                <w:sz w:val="24"/>
                <w:szCs w:val="24"/>
              </w:rPr>
            </w:pPr>
            <w:r w:rsidRPr="009A730B">
              <w:rPr>
                <w:rFonts w:ascii="Verdana" w:hAnsi="Verdana" w:cs="Arial"/>
                <w:sz w:val="24"/>
                <w:szCs w:val="24"/>
              </w:rPr>
              <w:t xml:space="preserve">Population </w:t>
            </w:r>
            <w:r w:rsidR="4E004B48" w:rsidRPr="009A730B">
              <w:rPr>
                <w:rFonts w:ascii="Verdana" w:hAnsi="Verdana" w:cs="Arial"/>
                <w:sz w:val="24"/>
                <w:szCs w:val="24"/>
              </w:rPr>
              <w:t>Health Committee</w:t>
            </w:r>
            <w:r w:rsidRPr="009A730B">
              <w:rPr>
                <w:rFonts w:ascii="Verdana" w:hAnsi="Verdana" w:cs="Arial"/>
                <w:sz w:val="24"/>
                <w:szCs w:val="24"/>
              </w:rPr>
              <w:t xml:space="preserve"> </w:t>
            </w:r>
          </w:p>
          <w:p w14:paraId="338BE35B" w14:textId="2A31FE4C" w:rsidR="007B1B26" w:rsidRPr="009A730B" w:rsidRDefault="007B1B26" w:rsidP="6F2B4365">
            <w:pPr>
              <w:rPr>
                <w:rFonts w:ascii="Verdana" w:eastAsia="Verdana" w:hAnsi="Verdana" w:cs="Verdana"/>
                <w:i/>
                <w:sz w:val="24"/>
                <w:szCs w:val="24"/>
              </w:rPr>
            </w:pPr>
          </w:p>
        </w:tc>
        <w:tc>
          <w:tcPr>
            <w:tcW w:w="4292" w:type="dxa"/>
          </w:tcPr>
          <w:p w14:paraId="093A9537" w14:textId="55451E82" w:rsidR="007B1B26" w:rsidRPr="009A730B" w:rsidRDefault="7186FF03" w:rsidP="00C2615D">
            <w:pPr>
              <w:numPr>
                <w:ilvl w:val="0"/>
                <w:numId w:val="11"/>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Gillian Richardson, Executive Director of Public Health</w:t>
            </w:r>
            <w:r w:rsidR="009653D5" w:rsidRPr="009A730B">
              <w:rPr>
                <w:rFonts w:ascii="Verdana" w:hAnsi="Verdana" w:cs="Arial"/>
                <w:sz w:val="24"/>
                <w:szCs w:val="24"/>
              </w:rPr>
              <w:t xml:space="preserve"> </w:t>
            </w:r>
            <w:r w:rsidR="009653D5" w:rsidRPr="009A730B">
              <w:rPr>
                <w:rFonts w:ascii="Verdana" w:hAnsi="Verdana" w:cs="Arial"/>
                <w:i/>
                <w:iCs/>
                <w:sz w:val="24"/>
                <w:szCs w:val="24"/>
              </w:rPr>
              <w:t>(until March 2026)</w:t>
            </w:r>
          </w:p>
          <w:p w14:paraId="091B64FA" w14:textId="77777777" w:rsidR="007B1B26" w:rsidRPr="009A730B" w:rsidRDefault="7186FF03" w:rsidP="00C2615D">
            <w:pPr>
              <w:numPr>
                <w:ilvl w:val="0"/>
                <w:numId w:val="11"/>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 xml:space="preserve">Marie Davies, </w:t>
            </w:r>
            <w:r w:rsidR="54A09EB9" w:rsidRPr="009A730B">
              <w:rPr>
                <w:rFonts w:ascii="Verdana" w:hAnsi="Verdana" w:cs="Arial"/>
                <w:sz w:val="24"/>
                <w:szCs w:val="24"/>
              </w:rPr>
              <w:t>Executive</w:t>
            </w:r>
            <w:r w:rsidRPr="009A730B">
              <w:rPr>
                <w:rFonts w:ascii="Verdana" w:hAnsi="Verdana" w:cs="Arial"/>
                <w:sz w:val="24"/>
                <w:szCs w:val="24"/>
              </w:rPr>
              <w:t xml:space="preserve"> </w:t>
            </w:r>
            <w:r w:rsidR="3D5E8160" w:rsidRPr="009A730B">
              <w:rPr>
                <w:rFonts w:ascii="Verdana" w:hAnsi="Verdana" w:cs="Arial"/>
                <w:sz w:val="24"/>
                <w:szCs w:val="24"/>
              </w:rPr>
              <w:t xml:space="preserve">Director of Planning and Partnerships </w:t>
            </w:r>
            <w:r w:rsidR="3BC68D29" w:rsidRPr="009A730B">
              <w:rPr>
                <w:rFonts w:ascii="Verdana" w:hAnsi="Verdana" w:cs="Arial"/>
                <w:sz w:val="24"/>
                <w:szCs w:val="24"/>
              </w:rPr>
              <w:t xml:space="preserve">  </w:t>
            </w:r>
          </w:p>
          <w:p w14:paraId="189DF6F9" w14:textId="5A9160B3" w:rsidR="00652E2F" w:rsidRPr="009A730B" w:rsidRDefault="00652E2F" w:rsidP="00C2615D">
            <w:pPr>
              <w:numPr>
                <w:ilvl w:val="0"/>
                <w:numId w:val="11"/>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 xml:space="preserve">Hazel Lloyd, Director of Corporate Governance </w:t>
            </w:r>
          </w:p>
        </w:tc>
        <w:tc>
          <w:tcPr>
            <w:tcW w:w="2640" w:type="dxa"/>
          </w:tcPr>
          <w:p w14:paraId="05893F46" w14:textId="6F78532D" w:rsidR="00AB18D8" w:rsidRPr="009A730B" w:rsidRDefault="00A50DF4" w:rsidP="00C2615D">
            <w:pPr>
              <w:numPr>
                <w:ilvl w:val="0"/>
                <w:numId w:val="11"/>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Stephen Spill</w:t>
            </w:r>
            <w:r w:rsidR="4D43A3EC" w:rsidRPr="009A730B">
              <w:rPr>
                <w:rFonts w:ascii="Verdana" w:hAnsi="Verdana" w:cs="Arial"/>
                <w:sz w:val="24"/>
                <w:szCs w:val="24"/>
              </w:rPr>
              <w:t xml:space="preserve"> </w:t>
            </w:r>
            <w:r w:rsidR="4D43A3EC" w:rsidRPr="009A730B">
              <w:rPr>
                <w:rFonts w:ascii="Verdana" w:hAnsi="Verdana" w:cs="Arial"/>
                <w:i/>
                <w:iCs/>
                <w:sz w:val="24"/>
                <w:szCs w:val="24"/>
              </w:rPr>
              <w:t>(chair</w:t>
            </w:r>
            <w:r w:rsidRPr="009A730B">
              <w:rPr>
                <w:rFonts w:ascii="Verdana" w:hAnsi="Verdana" w:cs="Arial"/>
                <w:i/>
                <w:iCs/>
                <w:sz w:val="24"/>
                <w:szCs w:val="24"/>
              </w:rPr>
              <w:t>)</w:t>
            </w:r>
          </w:p>
          <w:p w14:paraId="4C450749" w14:textId="6019CE30" w:rsidR="003821C3" w:rsidRPr="009A730B" w:rsidRDefault="7085E88A" w:rsidP="00C2615D">
            <w:pPr>
              <w:numPr>
                <w:ilvl w:val="0"/>
                <w:numId w:val="11"/>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 xml:space="preserve">Nicola Matthews </w:t>
            </w:r>
          </w:p>
          <w:p w14:paraId="31256EDB" w14:textId="165B3804" w:rsidR="003821C3" w:rsidRPr="009A730B" w:rsidRDefault="026DD149" w:rsidP="00C2615D">
            <w:pPr>
              <w:numPr>
                <w:ilvl w:val="0"/>
                <w:numId w:val="11"/>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 xml:space="preserve">Reena Owen </w:t>
            </w:r>
          </w:p>
          <w:p w14:paraId="7F186AEC" w14:textId="1DA00770" w:rsidR="003821C3" w:rsidRPr="009A730B" w:rsidRDefault="026DD149" w:rsidP="00C2615D">
            <w:pPr>
              <w:numPr>
                <w:ilvl w:val="0"/>
                <w:numId w:val="11"/>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 xml:space="preserve">Nuria Zolle </w:t>
            </w:r>
          </w:p>
        </w:tc>
        <w:tc>
          <w:tcPr>
            <w:tcW w:w="4599" w:type="dxa"/>
          </w:tcPr>
          <w:p w14:paraId="342F7E9F" w14:textId="3B2ECAD6" w:rsidR="00FF4CC6" w:rsidRPr="009A730B" w:rsidRDefault="00FF4CC6" w:rsidP="6F2B4365">
            <w:pPr>
              <w:jc w:val="center"/>
              <w:cnfStyle w:val="000000000000" w:firstRow="0" w:lastRow="0" w:firstColumn="0" w:lastColumn="0" w:oddVBand="0" w:evenVBand="0" w:oddHBand="0" w:evenHBand="0" w:firstRowFirstColumn="0" w:firstRowLastColumn="0" w:lastRowFirstColumn="0" w:lastRowLastColumn="0"/>
              <w:rPr>
                <w:rFonts w:ascii="Verdana" w:hAnsi="Verdana" w:cs="Arial"/>
                <w:i/>
                <w:iCs/>
                <w:sz w:val="24"/>
                <w:szCs w:val="24"/>
              </w:rPr>
            </w:pPr>
          </w:p>
          <w:p w14:paraId="7ECCD48C" w14:textId="0D5F89B4" w:rsidR="00FF4CC6" w:rsidRPr="009A730B" w:rsidRDefault="210253DD" w:rsidP="6F2B4365">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Sophie Herbert</w:t>
            </w:r>
            <w:r w:rsidRPr="009A730B">
              <w:rPr>
                <w:rFonts w:ascii="Verdana" w:hAnsi="Verdana" w:cs="Arial"/>
                <w:i/>
                <w:iCs/>
                <w:sz w:val="24"/>
                <w:szCs w:val="24"/>
              </w:rPr>
              <w:t xml:space="preserve"> (Corporate Governance Officer)</w:t>
            </w:r>
          </w:p>
          <w:p w14:paraId="66CACFFA" w14:textId="0A1962F1" w:rsidR="00FF4CC6" w:rsidRPr="009A730B" w:rsidRDefault="00FF4CC6" w:rsidP="6F2B4365">
            <w:pPr>
              <w:jc w:val="center"/>
              <w:cnfStyle w:val="000000000000" w:firstRow="0" w:lastRow="0" w:firstColumn="0" w:lastColumn="0" w:oddVBand="0" w:evenVBand="0" w:oddHBand="0" w:evenHBand="0" w:firstRowFirstColumn="0" w:firstRowLastColumn="0" w:lastRowFirstColumn="0" w:lastRowLastColumn="0"/>
              <w:rPr>
                <w:rFonts w:ascii="Verdana" w:hAnsi="Verdana" w:cs="Arial"/>
                <w:i/>
                <w:iCs/>
                <w:sz w:val="24"/>
                <w:szCs w:val="24"/>
              </w:rPr>
            </w:pPr>
          </w:p>
        </w:tc>
        <w:tc>
          <w:tcPr>
            <w:tcW w:w="1485" w:type="dxa"/>
          </w:tcPr>
          <w:p w14:paraId="0D99878F" w14:textId="17A79F30" w:rsidR="007B1B26" w:rsidRPr="009A730B" w:rsidRDefault="007B1B26" w:rsidP="0007128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9A730B">
              <w:rPr>
                <w:rFonts w:ascii="Verdana" w:hAnsi="Verdana" w:cs="Arial"/>
                <w:sz w:val="24"/>
                <w:szCs w:val="24"/>
              </w:rPr>
              <w:t>Quarterly</w:t>
            </w:r>
          </w:p>
        </w:tc>
      </w:tr>
    </w:tbl>
    <w:p w14:paraId="58273B43" w14:textId="77777777" w:rsidR="001505E6" w:rsidRPr="009A730B" w:rsidRDefault="001505E6" w:rsidP="00D16B2B">
      <w:pPr>
        <w:rPr>
          <w:rFonts w:ascii="Verdana" w:hAnsi="Verdana" w:cs="Arial"/>
          <w:sz w:val="24"/>
          <w:szCs w:val="24"/>
        </w:rPr>
        <w:sectPr w:rsidR="001505E6" w:rsidRPr="009A730B" w:rsidSect="00590449">
          <w:headerReference w:type="default" r:id="rId19"/>
          <w:footerReference w:type="first" r:id="rId20"/>
          <w:pgSz w:w="16838" w:h="11906" w:orient="landscape"/>
          <w:pgMar w:top="1440" w:right="1440" w:bottom="1440" w:left="1440"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p>
    <w:p w14:paraId="2CA3A723" w14:textId="6730FE20" w:rsidR="00F150F9" w:rsidRPr="009A730B" w:rsidRDefault="36830894" w:rsidP="6D8E5F83">
      <w:pPr>
        <w:spacing w:after="0" w:line="240" w:lineRule="auto"/>
        <w:jc w:val="center"/>
        <w:rPr>
          <w:rFonts w:ascii="Verdana" w:hAnsi="Verdana" w:cs="Arial"/>
          <w:b/>
          <w:bCs/>
          <w:color w:val="000000" w:themeColor="text1"/>
          <w:sz w:val="24"/>
          <w:szCs w:val="24"/>
          <w:u w:val="single"/>
        </w:rPr>
      </w:pPr>
      <w:r w:rsidRPr="009A730B">
        <w:rPr>
          <w:rFonts w:ascii="Verdana" w:hAnsi="Verdana" w:cs="Arial"/>
          <w:b/>
          <w:bCs/>
          <w:color w:val="000000" w:themeColor="text1"/>
          <w:sz w:val="24"/>
          <w:szCs w:val="24"/>
          <w:u w:val="single"/>
        </w:rPr>
        <w:lastRenderedPageBreak/>
        <w:t xml:space="preserve">Section 2 </w:t>
      </w:r>
    </w:p>
    <w:p w14:paraId="74195A5E" w14:textId="7F20E950" w:rsidR="00D16B2B" w:rsidRPr="009A730B" w:rsidRDefault="302257EB" w:rsidP="6D8E5F83">
      <w:pPr>
        <w:spacing w:after="0" w:line="240" w:lineRule="auto"/>
        <w:jc w:val="center"/>
        <w:rPr>
          <w:rFonts w:ascii="Verdana" w:hAnsi="Verdana" w:cs="Arial"/>
          <w:b/>
          <w:bCs/>
          <w:color w:val="000000" w:themeColor="text1"/>
          <w:sz w:val="24"/>
          <w:szCs w:val="24"/>
          <w:u w:val="single"/>
        </w:rPr>
      </w:pPr>
      <w:r w:rsidRPr="009A730B">
        <w:rPr>
          <w:rFonts w:ascii="Verdana" w:hAnsi="Verdana" w:cs="Arial"/>
          <w:b/>
          <w:bCs/>
          <w:color w:val="000000" w:themeColor="text1"/>
          <w:sz w:val="24"/>
          <w:szCs w:val="24"/>
          <w:u w:val="single"/>
        </w:rPr>
        <w:t>Performance and Finance Committee</w:t>
      </w:r>
    </w:p>
    <w:p w14:paraId="3B9B4A91" w14:textId="0CDE1C62" w:rsidR="00F6127B" w:rsidRPr="009A730B" w:rsidRDefault="00F6127B" w:rsidP="6F2B4365">
      <w:pPr>
        <w:spacing w:after="0" w:line="240" w:lineRule="auto"/>
        <w:jc w:val="center"/>
        <w:rPr>
          <w:rFonts w:ascii="Verdana" w:hAnsi="Verdana" w:cs="Arial"/>
          <w:b/>
          <w:bCs/>
          <w:sz w:val="24"/>
          <w:szCs w:val="24"/>
          <w:u w:val="single"/>
        </w:rPr>
      </w:pPr>
    </w:p>
    <w:p w14:paraId="77E51678" w14:textId="3A93EBF0" w:rsidR="6E4B1F48" w:rsidRPr="009A730B" w:rsidRDefault="6E4B1F48" w:rsidP="00AC5304">
      <w:pPr>
        <w:spacing w:after="0" w:line="240" w:lineRule="auto"/>
        <w:jc w:val="both"/>
        <w:rPr>
          <w:rFonts w:ascii="Verdana" w:eastAsia="Verdana" w:hAnsi="Verdana" w:cs="Verdana"/>
          <w:sz w:val="24"/>
          <w:szCs w:val="24"/>
        </w:rPr>
      </w:pPr>
      <w:r w:rsidRPr="009A730B">
        <w:rPr>
          <w:rFonts w:ascii="Verdana" w:eastAsia="Verdana" w:hAnsi="Verdana" w:cs="Verdana"/>
          <w:sz w:val="24"/>
          <w:szCs w:val="24"/>
        </w:rPr>
        <w:t>The Performance and Finance Committee provides detailed scrutiny and oversight of key aspects of Health Board performance that cannot be considered in the same level of detail at Board level. The Committee’s remit includes providing assurance in relation to:</w:t>
      </w:r>
    </w:p>
    <w:p w14:paraId="2B0C998C" w14:textId="539EB4BC" w:rsidR="6E4B1F48" w:rsidRPr="009A730B" w:rsidRDefault="6E4B1F48" w:rsidP="00C2615D">
      <w:pPr>
        <w:pStyle w:val="ListParagraph"/>
        <w:numPr>
          <w:ilvl w:val="0"/>
          <w:numId w:val="54"/>
        </w:numPr>
        <w:spacing w:before="240" w:after="240" w:line="240" w:lineRule="auto"/>
        <w:jc w:val="both"/>
        <w:rPr>
          <w:rFonts w:ascii="Verdana" w:eastAsia="Verdana" w:hAnsi="Verdana" w:cs="Verdana"/>
          <w:sz w:val="24"/>
          <w:szCs w:val="24"/>
        </w:rPr>
      </w:pPr>
      <w:r w:rsidRPr="009A730B">
        <w:rPr>
          <w:rFonts w:ascii="Verdana" w:eastAsia="Verdana" w:hAnsi="Verdana" w:cs="Verdana"/>
          <w:sz w:val="24"/>
          <w:szCs w:val="24"/>
        </w:rPr>
        <w:t>Financial planning and financial performance, including the delivery of agreed savings programmes; and</w:t>
      </w:r>
    </w:p>
    <w:p w14:paraId="64CFDB93" w14:textId="7746C58E" w:rsidR="6E4B1F48" w:rsidRPr="009A730B" w:rsidRDefault="6E4B1F48" w:rsidP="00C2615D">
      <w:pPr>
        <w:pStyle w:val="ListParagraph"/>
        <w:numPr>
          <w:ilvl w:val="0"/>
          <w:numId w:val="54"/>
        </w:numPr>
        <w:spacing w:before="240" w:after="240" w:line="240" w:lineRule="auto"/>
        <w:jc w:val="both"/>
        <w:rPr>
          <w:rFonts w:ascii="Verdana" w:eastAsia="Verdana" w:hAnsi="Verdana" w:cs="Verdana"/>
          <w:sz w:val="24"/>
          <w:szCs w:val="24"/>
        </w:rPr>
      </w:pPr>
      <w:r w:rsidRPr="009A730B">
        <w:rPr>
          <w:rFonts w:ascii="Verdana" w:eastAsia="Verdana" w:hAnsi="Verdana" w:cs="Verdana"/>
          <w:sz w:val="24"/>
          <w:szCs w:val="24"/>
        </w:rPr>
        <w:t>Operational activity, productivity, and the overall efficiency and effectiveness of services.</w:t>
      </w:r>
    </w:p>
    <w:p w14:paraId="1F319A11" w14:textId="61D28CA3" w:rsidR="51F4664D" w:rsidRPr="009A730B" w:rsidRDefault="6E4B1F48" w:rsidP="00AC5304">
      <w:pPr>
        <w:spacing w:before="240" w:after="240" w:line="240" w:lineRule="auto"/>
        <w:jc w:val="both"/>
        <w:rPr>
          <w:rFonts w:ascii="Verdana" w:eastAsia="Verdana" w:hAnsi="Verdana" w:cs="Verdana"/>
          <w:sz w:val="24"/>
          <w:szCs w:val="24"/>
        </w:rPr>
      </w:pPr>
      <w:r w:rsidRPr="009A730B">
        <w:rPr>
          <w:rFonts w:ascii="Verdana" w:eastAsia="Verdana" w:hAnsi="Verdana" w:cs="Verdana"/>
          <w:sz w:val="24"/>
          <w:szCs w:val="24"/>
        </w:rPr>
        <w:t>Throughout 2025/26, the Committee received and considered a comprehensive range of reports to support the discharge of its responsibilities and to inform its assurance to the Board. These included, but were not limited to, the following:</w:t>
      </w:r>
    </w:p>
    <w:p w14:paraId="4AEE8B12" w14:textId="204B7C49" w:rsidR="00F6127B" w:rsidRPr="009A730B" w:rsidRDefault="65BB78FB" w:rsidP="00C2615D">
      <w:pPr>
        <w:pStyle w:val="ListParagraph"/>
        <w:numPr>
          <w:ilvl w:val="1"/>
          <w:numId w:val="19"/>
        </w:numPr>
        <w:spacing w:before="240" w:after="240" w:line="276" w:lineRule="auto"/>
        <w:rPr>
          <w:rFonts w:ascii="Verdana" w:eastAsia="Verdana" w:hAnsi="Verdana" w:cs="Verdana"/>
          <w:b/>
          <w:bCs/>
          <w:color w:val="000000" w:themeColor="text1"/>
          <w:sz w:val="24"/>
          <w:szCs w:val="24"/>
          <w:u w:val="single"/>
        </w:rPr>
      </w:pPr>
      <w:r w:rsidRPr="009A730B">
        <w:rPr>
          <w:rFonts w:ascii="Verdana" w:eastAsia="Verdana" w:hAnsi="Verdana" w:cs="Verdana"/>
          <w:b/>
          <w:bCs/>
          <w:color w:val="000000" w:themeColor="text1"/>
          <w:sz w:val="24"/>
          <w:szCs w:val="24"/>
          <w:u w:val="single"/>
        </w:rPr>
        <w:t xml:space="preserve">Performance </w:t>
      </w:r>
    </w:p>
    <w:p w14:paraId="383C03F2" w14:textId="42798F77" w:rsidR="00F6127B" w:rsidRPr="009A730B" w:rsidRDefault="00245A2C" w:rsidP="00245A2C">
      <w:pPr>
        <w:spacing w:before="240" w:after="240" w:line="276" w:lineRule="auto"/>
        <w:rPr>
          <w:rFonts w:ascii="Verdana" w:eastAsia="Verdana" w:hAnsi="Verdana" w:cs="Verdana"/>
          <w:b/>
          <w:bCs/>
          <w:color w:val="000000" w:themeColor="text1"/>
          <w:sz w:val="24"/>
          <w:szCs w:val="24"/>
        </w:rPr>
      </w:pPr>
      <w:r w:rsidRPr="009A730B">
        <w:rPr>
          <w:rFonts w:ascii="Verdana" w:eastAsia="Verdana" w:hAnsi="Verdana" w:cs="Verdana"/>
          <w:b/>
          <w:bCs/>
          <w:color w:val="000000" w:themeColor="text1"/>
          <w:sz w:val="24"/>
          <w:szCs w:val="24"/>
        </w:rPr>
        <w:t xml:space="preserve">2.1.1 </w:t>
      </w:r>
      <w:r w:rsidR="65BB78FB" w:rsidRPr="009A730B">
        <w:rPr>
          <w:rFonts w:ascii="Verdana" w:eastAsia="Verdana" w:hAnsi="Verdana" w:cs="Verdana"/>
          <w:b/>
          <w:bCs/>
          <w:color w:val="000000" w:themeColor="text1"/>
          <w:sz w:val="24"/>
          <w:szCs w:val="24"/>
        </w:rPr>
        <w:t>Integrated Performance Report</w:t>
      </w:r>
    </w:p>
    <w:p w14:paraId="6E17DF1B" w14:textId="41461F89" w:rsidR="00F6127B" w:rsidRPr="009A730B" w:rsidRDefault="2D931A2E" w:rsidP="00BB17CD">
      <w:pPr>
        <w:spacing w:after="0" w:line="240"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A key area of focus for the Committee during 2025/26 was the Integrated Performance Report, which was received as a standing item on the Committee’s agenda monthly. The report provided a comprehensive and systematic overview of the Health Board’s performance against national delivery measures, together with key local indicators relating to quality, safety, and service performance.</w:t>
      </w:r>
    </w:p>
    <w:p w14:paraId="4F48D91C" w14:textId="29EA792C" w:rsidR="00BB17CD" w:rsidRPr="009A730B" w:rsidRDefault="00BB17CD" w:rsidP="00BB17CD">
      <w:pPr>
        <w:spacing w:after="0" w:line="240" w:lineRule="auto"/>
        <w:rPr>
          <w:rFonts w:ascii="Verdana" w:eastAsia="Verdana" w:hAnsi="Verdana" w:cs="Verdana"/>
          <w:color w:val="000000" w:themeColor="text1"/>
          <w:sz w:val="24"/>
          <w:szCs w:val="24"/>
        </w:rPr>
      </w:pPr>
    </w:p>
    <w:p w14:paraId="259708C8" w14:textId="63211C21" w:rsidR="00F6127B" w:rsidRPr="009A730B" w:rsidRDefault="2D931A2E" w:rsidP="00BB17CD">
      <w:pPr>
        <w:spacing w:after="0" w:line="240"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Throughout the reporting period, the Committee used this report to support its scrutiny and assurance role, enabling the identification and monitoring of high‑level performance issues. Key areas of concern were identified in the following domains:</w:t>
      </w:r>
    </w:p>
    <w:p w14:paraId="2B8D29C7" w14:textId="6ED0394A" w:rsidR="00F6127B" w:rsidRPr="009A730B" w:rsidRDefault="7A154619" w:rsidP="00C2615D">
      <w:pPr>
        <w:pStyle w:val="ListParagraph"/>
        <w:numPr>
          <w:ilvl w:val="0"/>
          <w:numId w:val="52"/>
        </w:numPr>
        <w:spacing w:before="240" w:after="240" w:line="276"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Cancer;</w:t>
      </w:r>
    </w:p>
    <w:p w14:paraId="09357CAB" w14:textId="20F3D550" w:rsidR="00F6127B" w:rsidRPr="009A730B" w:rsidRDefault="7A154619" w:rsidP="00C2615D">
      <w:pPr>
        <w:pStyle w:val="ListParagraph"/>
        <w:numPr>
          <w:ilvl w:val="0"/>
          <w:numId w:val="52"/>
        </w:numPr>
        <w:spacing w:before="240" w:after="240" w:line="276"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Planned Care;</w:t>
      </w:r>
    </w:p>
    <w:p w14:paraId="493D70C0" w14:textId="5FE7467F" w:rsidR="00F6127B" w:rsidRPr="009A730B" w:rsidRDefault="21D40CC0" w:rsidP="00C2615D">
      <w:pPr>
        <w:pStyle w:val="ListParagraph"/>
        <w:numPr>
          <w:ilvl w:val="0"/>
          <w:numId w:val="52"/>
        </w:numPr>
        <w:spacing w:before="240" w:after="240" w:line="276"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 xml:space="preserve">Unscheduled care; </w:t>
      </w:r>
    </w:p>
    <w:p w14:paraId="5EB347FC" w14:textId="017672A1" w:rsidR="1607DB8C" w:rsidRPr="009A730B" w:rsidRDefault="1607DB8C" w:rsidP="00C2615D">
      <w:pPr>
        <w:pStyle w:val="ListParagraph"/>
        <w:numPr>
          <w:ilvl w:val="0"/>
          <w:numId w:val="52"/>
        </w:numPr>
        <w:spacing w:before="240" w:after="240" w:line="276"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Endoscopy;</w:t>
      </w:r>
    </w:p>
    <w:p w14:paraId="695A8CA1" w14:textId="2A881754" w:rsidR="1607DB8C" w:rsidRPr="009A730B" w:rsidRDefault="1607DB8C" w:rsidP="00C2615D">
      <w:pPr>
        <w:pStyle w:val="ListParagraph"/>
        <w:numPr>
          <w:ilvl w:val="0"/>
          <w:numId w:val="52"/>
        </w:numPr>
        <w:spacing w:before="240" w:after="240" w:line="276"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Neurodevelopment Service;</w:t>
      </w:r>
    </w:p>
    <w:p w14:paraId="69DEA5B3" w14:textId="36D84B69" w:rsidR="1607DB8C" w:rsidRPr="009A730B" w:rsidRDefault="1607DB8C" w:rsidP="00C2615D">
      <w:pPr>
        <w:pStyle w:val="ListParagraph"/>
        <w:numPr>
          <w:ilvl w:val="0"/>
          <w:numId w:val="52"/>
        </w:numPr>
        <w:spacing w:before="240" w:after="240" w:line="276"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Maternity and Neonatal metrics;</w:t>
      </w:r>
    </w:p>
    <w:p w14:paraId="17741855" w14:textId="666C4633" w:rsidR="00F6127B" w:rsidRPr="009A730B" w:rsidRDefault="21D40CC0" w:rsidP="00C2615D">
      <w:pPr>
        <w:pStyle w:val="ListParagraph"/>
        <w:numPr>
          <w:ilvl w:val="0"/>
          <w:numId w:val="52"/>
        </w:numPr>
        <w:spacing w:before="240" w:after="240" w:line="276"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 xml:space="preserve">Healthcare acquired infections; </w:t>
      </w:r>
    </w:p>
    <w:p w14:paraId="686C9C38" w14:textId="4FAAC613" w:rsidR="00F6127B" w:rsidRPr="009A730B" w:rsidRDefault="1E2F0E9C" w:rsidP="00C2615D">
      <w:pPr>
        <w:pStyle w:val="ListParagraph"/>
        <w:numPr>
          <w:ilvl w:val="0"/>
          <w:numId w:val="52"/>
        </w:numPr>
        <w:spacing w:before="240" w:after="240" w:line="276"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 xml:space="preserve">Stroke;  </w:t>
      </w:r>
    </w:p>
    <w:p w14:paraId="2D51ED49" w14:textId="3FFD4F0F" w:rsidR="7A7BB5F4" w:rsidRPr="009A730B" w:rsidRDefault="7A7BB5F4" w:rsidP="00C2615D">
      <w:pPr>
        <w:pStyle w:val="ListParagraph"/>
        <w:numPr>
          <w:ilvl w:val="0"/>
          <w:numId w:val="52"/>
        </w:numPr>
        <w:spacing w:before="240" w:after="240" w:line="276"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Neck of Femur prompt surgery;</w:t>
      </w:r>
    </w:p>
    <w:p w14:paraId="5D653A67" w14:textId="7637AEF8" w:rsidR="00F6127B" w:rsidRPr="009A730B" w:rsidRDefault="21D40CC0" w:rsidP="00C2615D">
      <w:pPr>
        <w:pStyle w:val="ListParagraph"/>
        <w:numPr>
          <w:ilvl w:val="0"/>
          <w:numId w:val="52"/>
        </w:numPr>
        <w:spacing w:before="240" w:after="240" w:line="276"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 xml:space="preserve">Mental </w:t>
      </w:r>
      <w:r w:rsidR="40B02BB8" w:rsidRPr="009A730B">
        <w:rPr>
          <w:rFonts w:ascii="Verdana" w:eastAsia="Verdana" w:hAnsi="Verdana" w:cs="Verdana"/>
          <w:color w:val="000000" w:themeColor="text1"/>
          <w:sz w:val="24"/>
          <w:szCs w:val="24"/>
        </w:rPr>
        <w:t>H</w:t>
      </w:r>
      <w:r w:rsidRPr="009A730B">
        <w:rPr>
          <w:rFonts w:ascii="Verdana" w:eastAsia="Verdana" w:hAnsi="Verdana" w:cs="Verdana"/>
          <w:color w:val="000000" w:themeColor="text1"/>
          <w:sz w:val="24"/>
          <w:szCs w:val="24"/>
        </w:rPr>
        <w:t xml:space="preserve">ealth and Child and Adolescent Mental Health (CAMHS); </w:t>
      </w:r>
    </w:p>
    <w:p w14:paraId="22C6D416" w14:textId="1541CD4B" w:rsidR="00F6127B" w:rsidRPr="009A730B" w:rsidRDefault="21D40CC0" w:rsidP="00C2615D">
      <w:pPr>
        <w:pStyle w:val="ListParagraph"/>
        <w:numPr>
          <w:ilvl w:val="0"/>
          <w:numId w:val="52"/>
        </w:numPr>
        <w:spacing w:before="240" w:after="240" w:line="276"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 xml:space="preserve">Clinically </w:t>
      </w:r>
      <w:r w:rsidR="373B2F81" w:rsidRPr="009A730B">
        <w:rPr>
          <w:rFonts w:ascii="Verdana" w:eastAsia="Verdana" w:hAnsi="Verdana" w:cs="Verdana"/>
          <w:color w:val="000000" w:themeColor="text1"/>
          <w:sz w:val="24"/>
          <w:szCs w:val="24"/>
        </w:rPr>
        <w:t>O</w:t>
      </w:r>
      <w:r w:rsidRPr="009A730B">
        <w:rPr>
          <w:rFonts w:ascii="Verdana" w:eastAsia="Verdana" w:hAnsi="Verdana" w:cs="Verdana"/>
          <w:color w:val="000000" w:themeColor="text1"/>
          <w:sz w:val="24"/>
          <w:szCs w:val="24"/>
        </w:rPr>
        <w:t xml:space="preserve">ptimised </w:t>
      </w:r>
      <w:r w:rsidR="178DA9DA" w:rsidRPr="009A730B">
        <w:rPr>
          <w:rFonts w:ascii="Verdana" w:eastAsia="Verdana" w:hAnsi="Verdana" w:cs="Verdana"/>
          <w:color w:val="000000" w:themeColor="text1"/>
          <w:sz w:val="24"/>
          <w:szCs w:val="24"/>
        </w:rPr>
        <w:t>P</w:t>
      </w:r>
      <w:r w:rsidRPr="009A730B">
        <w:rPr>
          <w:rFonts w:ascii="Verdana" w:eastAsia="Verdana" w:hAnsi="Verdana" w:cs="Verdana"/>
          <w:color w:val="000000" w:themeColor="text1"/>
          <w:sz w:val="24"/>
          <w:szCs w:val="24"/>
        </w:rPr>
        <w:t xml:space="preserve">atients; </w:t>
      </w:r>
    </w:p>
    <w:p w14:paraId="6E4E488C" w14:textId="4E4CF51F" w:rsidR="00F6127B" w:rsidRPr="009A730B" w:rsidRDefault="21D40CC0" w:rsidP="00C2615D">
      <w:pPr>
        <w:pStyle w:val="ListParagraph"/>
        <w:numPr>
          <w:ilvl w:val="0"/>
          <w:numId w:val="52"/>
        </w:numPr>
        <w:spacing w:before="240" w:after="240" w:line="276"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 xml:space="preserve">Sickness absence; </w:t>
      </w:r>
    </w:p>
    <w:p w14:paraId="43B2B6B5" w14:textId="256C20AD" w:rsidR="00F6127B" w:rsidRPr="009A730B" w:rsidRDefault="21D40CC0" w:rsidP="00C2615D">
      <w:pPr>
        <w:pStyle w:val="ListParagraph"/>
        <w:numPr>
          <w:ilvl w:val="0"/>
          <w:numId w:val="53"/>
        </w:numPr>
        <w:spacing w:after="0" w:line="240"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lastRenderedPageBreak/>
        <w:t xml:space="preserve">Serious incidents and complaints; </w:t>
      </w:r>
    </w:p>
    <w:p w14:paraId="58BA95DE" w14:textId="55095503" w:rsidR="00F6127B" w:rsidRPr="009A730B" w:rsidRDefault="21D40CC0" w:rsidP="00C2615D">
      <w:pPr>
        <w:pStyle w:val="ListParagraph"/>
        <w:numPr>
          <w:ilvl w:val="0"/>
          <w:numId w:val="53"/>
        </w:numPr>
        <w:spacing w:after="0" w:line="240"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Diagnostics and therapies; and</w:t>
      </w:r>
    </w:p>
    <w:p w14:paraId="3BD90414" w14:textId="5A115B59" w:rsidR="00BB17CD" w:rsidRPr="009A730B" w:rsidRDefault="21D40CC0" w:rsidP="00C2615D">
      <w:pPr>
        <w:pStyle w:val="ListParagraph"/>
        <w:numPr>
          <w:ilvl w:val="0"/>
          <w:numId w:val="53"/>
        </w:numPr>
        <w:spacing w:after="0" w:line="240"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Theatre efficiencies.</w:t>
      </w:r>
    </w:p>
    <w:p w14:paraId="23DCB2A3" w14:textId="77777777" w:rsidR="002609A5" w:rsidRDefault="002609A5" w:rsidP="002609A5">
      <w:pPr>
        <w:pStyle w:val="StyleOutlinenumberedArialOutlinenumberedArial11Outli"/>
        <w:numPr>
          <w:ilvl w:val="0"/>
          <w:numId w:val="0"/>
        </w:numPr>
        <w:spacing w:line="276" w:lineRule="auto"/>
        <w:ind w:left="1080"/>
        <w:jc w:val="both"/>
        <w:rPr>
          <w:rFonts w:ascii="Verdana" w:eastAsia="Verdana" w:hAnsi="Verdana" w:cs="Verdana"/>
          <w:b w:val="0"/>
          <w:bCs w:val="0"/>
          <w:color w:val="000000" w:themeColor="text1"/>
        </w:rPr>
      </w:pPr>
    </w:p>
    <w:p w14:paraId="10B4CC07" w14:textId="77777777" w:rsidR="002609A5" w:rsidRPr="002609A5" w:rsidRDefault="002609A5" w:rsidP="002609A5">
      <w:pPr>
        <w:pStyle w:val="StyleOutlinenumberedArialOutlinenumberedArial11Outli"/>
        <w:numPr>
          <w:ilvl w:val="0"/>
          <w:numId w:val="0"/>
        </w:numPr>
        <w:spacing w:line="276" w:lineRule="auto"/>
        <w:ind w:left="1080"/>
        <w:jc w:val="both"/>
        <w:rPr>
          <w:rFonts w:ascii="Verdana" w:eastAsia="Verdana" w:hAnsi="Verdana" w:cs="Verdana"/>
          <w:b w:val="0"/>
          <w:bCs w:val="0"/>
          <w:color w:val="000000" w:themeColor="text1"/>
        </w:rPr>
      </w:pPr>
    </w:p>
    <w:p w14:paraId="440B978A" w14:textId="67D9A6B1" w:rsidR="00444255" w:rsidRPr="009A730B" w:rsidRDefault="2F19E21C" w:rsidP="00C2615D">
      <w:pPr>
        <w:pStyle w:val="StyleOutlinenumberedArialOutlinenumberedArial11Outli"/>
        <w:numPr>
          <w:ilvl w:val="2"/>
          <w:numId w:val="20"/>
        </w:numPr>
        <w:spacing w:line="276" w:lineRule="auto"/>
        <w:jc w:val="both"/>
        <w:rPr>
          <w:rFonts w:ascii="Verdana" w:eastAsia="Verdana" w:hAnsi="Verdana" w:cs="Verdana"/>
          <w:b w:val="0"/>
          <w:bCs w:val="0"/>
          <w:color w:val="000000" w:themeColor="text1"/>
        </w:rPr>
      </w:pPr>
      <w:r w:rsidRPr="009A730B">
        <w:rPr>
          <w:rFonts w:ascii="Verdana" w:eastAsia="Verdana" w:hAnsi="Verdana" w:cs="Verdana"/>
          <w:color w:val="000000" w:themeColor="text1"/>
          <w:bdr w:val="nil"/>
        </w:rPr>
        <w:t>Annual Plan 2</w:t>
      </w:r>
      <w:r w:rsidR="43953908" w:rsidRPr="009A730B">
        <w:rPr>
          <w:rFonts w:ascii="Verdana" w:eastAsia="Verdana" w:hAnsi="Verdana" w:cs="Verdana"/>
          <w:color w:val="000000" w:themeColor="text1"/>
          <w:bdr w:val="nil"/>
        </w:rPr>
        <w:t>025</w:t>
      </w:r>
      <w:r w:rsidR="42453304" w:rsidRPr="009A730B">
        <w:rPr>
          <w:rFonts w:ascii="Verdana" w:eastAsia="Verdana" w:hAnsi="Verdana" w:cs="Verdana"/>
          <w:color w:val="000000" w:themeColor="text1"/>
          <w:bdr w:val="nil"/>
        </w:rPr>
        <w:t>/2</w:t>
      </w:r>
      <w:r w:rsidR="509D8393" w:rsidRPr="009A730B">
        <w:rPr>
          <w:rFonts w:ascii="Verdana" w:eastAsia="Verdana" w:hAnsi="Verdana" w:cs="Verdana"/>
          <w:color w:val="000000" w:themeColor="text1"/>
          <w:bdr w:val="nil"/>
        </w:rPr>
        <w:t>6</w:t>
      </w:r>
      <w:r w:rsidRPr="009A730B">
        <w:rPr>
          <w:rFonts w:ascii="Verdana" w:eastAsia="Verdana" w:hAnsi="Verdana" w:cs="Verdana"/>
          <w:color w:val="000000" w:themeColor="text1"/>
          <w:bdr w:val="nil"/>
        </w:rPr>
        <w:t xml:space="preserve"> Delivery</w:t>
      </w:r>
    </w:p>
    <w:p w14:paraId="79911BEF" w14:textId="140010F7" w:rsidR="00444255" w:rsidRPr="009A730B" w:rsidRDefault="1B841D20" w:rsidP="00BB17CD">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During the year, the Committee considered draft Annual Plans at multiple points. In March 2025, the Committee reviewed the Draft Annual Plan 2025/26–2027/28 and noted that the plan could not be approved due to the scale of the underlying deficit and the level of savings required.</w:t>
      </w:r>
    </w:p>
    <w:p w14:paraId="6C884B92" w14:textId="369D21B9" w:rsidR="00444255" w:rsidRPr="009A730B" w:rsidRDefault="3C9C54A2" w:rsidP="00BB17CD">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 xml:space="preserve">In January and March 2026, the Committee received and further considered the Draft Annual Plan 2026/27, noting that it did not yet constitute a financially approvable plan. The </w:t>
      </w:r>
      <w:r w:rsidR="5E19DD6C" w:rsidRPr="009A730B">
        <w:rPr>
          <w:rFonts w:ascii="Verdana" w:eastAsia="Verdana" w:hAnsi="Verdana" w:cs="Verdana"/>
          <w:color w:val="000000" w:themeColor="text1"/>
          <w:sz w:val="24"/>
          <w:szCs w:val="24"/>
        </w:rPr>
        <w:t xml:space="preserve">plan was seen </w:t>
      </w:r>
      <w:r w:rsidR="61929647" w:rsidRPr="009A730B">
        <w:rPr>
          <w:rFonts w:ascii="Verdana" w:eastAsia="Verdana" w:hAnsi="Verdana" w:cs="Verdana"/>
          <w:color w:val="000000" w:themeColor="text1"/>
          <w:sz w:val="24"/>
          <w:szCs w:val="24"/>
        </w:rPr>
        <w:t>as an</w:t>
      </w:r>
      <w:r w:rsidR="0B0F97FD" w:rsidRPr="009A730B">
        <w:rPr>
          <w:rFonts w:ascii="Verdana" w:eastAsia="Verdana" w:hAnsi="Verdana" w:cs="Verdana"/>
          <w:color w:val="000000" w:themeColor="text1"/>
          <w:sz w:val="24"/>
          <w:szCs w:val="24"/>
        </w:rPr>
        <w:t xml:space="preserve"> honest and evidence</w:t>
      </w:r>
      <w:r w:rsidR="33E1DC89" w:rsidRPr="009A730B">
        <w:rPr>
          <w:rFonts w:ascii="Verdana" w:eastAsia="Verdana" w:hAnsi="Verdana" w:cs="Verdana"/>
          <w:color w:val="000000" w:themeColor="text1"/>
          <w:sz w:val="24"/>
          <w:szCs w:val="24"/>
        </w:rPr>
        <w:t>-</w:t>
      </w:r>
      <w:r w:rsidR="0B0F97FD" w:rsidRPr="009A730B">
        <w:rPr>
          <w:rFonts w:ascii="Verdana" w:eastAsia="Verdana" w:hAnsi="Verdana" w:cs="Verdana"/>
          <w:color w:val="000000" w:themeColor="text1"/>
          <w:sz w:val="24"/>
          <w:szCs w:val="24"/>
        </w:rPr>
        <w:t xml:space="preserve">based assessment of the Health Board’s position. </w:t>
      </w:r>
      <w:r w:rsidR="7A528F2F" w:rsidRPr="009A730B">
        <w:rPr>
          <w:rFonts w:ascii="Verdana" w:eastAsia="Verdana" w:hAnsi="Verdana" w:cs="Verdana"/>
          <w:color w:val="000000" w:themeColor="text1"/>
          <w:sz w:val="24"/>
          <w:szCs w:val="24"/>
        </w:rPr>
        <w:t xml:space="preserve">The Committee </w:t>
      </w:r>
      <w:r w:rsidRPr="009A730B">
        <w:rPr>
          <w:rFonts w:ascii="Verdana" w:eastAsia="Verdana" w:hAnsi="Verdana" w:cs="Verdana"/>
          <w:color w:val="000000" w:themeColor="text1"/>
          <w:sz w:val="24"/>
          <w:szCs w:val="24"/>
        </w:rPr>
        <w:t xml:space="preserve">highlighted significant delivery risks, the </w:t>
      </w:r>
      <w:r w:rsidR="4D494EAE" w:rsidRPr="009A730B">
        <w:rPr>
          <w:rFonts w:ascii="Verdana" w:eastAsia="Verdana" w:hAnsi="Verdana" w:cs="Verdana"/>
          <w:color w:val="000000" w:themeColor="text1"/>
          <w:sz w:val="24"/>
          <w:szCs w:val="24"/>
        </w:rPr>
        <w:t xml:space="preserve">past </w:t>
      </w:r>
      <w:r w:rsidRPr="009A730B">
        <w:rPr>
          <w:rFonts w:ascii="Verdana" w:eastAsia="Verdana" w:hAnsi="Verdana" w:cs="Verdana"/>
          <w:color w:val="000000" w:themeColor="text1"/>
          <w:sz w:val="24"/>
          <w:szCs w:val="24"/>
        </w:rPr>
        <w:t xml:space="preserve">reliance on non‑recurrent </w:t>
      </w:r>
      <w:r w:rsidR="3AAAD41E" w:rsidRPr="009A730B">
        <w:rPr>
          <w:rFonts w:ascii="Verdana" w:eastAsia="Verdana" w:hAnsi="Verdana" w:cs="Verdana"/>
          <w:color w:val="000000" w:themeColor="text1"/>
          <w:sz w:val="24"/>
          <w:szCs w:val="24"/>
        </w:rPr>
        <w:t>savings</w:t>
      </w:r>
      <w:r w:rsidRPr="009A730B">
        <w:rPr>
          <w:rFonts w:ascii="Verdana" w:eastAsia="Verdana" w:hAnsi="Verdana" w:cs="Verdana"/>
          <w:color w:val="000000" w:themeColor="text1"/>
          <w:sz w:val="24"/>
          <w:szCs w:val="24"/>
        </w:rPr>
        <w:t xml:space="preserve">, </w:t>
      </w:r>
      <w:r w:rsidR="6105DB9B" w:rsidRPr="009A730B">
        <w:rPr>
          <w:rFonts w:ascii="Verdana" w:eastAsia="Verdana" w:hAnsi="Verdana" w:cs="Verdana"/>
          <w:color w:val="000000" w:themeColor="text1"/>
          <w:sz w:val="24"/>
          <w:szCs w:val="24"/>
        </w:rPr>
        <w:t xml:space="preserve">the scale of the financial challenge over the next three years, </w:t>
      </w:r>
      <w:r w:rsidRPr="009A730B">
        <w:rPr>
          <w:rFonts w:ascii="Verdana" w:eastAsia="Verdana" w:hAnsi="Verdana" w:cs="Verdana"/>
          <w:color w:val="000000" w:themeColor="text1"/>
          <w:sz w:val="24"/>
          <w:szCs w:val="24"/>
        </w:rPr>
        <w:t xml:space="preserve">the need for strengthened grip and control and </w:t>
      </w:r>
      <w:r w:rsidR="34A14582" w:rsidRPr="009A730B">
        <w:rPr>
          <w:rFonts w:ascii="Verdana" w:eastAsia="Verdana" w:hAnsi="Verdana" w:cs="Verdana"/>
          <w:color w:val="000000" w:themeColor="text1"/>
          <w:sz w:val="24"/>
          <w:szCs w:val="24"/>
        </w:rPr>
        <w:t xml:space="preserve">the ongoing work required to strengthen and mature improvement actions and savings plans </w:t>
      </w:r>
      <w:r w:rsidR="34E806D4" w:rsidRPr="009A730B">
        <w:rPr>
          <w:rFonts w:ascii="Verdana" w:eastAsia="Verdana" w:hAnsi="Verdana" w:cs="Verdana"/>
          <w:color w:val="000000" w:themeColor="text1"/>
          <w:sz w:val="24"/>
          <w:szCs w:val="24"/>
        </w:rPr>
        <w:t xml:space="preserve">over the coming weeks. </w:t>
      </w:r>
    </w:p>
    <w:p w14:paraId="0684D222" w14:textId="11C7D817" w:rsidR="00444255" w:rsidRPr="009A730B" w:rsidRDefault="00444255" w:rsidP="51F4664D">
      <w:pPr>
        <w:pStyle w:val="StyleOutlinenumberedArialOutlinenumberedArial11Outli"/>
        <w:numPr>
          <w:ilvl w:val="0"/>
          <w:numId w:val="0"/>
        </w:numPr>
        <w:spacing w:line="276" w:lineRule="auto"/>
        <w:ind w:left="720"/>
        <w:jc w:val="both"/>
        <w:rPr>
          <w:rFonts w:ascii="Verdana" w:eastAsia="Verdana" w:hAnsi="Verdana" w:cs="Verdana"/>
          <w:color w:val="000000" w:themeColor="text1"/>
        </w:rPr>
      </w:pPr>
    </w:p>
    <w:p w14:paraId="7F4C59AE" w14:textId="74669F2C" w:rsidR="00FD27B4" w:rsidRPr="009A730B" w:rsidRDefault="00245A2C" w:rsidP="51F4664D">
      <w:pPr>
        <w:spacing w:before="240" w:after="240" w:line="276" w:lineRule="auto"/>
        <w:jc w:val="both"/>
        <w:rPr>
          <w:rFonts w:ascii="Verdana" w:eastAsia="Verdana" w:hAnsi="Verdana" w:cs="Verdana"/>
          <w:b/>
          <w:bCs/>
          <w:color w:val="000000" w:themeColor="text1"/>
          <w:sz w:val="24"/>
          <w:szCs w:val="24"/>
          <w:u w:val="single"/>
          <w:lang w:val="en-US"/>
        </w:rPr>
      </w:pPr>
      <w:r w:rsidRPr="009A730B">
        <w:rPr>
          <w:rFonts w:ascii="Verdana" w:eastAsia="Verdana" w:hAnsi="Verdana" w:cs="Verdana"/>
          <w:b/>
          <w:bCs/>
          <w:color w:val="000000" w:themeColor="text1"/>
          <w:sz w:val="24"/>
          <w:szCs w:val="24"/>
          <w:u w:val="single"/>
          <w:lang w:val="en-US"/>
        </w:rPr>
        <w:t xml:space="preserve">2.3 </w:t>
      </w:r>
      <w:r w:rsidR="09649E82" w:rsidRPr="009A730B">
        <w:rPr>
          <w:rFonts w:ascii="Verdana" w:eastAsia="Verdana" w:hAnsi="Verdana" w:cs="Verdana"/>
          <w:b/>
          <w:bCs/>
          <w:color w:val="000000" w:themeColor="text1"/>
          <w:sz w:val="24"/>
          <w:szCs w:val="24"/>
          <w:u w:val="single"/>
          <w:lang w:val="en-US"/>
        </w:rPr>
        <w:t>Escalation Areas</w:t>
      </w:r>
    </w:p>
    <w:p w14:paraId="6B469777" w14:textId="139CB2CC" w:rsidR="00FD27B4" w:rsidRPr="009A730B" w:rsidRDefault="42B1264E" w:rsidP="00BB17CD">
      <w:pPr>
        <w:pBdr>
          <w:between w:val="nil"/>
          <w:bar w:val="nil"/>
        </w:pBdr>
        <w:spacing w:after="0" w:line="240" w:lineRule="auto"/>
        <w:jc w:val="both"/>
        <w:rPr>
          <w:rFonts w:ascii="Verdana" w:eastAsia="Verdana" w:hAnsi="Verdana" w:cs="Verdana"/>
          <w:color w:val="000000" w:themeColor="text1"/>
          <w:sz w:val="24"/>
          <w:szCs w:val="24"/>
          <w:lang w:eastAsia="en-GB"/>
        </w:rPr>
      </w:pPr>
      <w:r w:rsidRPr="009A730B">
        <w:rPr>
          <w:rFonts w:ascii="Verdana" w:eastAsia="Verdana" w:hAnsi="Verdana" w:cs="Verdana"/>
          <w:color w:val="000000" w:themeColor="text1"/>
          <w:sz w:val="24"/>
          <w:szCs w:val="24"/>
          <w:lang w:eastAsia="en-GB"/>
        </w:rPr>
        <w:t xml:space="preserve">Throughout the year, the Committee identified matters requiring escalation through its systematic review of the Integrated Performance Report, the Risk Register, and the Board Assurance Framework, ensuring that emerging risks and performance concerns were escalated to the Board in a timely and appropriate manner. </w:t>
      </w:r>
    </w:p>
    <w:p w14:paraId="5244128D" w14:textId="3D8DDC49" w:rsidR="00FD27B4" w:rsidRPr="009A730B" w:rsidRDefault="00FD27B4" w:rsidP="51F4664D">
      <w:pPr>
        <w:pBdr>
          <w:between w:val="nil"/>
          <w:bar w:val="nil"/>
        </w:pBdr>
        <w:spacing w:after="0" w:line="276" w:lineRule="auto"/>
        <w:jc w:val="both"/>
        <w:rPr>
          <w:rFonts w:ascii="Verdana" w:eastAsia="Verdana" w:hAnsi="Verdana" w:cs="Verdana"/>
          <w:color w:val="000000" w:themeColor="text1"/>
          <w:sz w:val="24"/>
          <w:szCs w:val="24"/>
          <w:bdr w:val="nil"/>
          <w:lang w:val="en-US" w:eastAsia="en-GB"/>
        </w:rPr>
      </w:pPr>
    </w:p>
    <w:p w14:paraId="2937DDFD" w14:textId="3FB9923E" w:rsidR="00FD27B4" w:rsidRPr="009A730B" w:rsidRDefault="00FD27B4" w:rsidP="00C2615D">
      <w:pPr>
        <w:pStyle w:val="ListParagraph"/>
        <w:numPr>
          <w:ilvl w:val="2"/>
          <w:numId w:val="21"/>
        </w:numPr>
        <w:spacing w:after="0" w:line="276" w:lineRule="auto"/>
        <w:jc w:val="both"/>
        <w:rPr>
          <w:rFonts w:ascii="Verdana" w:eastAsia="Verdana" w:hAnsi="Verdana" w:cs="Verdana"/>
          <w:b/>
          <w:bCs/>
          <w:color w:val="000000" w:themeColor="text1"/>
          <w:sz w:val="24"/>
          <w:szCs w:val="24"/>
        </w:rPr>
      </w:pPr>
      <w:r w:rsidRPr="009A730B">
        <w:rPr>
          <w:rFonts w:ascii="Verdana" w:eastAsia="Verdana" w:hAnsi="Verdana" w:cs="Verdana"/>
          <w:b/>
          <w:bCs/>
          <w:color w:val="000000" w:themeColor="text1"/>
          <w:sz w:val="24"/>
          <w:szCs w:val="24"/>
        </w:rPr>
        <w:t>P</w:t>
      </w:r>
      <w:r w:rsidR="009A36CF" w:rsidRPr="009A730B">
        <w:rPr>
          <w:rFonts w:ascii="Verdana" w:eastAsia="Verdana" w:hAnsi="Verdana" w:cs="Verdana"/>
          <w:b/>
          <w:bCs/>
          <w:color w:val="000000" w:themeColor="text1"/>
          <w:sz w:val="24"/>
          <w:szCs w:val="24"/>
        </w:rPr>
        <w:t>erformance and F</w:t>
      </w:r>
      <w:r w:rsidRPr="009A730B">
        <w:rPr>
          <w:rFonts w:ascii="Verdana" w:eastAsia="Verdana" w:hAnsi="Verdana" w:cs="Verdana"/>
          <w:b/>
          <w:bCs/>
          <w:color w:val="000000" w:themeColor="text1"/>
          <w:sz w:val="24"/>
          <w:szCs w:val="24"/>
        </w:rPr>
        <w:t xml:space="preserve">inance </w:t>
      </w:r>
      <w:r w:rsidR="00FF5019" w:rsidRPr="009A730B">
        <w:rPr>
          <w:rFonts w:ascii="Verdana" w:eastAsia="Verdana" w:hAnsi="Verdana" w:cs="Verdana"/>
          <w:b/>
          <w:bCs/>
          <w:color w:val="000000" w:themeColor="text1"/>
          <w:sz w:val="24"/>
          <w:szCs w:val="24"/>
        </w:rPr>
        <w:t>R</w:t>
      </w:r>
      <w:r w:rsidRPr="009A730B">
        <w:rPr>
          <w:rFonts w:ascii="Verdana" w:eastAsia="Verdana" w:hAnsi="Verdana" w:cs="Verdana"/>
          <w:b/>
          <w:bCs/>
          <w:color w:val="000000" w:themeColor="text1"/>
          <w:sz w:val="24"/>
          <w:szCs w:val="24"/>
        </w:rPr>
        <w:t xml:space="preserve">isk </w:t>
      </w:r>
      <w:r w:rsidR="00FF5019" w:rsidRPr="009A730B">
        <w:rPr>
          <w:rFonts w:ascii="Verdana" w:eastAsia="Verdana" w:hAnsi="Verdana" w:cs="Verdana"/>
          <w:b/>
          <w:bCs/>
          <w:color w:val="000000" w:themeColor="text1"/>
          <w:sz w:val="24"/>
          <w:szCs w:val="24"/>
        </w:rPr>
        <w:t>R</w:t>
      </w:r>
      <w:r w:rsidRPr="009A730B">
        <w:rPr>
          <w:rFonts w:ascii="Verdana" w:eastAsia="Verdana" w:hAnsi="Verdana" w:cs="Verdana"/>
          <w:b/>
          <w:bCs/>
          <w:color w:val="000000" w:themeColor="text1"/>
          <w:sz w:val="24"/>
          <w:szCs w:val="24"/>
        </w:rPr>
        <w:t>egister</w:t>
      </w:r>
    </w:p>
    <w:p w14:paraId="12A11087" w14:textId="0514D99A" w:rsidR="00F96738" w:rsidRPr="009A730B" w:rsidRDefault="2AF628AA" w:rsidP="00BB17CD">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The Committee received a quarterly report providing oversight of the risks assigned to it on the Health Board Risk Register. This supported the Committee in discharging its governance responsibilities and in providing assurance to the Board in respect of the management and mitigation of identified risks.</w:t>
      </w:r>
    </w:p>
    <w:p w14:paraId="5FEF3B61" w14:textId="77777777" w:rsidR="00245A2C" w:rsidRPr="009A730B" w:rsidRDefault="00245A2C" w:rsidP="00245A2C">
      <w:pPr>
        <w:spacing w:after="0" w:line="276" w:lineRule="auto"/>
        <w:jc w:val="both"/>
        <w:rPr>
          <w:rFonts w:ascii="Verdana" w:eastAsia="Verdana" w:hAnsi="Verdana" w:cs="Verdana"/>
          <w:b/>
          <w:bCs/>
          <w:color w:val="000000" w:themeColor="text1"/>
          <w:sz w:val="24"/>
          <w:szCs w:val="24"/>
        </w:rPr>
      </w:pPr>
    </w:p>
    <w:p w14:paraId="2D499C3B" w14:textId="2F968286" w:rsidR="2119D81F" w:rsidRPr="009A730B" w:rsidRDefault="2119D81F" w:rsidP="00C2615D">
      <w:pPr>
        <w:pStyle w:val="ListParagraph"/>
        <w:numPr>
          <w:ilvl w:val="2"/>
          <w:numId w:val="21"/>
        </w:numPr>
        <w:spacing w:after="0" w:line="276" w:lineRule="auto"/>
        <w:jc w:val="both"/>
        <w:rPr>
          <w:rFonts w:ascii="Verdana" w:eastAsia="Verdana" w:hAnsi="Verdana" w:cs="Verdana"/>
          <w:b/>
          <w:bCs/>
          <w:color w:val="000000" w:themeColor="text1"/>
          <w:sz w:val="24"/>
          <w:szCs w:val="24"/>
        </w:rPr>
      </w:pPr>
      <w:r w:rsidRPr="009A730B">
        <w:rPr>
          <w:rFonts w:ascii="Verdana" w:eastAsia="Verdana" w:hAnsi="Verdana" w:cs="Verdana"/>
          <w:b/>
          <w:bCs/>
          <w:color w:val="000000" w:themeColor="text1"/>
          <w:sz w:val="24"/>
          <w:szCs w:val="24"/>
        </w:rPr>
        <w:t xml:space="preserve">Cancer Performance </w:t>
      </w:r>
    </w:p>
    <w:p w14:paraId="045E7D5E" w14:textId="3969BB13" w:rsidR="6B732301" w:rsidRPr="009A730B" w:rsidRDefault="6B732301" w:rsidP="00BB17CD">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 xml:space="preserve">Recognised as a key area of concern, the Committee received </w:t>
      </w:r>
      <w:r w:rsidR="041767A2" w:rsidRPr="009A730B">
        <w:rPr>
          <w:rFonts w:ascii="Verdana" w:eastAsia="Verdana" w:hAnsi="Verdana" w:cs="Verdana"/>
          <w:color w:val="000000" w:themeColor="text1"/>
          <w:sz w:val="24"/>
          <w:szCs w:val="24"/>
        </w:rPr>
        <w:t>quarterly</w:t>
      </w:r>
      <w:r w:rsidRPr="009A730B">
        <w:rPr>
          <w:rFonts w:ascii="Verdana" w:eastAsia="Verdana" w:hAnsi="Verdana" w:cs="Verdana"/>
          <w:color w:val="000000" w:themeColor="text1"/>
          <w:sz w:val="24"/>
          <w:szCs w:val="24"/>
        </w:rPr>
        <w:t xml:space="preserve"> updates throughout 2025/26, including reports and presentations that provided oversight of Cancer performance and highlighted the principal issues impacting the delivery and effectiveness of Cancer pathways.</w:t>
      </w:r>
    </w:p>
    <w:p w14:paraId="6CC9720C" w14:textId="0C3638D3" w:rsidR="00BB17CD" w:rsidRPr="009A730B" w:rsidRDefault="00BB17CD" w:rsidP="00BB17CD">
      <w:pPr>
        <w:spacing w:after="0" w:line="240" w:lineRule="auto"/>
        <w:jc w:val="both"/>
        <w:rPr>
          <w:rFonts w:ascii="Verdana" w:eastAsia="Verdana" w:hAnsi="Verdana" w:cs="Verdana"/>
          <w:color w:val="000000" w:themeColor="text1"/>
          <w:sz w:val="24"/>
          <w:szCs w:val="24"/>
        </w:rPr>
      </w:pPr>
    </w:p>
    <w:p w14:paraId="4FEEA8CA" w14:textId="02845201" w:rsidR="00BB17CD" w:rsidRPr="009A730B" w:rsidRDefault="00BB17CD" w:rsidP="00BB17CD">
      <w:pPr>
        <w:spacing w:after="0" w:line="240" w:lineRule="auto"/>
        <w:jc w:val="both"/>
        <w:rPr>
          <w:rFonts w:ascii="Verdana" w:eastAsia="Verdana" w:hAnsi="Verdana" w:cs="Verdana"/>
          <w:color w:val="000000" w:themeColor="text1"/>
          <w:sz w:val="24"/>
          <w:szCs w:val="24"/>
        </w:rPr>
      </w:pPr>
    </w:p>
    <w:p w14:paraId="35D90136" w14:textId="47642050" w:rsidR="00BB17CD" w:rsidRPr="009A730B" w:rsidRDefault="00BB17CD" w:rsidP="00BB17CD">
      <w:pPr>
        <w:spacing w:after="0" w:line="240" w:lineRule="auto"/>
        <w:jc w:val="both"/>
        <w:rPr>
          <w:rFonts w:ascii="Verdana" w:eastAsia="Verdana" w:hAnsi="Verdana" w:cs="Verdana"/>
          <w:color w:val="000000" w:themeColor="text1"/>
          <w:sz w:val="24"/>
          <w:szCs w:val="24"/>
        </w:rPr>
      </w:pPr>
    </w:p>
    <w:p w14:paraId="21F68646" w14:textId="48EC39DD" w:rsidR="00BB17CD" w:rsidRDefault="00BB17CD" w:rsidP="00BB17CD">
      <w:pPr>
        <w:spacing w:after="0" w:line="240" w:lineRule="auto"/>
        <w:jc w:val="both"/>
        <w:rPr>
          <w:rFonts w:ascii="Verdana" w:eastAsia="Verdana" w:hAnsi="Verdana" w:cs="Verdana"/>
          <w:color w:val="000000" w:themeColor="text1"/>
          <w:sz w:val="24"/>
          <w:szCs w:val="24"/>
        </w:rPr>
      </w:pPr>
    </w:p>
    <w:p w14:paraId="45B4F257" w14:textId="77777777" w:rsidR="00BD733D" w:rsidRDefault="00BD733D" w:rsidP="00BB17CD">
      <w:pPr>
        <w:spacing w:after="0" w:line="240" w:lineRule="auto"/>
        <w:jc w:val="both"/>
        <w:rPr>
          <w:rFonts w:ascii="Verdana" w:eastAsia="Verdana" w:hAnsi="Verdana" w:cs="Verdana"/>
          <w:color w:val="000000" w:themeColor="text1"/>
          <w:sz w:val="24"/>
          <w:szCs w:val="24"/>
        </w:rPr>
      </w:pPr>
    </w:p>
    <w:p w14:paraId="2AF08038" w14:textId="77777777" w:rsidR="00BD733D" w:rsidRPr="009A730B" w:rsidRDefault="00BD733D" w:rsidP="00BB17CD">
      <w:pPr>
        <w:spacing w:after="0" w:line="240" w:lineRule="auto"/>
        <w:jc w:val="both"/>
        <w:rPr>
          <w:rFonts w:ascii="Verdana" w:eastAsia="Verdana" w:hAnsi="Verdana" w:cs="Verdana"/>
          <w:color w:val="000000" w:themeColor="text1"/>
          <w:sz w:val="24"/>
          <w:szCs w:val="24"/>
        </w:rPr>
      </w:pPr>
    </w:p>
    <w:p w14:paraId="1C745FD6" w14:textId="77777777" w:rsidR="00F10D06" w:rsidRPr="009A730B" w:rsidRDefault="6F030944" w:rsidP="00C2615D">
      <w:pPr>
        <w:pStyle w:val="ListParagraph"/>
        <w:numPr>
          <w:ilvl w:val="2"/>
          <w:numId w:val="21"/>
        </w:numPr>
        <w:spacing w:after="0" w:line="276" w:lineRule="auto"/>
        <w:ind w:right="96"/>
        <w:jc w:val="both"/>
        <w:rPr>
          <w:rFonts w:ascii="Verdana" w:eastAsia="Verdana" w:hAnsi="Verdana" w:cs="Verdana"/>
          <w:b/>
          <w:bCs/>
          <w:color w:val="000000" w:themeColor="text1"/>
          <w:sz w:val="24"/>
          <w:szCs w:val="24"/>
        </w:rPr>
      </w:pPr>
      <w:r w:rsidRPr="009A730B">
        <w:rPr>
          <w:rFonts w:ascii="Verdana" w:eastAsia="Verdana" w:hAnsi="Verdana" w:cs="Verdana"/>
          <w:b/>
          <w:bCs/>
          <w:color w:val="000000" w:themeColor="text1"/>
          <w:sz w:val="24"/>
          <w:szCs w:val="24"/>
        </w:rPr>
        <w:t>Urgent and Emergency Care Performance Improvement</w:t>
      </w:r>
    </w:p>
    <w:p w14:paraId="7A47A219" w14:textId="7567C6A0" w:rsidR="38DDD2DF" w:rsidRPr="009A730B" w:rsidRDefault="38DDD2DF" w:rsidP="00245A2C">
      <w:pPr>
        <w:spacing w:after="0" w:line="240" w:lineRule="auto"/>
        <w:ind w:right="96"/>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The Committee received quarterly progress reports outlining Swansea Bay University Health Board’s performance in relation to Urgent and Emergency Care (UEC). These reports detailed activity levels and performance against national UEC standards, providing an overview of progress during the reporting period.</w:t>
      </w:r>
    </w:p>
    <w:p w14:paraId="3ED37F61" w14:textId="1F1E5CE1" w:rsidR="51F4664D" w:rsidRPr="009A730B" w:rsidRDefault="51F4664D" w:rsidP="00245A2C">
      <w:pPr>
        <w:spacing w:after="0" w:line="240" w:lineRule="auto"/>
        <w:ind w:right="96"/>
        <w:jc w:val="both"/>
        <w:rPr>
          <w:rFonts w:ascii="Verdana" w:eastAsia="Verdana" w:hAnsi="Verdana" w:cs="Verdana"/>
          <w:color w:val="000000" w:themeColor="text1"/>
          <w:sz w:val="24"/>
          <w:szCs w:val="24"/>
        </w:rPr>
      </w:pPr>
    </w:p>
    <w:p w14:paraId="38384B27" w14:textId="5A1BFD4D" w:rsidR="38DDD2DF" w:rsidRPr="009A730B" w:rsidRDefault="78B9CBE8" w:rsidP="00245A2C">
      <w:pPr>
        <w:spacing w:after="0" w:line="240" w:lineRule="auto"/>
        <w:ind w:right="96"/>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 xml:space="preserve">In addition to performance data, the reports included wider system indicators to illustrate ongoing flow constraints within the UEC system. </w:t>
      </w:r>
      <w:r w:rsidR="3223CC60" w:rsidRPr="009A730B">
        <w:rPr>
          <w:rFonts w:ascii="Verdana" w:eastAsia="Verdana" w:hAnsi="Verdana" w:cs="Verdana"/>
          <w:color w:val="000000" w:themeColor="text1"/>
          <w:sz w:val="24"/>
          <w:szCs w:val="24"/>
        </w:rPr>
        <w:t xml:space="preserve">The level of clinically optimised patients across the system was seen </w:t>
      </w:r>
      <w:r w:rsidR="77EF2327" w:rsidRPr="009A730B">
        <w:rPr>
          <w:rFonts w:ascii="Verdana" w:eastAsia="Verdana" w:hAnsi="Verdana" w:cs="Verdana"/>
          <w:color w:val="000000" w:themeColor="text1"/>
          <w:sz w:val="24"/>
          <w:szCs w:val="24"/>
        </w:rPr>
        <w:t xml:space="preserve">by the Committee as a major constraint, </w:t>
      </w:r>
      <w:r w:rsidR="641B6336" w:rsidRPr="009A730B">
        <w:rPr>
          <w:rFonts w:ascii="Verdana" w:eastAsia="Verdana" w:hAnsi="Verdana" w:cs="Verdana"/>
          <w:color w:val="000000" w:themeColor="text1"/>
          <w:sz w:val="24"/>
          <w:szCs w:val="24"/>
        </w:rPr>
        <w:t xml:space="preserve">that </w:t>
      </w:r>
      <w:r w:rsidR="45644E5F" w:rsidRPr="009A730B">
        <w:rPr>
          <w:rFonts w:ascii="Verdana" w:eastAsia="Verdana" w:hAnsi="Verdana" w:cs="Verdana"/>
          <w:color w:val="000000" w:themeColor="text1"/>
          <w:sz w:val="24"/>
          <w:szCs w:val="24"/>
        </w:rPr>
        <w:t>continued to</w:t>
      </w:r>
      <w:r w:rsidRPr="009A730B">
        <w:rPr>
          <w:rFonts w:ascii="Verdana" w:eastAsia="Verdana" w:hAnsi="Verdana" w:cs="Verdana"/>
          <w:color w:val="000000" w:themeColor="text1"/>
          <w:sz w:val="24"/>
          <w:szCs w:val="24"/>
        </w:rPr>
        <w:t xml:space="preserve"> </w:t>
      </w:r>
      <w:r w:rsidR="30E04AD7" w:rsidRPr="009A730B">
        <w:rPr>
          <w:rFonts w:ascii="Verdana" w:eastAsia="Verdana" w:hAnsi="Verdana" w:cs="Verdana"/>
          <w:color w:val="000000" w:themeColor="text1"/>
          <w:sz w:val="24"/>
          <w:szCs w:val="24"/>
        </w:rPr>
        <w:t xml:space="preserve">negatively </w:t>
      </w:r>
      <w:r w:rsidRPr="009A730B">
        <w:rPr>
          <w:rFonts w:ascii="Verdana" w:eastAsia="Verdana" w:hAnsi="Verdana" w:cs="Verdana"/>
          <w:color w:val="000000" w:themeColor="text1"/>
          <w:sz w:val="24"/>
          <w:szCs w:val="24"/>
        </w:rPr>
        <w:t>impact timely access to care and patient experience</w:t>
      </w:r>
      <w:r w:rsidR="5C4F3247" w:rsidRPr="009A730B">
        <w:rPr>
          <w:rFonts w:ascii="Verdana" w:eastAsia="Verdana" w:hAnsi="Verdana" w:cs="Verdana"/>
          <w:color w:val="000000" w:themeColor="text1"/>
          <w:sz w:val="24"/>
          <w:szCs w:val="24"/>
        </w:rPr>
        <w:t>. This issue was escalated to Board</w:t>
      </w:r>
      <w:r w:rsidR="2C274A70" w:rsidRPr="009A730B">
        <w:rPr>
          <w:rFonts w:ascii="Verdana" w:eastAsia="Verdana" w:hAnsi="Verdana" w:cs="Verdana"/>
          <w:color w:val="000000" w:themeColor="text1"/>
          <w:sz w:val="24"/>
          <w:szCs w:val="24"/>
        </w:rPr>
        <w:t xml:space="preserve"> and </w:t>
      </w:r>
      <w:r w:rsidR="06518886" w:rsidRPr="009A730B">
        <w:rPr>
          <w:rFonts w:ascii="Verdana" w:eastAsia="Verdana" w:hAnsi="Verdana" w:cs="Verdana"/>
          <w:color w:val="000000" w:themeColor="text1"/>
          <w:sz w:val="24"/>
          <w:szCs w:val="24"/>
        </w:rPr>
        <w:t>r</w:t>
      </w:r>
      <w:r w:rsidR="7132C148" w:rsidRPr="009A730B">
        <w:rPr>
          <w:rFonts w:ascii="Verdana" w:eastAsia="Verdana" w:hAnsi="Verdana" w:cs="Verdana"/>
          <w:color w:val="000000" w:themeColor="text1"/>
          <w:sz w:val="24"/>
          <w:szCs w:val="24"/>
        </w:rPr>
        <w:t xml:space="preserve">egular reports were requested by the Committee on actions to improve timely discharge including work with Local Authority partners. </w:t>
      </w:r>
      <w:r w:rsidR="4B587245" w:rsidRPr="009A730B">
        <w:rPr>
          <w:rFonts w:ascii="Verdana" w:eastAsia="Verdana" w:hAnsi="Verdana" w:cs="Verdana"/>
          <w:color w:val="000000" w:themeColor="text1"/>
          <w:sz w:val="24"/>
          <w:szCs w:val="24"/>
        </w:rPr>
        <w:t xml:space="preserve">Regular reporting </w:t>
      </w:r>
      <w:r w:rsidRPr="009A730B">
        <w:rPr>
          <w:rFonts w:ascii="Verdana" w:eastAsia="Verdana" w:hAnsi="Verdana" w:cs="Verdana"/>
          <w:color w:val="000000" w:themeColor="text1"/>
          <w:sz w:val="24"/>
          <w:szCs w:val="24"/>
        </w:rPr>
        <w:t>also provided updates on the strategic programme to improve the delivery of acute medical services, together with information on local improvement initiatives aimed at enhancing service responsiveness and patient outcomes.</w:t>
      </w:r>
    </w:p>
    <w:p w14:paraId="6AD0769F" w14:textId="579F7A55" w:rsidR="51F4664D" w:rsidRPr="009A730B" w:rsidRDefault="51F4664D" w:rsidP="51F4664D">
      <w:pPr>
        <w:spacing w:after="0" w:line="276" w:lineRule="auto"/>
        <w:ind w:right="96"/>
        <w:jc w:val="both"/>
        <w:rPr>
          <w:rFonts w:ascii="Verdana" w:eastAsia="Verdana" w:hAnsi="Verdana" w:cs="Verdana"/>
          <w:color w:val="000000" w:themeColor="text1"/>
          <w:sz w:val="24"/>
          <w:szCs w:val="24"/>
        </w:rPr>
      </w:pPr>
    </w:p>
    <w:p w14:paraId="56407F20" w14:textId="0A050726" w:rsidR="42D4CE09" w:rsidRPr="009A730B" w:rsidRDefault="42D4CE09" w:rsidP="00C2615D">
      <w:pPr>
        <w:pStyle w:val="ListParagraph"/>
        <w:numPr>
          <w:ilvl w:val="2"/>
          <w:numId w:val="21"/>
        </w:numPr>
        <w:spacing w:after="0" w:line="276" w:lineRule="auto"/>
        <w:ind w:right="96"/>
        <w:jc w:val="both"/>
        <w:rPr>
          <w:rFonts w:ascii="Verdana" w:eastAsia="Verdana" w:hAnsi="Verdana" w:cs="Verdana"/>
          <w:b/>
          <w:bCs/>
          <w:color w:val="000000" w:themeColor="text1"/>
          <w:sz w:val="24"/>
          <w:szCs w:val="24"/>
        </w:rPr>
      </w:pPr>
      <w:r w:rsidRPr="009A730B">
        <w:rPr>
          <w:rFonts w:ascii="Verdana" w:eastAsia="Verdana" w:hAnsi="Verdana" w:cs="Verdana"/>
          <w:b/>
          <w:bCs/>
          <w:color w:val="000000" w:themeColor="text1"/>
          <w:sz w:val="24"/>
          <w:szCs w:val="24"/>
        </w:rPr>
        <w:t xml:space="preserve">Plans to improve out-of-hours service provision in Urgent and Emergency Care   </w:t>
      </w:r>
    </w:p>
    <w:p w14:paraId="37C56F67" w14:textId="57A26BAA" w:rsidR="001B75D8" w:rsidRPr="009A730B" w:rsidRDefault="001B75D8" w:rsidP="00245A2C">
      <w:pPr>
        <w:spacing w:after="0" w:line="240" w:lineRule="auto"/>
        <w:ind w:right="96"/>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In September 2025, the Committee received an update on plans to improve out‑of‑hours service provision in Urgent and Emergency Care. The update recognised that, while services operate on a 24/7 basis, gaps remained in medical, nursing, and specialist cover during evenings and weekends.</w:t>
      </w:r>
    </w:p>
    <w:p w14:paraId="47118A77" w14:textId="0014D370" w:rsidR="51F4664D" w:rsidRPr="009A730B" w:rsidRDefault="51F4664D" w:rsidP="00245A2C">
      <w:pPr>
        <w:spacing w:after="0" w:line="240" w:lineRule="auto"/>
        <w:ind w:right="96"/>
        <w:jc w:val="both"/>
        <w:rPr>
          <w:rFonts w:ascii="Verdana" w:eastAsia="Verdana" w:hAnsi="Verdana" w:cs="Verdana"/>
          <w:color w:val="000000" w:themeColor="text1"/>
          <w:sz w:val="24"/>
          <w:szCs w:val="24"/>
        </w:rPr>
      </w:pPr>
    </w:p>
    <w:p w14:paraId="51BC1605" w14:textId="54749D73" w:rsidR="001B75D8" w:rsidRPr="009A730B" w:rsidRDefault="001B75D8" w:rsidP="00245A2C">
      <w:pPr>
        <w:spacing w:after="0" w:line="240" w:lineRule="auto"/>
        <w:ind w:right="96"/>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The Committee noted the range of service developments underway, including the expansion of Same Day Emergency Care, virtual wards, and the Older Persons Assessment Unit, alongside a review of community services to inform future out‑of‑hours provision and support delivery of the discharge to recover and assess pathway. Funding to support seven‑day working in key areas had been secured, with recruitment activity ongoing.</w:t>
      </w:r>
    </w:p>
    <w:p w14:paraId="3A081700" w14:textId="2BBE2702" w:rsidR="51F4664D" w:rsidRPr="009A730B" w:rsidRDefault="51F4664D" w:rsidP="6D8E5F83">
      <w:pPr>
        <w:spacing w:after="0" w:line="276" w:lineRule="auto"/>
        <w:ind w:right="96"/>
        <w:jc w:val="both"/>
        <w:rPr>
          <w:rFonts w:ascii="Verdana" w:eastAsia="Verdana" w:hAnsi="Verdana" w:cs="Verdana"/>
          <w:color w:val="000000" w:themeColor="text1"/>
          <w:sz w:val="24"/>
          <w:szCs w:val="24"/>
        </w:rPr>
      </w:pPr>
    </w:p>
    <w:p w14:paraId="769213DC" w14:textId="2CE8A9B4" w:rsidR="080E1492" w:rsidRPr="009A730B" w:rsidRDefault="080E1492" w:rsidP="00C2615D">
      <w:pPr>
        <w:pStyle w:val="ListParagraph"/>
        <w:numPr>
          <w:ilvl w:val="2"/>
          <w:numId w:val="21"/>
        </w:numPr>
        <w:spacing w:after="0" w:line="276" w:lineRule="auto"/>
        <w:ind w:right="96"/>
        <w:jc w:val="both"/>
        <w:rPr>
          <w:rFonts w:ascii="Verdana" w:eastAsia="Verdana" w:hAnsi="Verdana" w:cs="Verdana"/>
          <w:b/>
          <w:bCs/>
          <w:color w:val="000000" w:themeColor="text1"/>
          <w:sz w:val="24"/>
          <w:szCs w:val="24"/>
        </w:rPr>
      </w:pPr>
      <w:r w:rsidRPr="009A730B">
        <w:rPr>
          <w:rFonts w:ascii="Verdana" w:eastAsia="Verdana" w:hAnsi="Verdana" w:cs="Verdana"/>
          <w:b/>
          <w:bCs/>
          <w:color w:val="000000" w:themeColor="text1"/>
          <w:sz w:val="24"/>
          <w:szCs w:val="24"/>
        </w:rPr>
        <w:t>Getting It Right First Time (GIRFT) Review</w:t>
      </w:r>
    </w:p>
    <w:p w14:paraId="351EB0E8" w14:textId="673F6E43" w:rsidR="360F1EA3" w:rsidRPr="009A730B" w:rsidRDefault="360F1EA3" w:rsidP="00245A2C">
      <w:pPr>
        <w:spacing w:after="0" w:line="240" w:lineRule="auto"/>
        <w:ind w:right="96"/>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The GIRFT Review visit at Morriston Hospital was received by the Committee in September 2025, with the associated report considered in October 2025.</w:t>
      </w:r>
      <w:r w:rsidR="080E1492" w:rsidRPr="009A730B">
        <w:rPr>
          <w:rFonts w:ascii="Verdana" w:eastAsia="Verdana" w:hAnsi="Verdana" w:cs="Verdana"/>
          <w:color w:val="000000" w:themeColor="text1"/>
          <w:sz w:val="24"/>
          <w:szCs w:val="24"/>
        </w:rPr>
        <w:t xml:space="preserve"> The Committee noted that the GIRFT recommendations would inform service improvement and transformation activity, with progress monitored through established governance and performance reporting arrangements.</w:t>
      </w:r>
    </w:p>
    <w:p w14:paraId="3125FC57" w14:textId="4C918E45" w:rsidR="001B3E71" w:rsidRPr="009A730B" w:rsidRDefault="001B3E71" w:rsidP="00245A2C">
      <w:pPr>
        <w:pBdr>
          <w:between w:val="nil"/>
          <w:bar w:val="nil"/>
        </w:pBdr>
        <w:spacing w:after="0" w:line="240" w:lineRule="auto"/>
        <w:jc w:val="both"/>
        <w:rPr>
          <w:rFonts w:ascii="Verdana" w:eastAsia="Verdana" w:hAnsi="Verdana" w:cs="Verdana"/>
          <w:b/>
          <w:bCs/>
          <w:color w:val="000000" w:themeColor="text1"/>
          <w:sz w:val="24"/>
          <w:szCs w:val="24"/>
        </w:rPr>
      </w:pPr>
    </w:p>
    <w:p w14:paraId="12E0E179" w14:textId="567C1EEF" w:rsidR="5FA275F3" w:rsidRPr="009A730B" w:rsidRDefault="5FA275F3" w:rsidP="00245A2C">
      <w:pPr>
        <w:pBdr>
          <w:between w:val="nil"/>
          <w:bar w:val="nil"/>
        </w:pBd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In November 2025, the Committee continued to consider GIRFT‑related findings through its ongoing scrutiny of Urgent and Emergency Care and Morriston Hospital performance, rather than via a standalone GIRFT report.</w:t>
      </w:r>
    </w:p>
    <w:p w14:paraId="4559FE75" w14:textId="7E45F8A0" w:rsidR="51F4664D" w:rsidRPr="009A730B" w:rsidRDefault="51F4664D" w:rsidP="51F4664D">
      <w:pPr>
        <w:pBdr>
          <w:between w:val="nil"/>
          <w:bar w:val="nil"/>
        </w:pBdr>
        <w:spacing w:after="0" w:line="276" w:lineRule="auto"/>
        <w:jc w:val="both"/>
        <w:rPr>
          <w:rFonts w:ascii="Verdana" w:eastAsia="Verdana" w:hAnsi="Verdana" w:cs="Verdana"/>
          <w:b/>
          <w:bCs/>
          <w:color w:val="000000" w:themeColor="text1"/>
          <w:sz w:val="24"/>
          <w:szCs w:val="24"/>
        </w:rPr>
      </w:pPr>
    </w:p>
    <w:p w14:paraId="67FFF727" w14:textId="3C3043EC" w:rsidR="42AC8BAE" w:rsidRPr="009A730B" w:rsidRDefault="38DDD2DF" w:rsidP="00C2615D">
      <w:pPr>
        <w:pStyle w:val="ListParagraph"/>
        <w:numPr>
          <w:ilvl w:val="2"/>
          <w:numId w:val="21"/>
        </w:numPr>
        <w:pBdr>
          <w:between w:val="nil"/>
          <w:bar w:val="nil"/>
        </w:pBdr>
        <w:spacing w:before="240" w:after="0" w:line="276" w:lineRule="auto"/>
        <w:jc w:val="both"/>
        <w:rPr>
          <w:rFonts w:ascii="Verdana" w:eastAsia="Verdana" w:hAnsi="Verdana" w:cs="Verdana"/>
          <w:color w:val="000000" w:themeColor="text1"/>
          <w:sz w:val="24"/>
          <w:szCs w:val="24"/>
        </w:rPr>
      </w:pPr>
      <w:r w:rsidRPr="009A730B">
        <w:rPr>
          <w:rFonts w:ascii="Verdana" w:eastAsia="Verdana" w:hAnsi="Verdana" w:cs="Verdana"/>
          <w:b/>
          <w:bCs/>
          <w:color w:val="000000" w:themeColor="text1"/>
          <w:sz w:val="24"/>
          <w:szCs w:val="24"/>
        </w:rPr>
        <w:t>Endoscopy</w:t>
      </w:r>
    </w:p>
    <w:p w14:paraId="3887DB91" w14:textId="45B39323" w:rsidR="42AC8BAE" w:rsidRPr="009A730B" w:rsidRDefault="42AC8BAE" w:rsidP="00245A2C">
      <w:pPr>
        <w:pBdr>
          <w:between w:val="nil"/>
          <w:bar w:val="nil"/>
        </w:pBdr>
        <w:spacing w:before="240"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In April 2025, the Committee received an update report on Endoscopy performance, which provided a detailed overview of performance against key targets. Endoscopy was identified alongside other underperforming areas, including an issue requiring escalation to the Board due to sustained underperformance.</w:t>
      </w:r>
    </w:p>
    <w:p w14:paraId="33FCD68A" w14:textId="001F9529" w:rsidR="42AC8BAE" w:rsidRPr="009A730B" w:rsidRDefault="034A521B" w:rsidP="00245A2C">
      <w:pPr>
        <w:spacing w:before="240" w:after="24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During 2025/26, the Committee continued to identify Endoscopy as an area of ongoing performance concern through its consideration of the Integrated Performance Report, with the matter escalated to the Board via the Committee’s Key Issues reporting.</w:t>
      </w:r>
      <w:r w:rsidR="540FEBF1" w:rsidRPr="009A730B">
        <w:rPr>
          <w:rFonts w:ascii="Verdana" w:eastAsia="Verdana" w:hAnsi="Verdana" w:cs="Verdana"/>
          <w:color w:val="000000" w:themeColor="text1"/>
          <w:sz w:val="24"/>
          <w:szCs w:val="24"/>
        </w:rPr>
        <w:t xml:space="preserve"> </w:t>
      </w:r>
      <w:r w:rsidR="155531B6" w:rsidRPr="009A730B">
        <w:rPr>
          <w:rFonts w:ascii="Verdana" w:eastAsia="Verdana" w:hAnsi="Verdana" w:cs="Verdana"/>
          <w:color w:val="000000" w:themeColor="text1"/>
          <w:sz w:val="24"/>
          <w:szCs w:val="24"/>
        </w:rPr>
        <w:t>Improvement</w:t>
      </w:r>
      <w:r w:rsidR="540FEBF1" w:rsidRPr="009A730B">
        <w:rPr>
          <w:rFonts w:ascii="Verdana" w:eastAsia="Verdana" w:hAnsi="Verdana" w:cs="Verdana"/>
          <w:color w:val="000000" w:themeColor="text1"/>
          <w:sz w:val="24"/>
          <w:szCs w:val="24"/>
        </w:rPr>
        <w:t xml:space="preserve"> was noted in February 2026 due to additional pr</w:t>
      </w:r>
      <w:r w:rsidR="546E6D2C" w:rsidRPr="009A730B">
        <w:rPr>
          <w:rFonts w:ascii="Verdana" w:eastAsia="Verdana" w:hAnsi="Verdana" w:cs="Verdana"/>
          <w:color w:val="000000" w:themeColor="text1"/>
          <w:sz w:val="24"/>
          <w:szCs w:val="24"/>
        </w:rPr>
        <w:t xml:space="preserve">ovision via the Welsh Government funded Mobile Endoscopy Unit </w:t>
      </w:r>
      <w:r w:rsidR="7154735F" w:rsidRPr="009A730B">
        <w:rPr>
          <w:rFonts w:ascii="Verdana" w:eastAsia="Verdana" w:hAnsi="Verdana" w:cs="Verdana"/>
          <w:color w:val="000000" w:themeColor="text1"/>
          <w:sz w:val="24"/>
          <w:szCs w:val="24"/>
        </w:rPr>
        <w:t>operational from December 2025.</w:t>
      </w:r>
    </w:p>
    <w:p w14:paraId="0399FB98" w14:textId="77777777" w:rsidR="00F10D06" w:rsidRPr="009A730B" w:rsidRDefault="6F030944" w:rsidP="00C2615D">
      <w:pPr>
        <w:pStyle w:val="StyleOutlinenumberedArialOutlinenumberedArial11Outli"/>
        <w:numPr>
          <w:ilvl w:val="2"/>
          <w:numId w:val="21"/>
        </w:numPr>
        <w:spacing w:line="276" w:lineRule="auto"/>
        <w:jc w:val="both"/>
        <w:rPr>
          <w:rFonts w:ascii="Verdana" w:eastAsia="Verdana" w:hAnsi="Verdana" w:cs="Verdana"/>
          <w:color w:val="000000" w:themeColor="text1"/>
        </w:rPr>
      </w:pPr>
      <w:r w:rsidRPr="009A730B">
        <w:rPr>
          <w:rFonts w:ascii="Verdana" w:eastAsia="Verdana" w:hAnsi="Verdana" w:cs="Verdana"/>
          <w:color w:val="000000" w:themeColor="text1"/>
        </w:rPr>
        <w:t xml:space="preserve">Continuing Healthcare (CHC) Quarterly Performance Report </w:t>
      </w:r>
    </w:p>
    <w:p w14:paraId="3DC6BE57" w14:textId="6D397042" w:rsidR="6F2B4365" w:rsidRPr="009A730B" w:rsidRDefault="3F495F10" w:rsidP="00245A2C">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In line with the statutory duties placed on Health Boards across Wales, the Board received quarterly reports on Continuing Healthcare (CHC) performance. These reports provided updates on CHC‑related activity, alongside information on financial expenditure and performance management.</w:t>
      </w:r>
    </w:p>
    <w:p w14:paraId="3299CBF9" w14:textId="77777777" w:rsidR="00245A2C" w:rsidRPr="009A730B" w:rsidRDefault="00245A2C" w:rsidP="00245A2C">
      <w:pPr>
        <w:spacing w:after="0" w:line="240" w:lineRule="auto"/>
        <w:jc w:val="both"/>
        <w:rPr>
          <w:rFonts w:ascii="Verdana" w:eastAsia="Verdana" w:hAnsi="Verdana" w:cs="Verdana"/>
          <w:color w:val="000000" w:themeColor="text1"/>
          <w:sz w:val="24"/>
          <w:szCs w:val="24"/>
        </w:rPr>
      </w:pPr>
    </w:p>
    <w:p w14:paraId="2BB8C47E" w14:textId="269A12EB" w:rsidR="6F2B4365" w:rsidRPr="009A730B" w:rsidRDefault="3F495F10" w:rsidP="00245A2C">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 xml:space="preserve">The reports supported the Board in maintaining effective oversight of both operational delivery and financial governance in relation to CHC‑funded care. </w:t>
      </w:r>
    </w:p>
    <w:p w14:paraId="2707D2FC" w14:textId="77777777" w:rsidR="00245A2C" w:rsidRPr="009A730B" w:rsidRDefault="00245A2C" w:rsidP="00245A2C">
      <w:pPr>
        <w:spacing w:after="0" w:line="240" w:lineRule="auto"/>
        <w:jc w:val="both"/>
        <w:rPr>
          <w:rFonts w:ascii="Verdana" w:eastAsia="Verdana" w:hAnsi="Verdana" w:cs="Verdana"/>
          <w:color w:val="000000" w:themeColor="text1"/>
          <w:sz w:val="24"/>
          <w:szCs w:val="24"/>
        </w:rPr>
      </w:pPr>
    </w:p>
    <w:p w14:paraId="6513D9E2" w14:textId="170B0E69" w:rsidR="6F2B4365" w:rsidRPr="009A730B" w:rsidRDefault="36DB12C4" w:rsidP="00245A2C">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The most recent Quarterly CHC Performance Report was received by the Committee in December 2025. There were no further quarterly CHC performance reports presented to the Committee during the remainder of 2025/26.</w:t>
      </w:r>
    </w:p>
    <w:p w14:paraId="1623535C" w14:textId="77777777" w:rsidR="00245A2C" w:rsidRPr="009A730B" w:rsidRDefault="00245A2C" w:rsidP="00245A2C">
      <w:pPr>
        <w:spacing w:after="0" w:line="240" w:lineRule="auto"/>
        <w:jc w:val="both"/>
        <w:rPr>
          <w:rFonts w:ascii="Verdana" w:eastAsia="Verdana" w:hAnsi="Verdana" w:cs="Verdana"/>
          <w:color w:val="000000" w:themeColor="text1"/>
          <w:sz w:val="24"/>
          <w:szCs w:val="24"/>
        </w:rPr>
      </w:pPr>
    </w:p>
    <w:p w14:paraId="7795EE9E" w14:textId="63BD1053" w:rsidR="6DBEC36F" w:rsidRPr="009A730B" w:rsidRDefault="6DBEC36F" w:rsidP="00245A2C">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 xml:space="preserve">The Committee </w:t>
      </w:r>
      <w:r w:rsidR="28F6C806" w:rsidRPr="009A730B">
        <w:rPr>
          <w:rFonts w:ascii="Verdana" w:eastAsia="Verdana" w:hAnsi="Verdana" w:cs="Verdana"/>
          <w:color w:val="000000" w:themeColor="text1"/>
          <w:sz w:val="24"/>
          <w:szCs w:val="24"/>
        </w:rPr>
        <w:t xml:space="preserve">had </w:t>
      </w:r>
      <w:r w:rsidRPr="009A730B">
        <w:rPr>
          <w:rFonts w:ascii="Verdana" w:eastAsia="Verdana" w:hAnsi="Verdana" w:cs="Verdana"/>
          <w:color w:val="000000" w:themeColor="text1"/>
          <w:sz w:val="24"/>
          <w:szCs w:val="24"/>
        </w:rPr>
        <w:t>noted that the introduction of Direct Payments from April 2026 was a significant risk</w:t>
      </w:r>
      <w:r w:rsidR="7DE6AD03" w:rsidRPr="009A730B">
        <w:rPr>
          <w:rFonts w:ascii="Verdana" w:eastAsia="Verdana" w:hAnsi="Verdana" w:cs="Verdana"/>
          <w:color w:val="000000" w:themeColor="text1"/>
          <w:sz w:val="24"/>
          <w:szCs w:val="24"/>
        </w:rPr>
        <w:t xml:space="preserve">, a detailed report was received in March 2026. The risk was being </w:t>
      </w:r>
      <w:r w:rsidRPr="009A730B">
        <w:rPr>
          <w:rFonts w:ascii="Verdana" w:eastAsia="Verdana" w:hAnsi="Verdana" w:cs="Verdana"/>
          <w:color w:val="000000" w:themeColor="text1"/>
          <w:sz w:val="24"/>
          <w:szCs w:val="24"/>
        </w:rPr>
        <w:t>managed by the Health Board</w:t>
      </w:r>
      <w:r w:rsidR="1E7B3362" w:rsidRPr="009A730B">
        <w:rPr>
          <w:rFonts w:ascii="Verdana" w:eastAsia="Verdana" w:hAnsi="Verdana" w:cs="Verdana"/>
          <w:color w:val="000000" w:themeColor="text1"/>
          <w:sz w:val="24"/>
          <w:szCs w:val="24"/>
        </w:rPr>
        <w:t xml:space="preserve"> including through national collaboration facilitated by </w:t>
      </w:r>
      <w:r w:rsidR="6582C9D8" w:rsidRPr="009A730B">
        <w:rPr>
          <w:rFonts w:ascii="Verdana" w:eastAsia="Verdana" w:hAnsi="Verdana" w:cs="Verdana"/>
          <w:color w:val="000000" w:themeColor="text1"/>
          <w:sz w:val="24"/>
          <w:szCs w:val="24"/>
        </w:rPr>
        <w:t xml:space="preserve">the </w:t>
      </w:r>
      <w:r w:rsidR="1E7B3362" w:rsidRPr="009A730B">
        <w:rPr>
          <w:rFonts w:ascii="Verdana" w:eastAsia="Verdana" w:hAnsi="Verdana" w:cs="Verdana"/>
          <w:color w:val="000000" w:themeColor="text1"/>
          <w:sz w:val="24"/>
          <w:szCs w:val="24"/>
        </w:rPr>
        <w:t>Welsh Government.</w:t>
      </w:r>
      <w:r w:rsidR="390C3CF2" w:rsidRPr="009A730B">
        <w:rPr>
          <w:rFonts w:ascii="Verdana" w:eastAsia="Verdana" w:hAnsi="Verdana" w:cs="Verdana"/>
          <w:color w:val="000000" w:themeColor="text1"/>
          <w:sz w:val="24"/>
          <w:szCs w:val="24"/>
        </w:rPr>
        <w:t xml:space="preserve"> </w:t>
      </w:r>
      <w:r w:rsidRPr="009A730B">
        <w:rPr>
          <w:rFonts w:ascii="Verdana" w:eastAsia="Verdana" w:hAnsi="Verdana" w:cs="Verdana"/>
          <w:color w:val="000000" w:themeColor="text1"/>
          <w:sz w:val="24"/>
          <w:szCs w:val="24"/>
        </w:rPr>
        <w:t xml:space="preserve"> </w:t>
      </w:r>
    </w:p>
    <w:p w14:paraId="10F0F018" w14:textId="77777777" w:rsidR="00245A2C" w:rsidRPr="009A730B" w:rsidRDefault="00245A2C" w:rsidP="51F4664D">
      <w:pPr>
        <w:spacing w:line="276" w:lineRule="auto"/>
        <w:jc w:val="both"/>
        <w:rPr>
          <w:rFonts w:ascii="Verdana" w:eastAsia="Verdana" w:hAnsi="Verdana" w:cs="Verdana"/>
          <w:color w:val="000000" w:themeColor="text1"/>
          <w:sz w:val="24"/>
          <w:szCs w:val="24"/>
        </w:rPr>
      </w:pPr>
    </w:p>
    <w:p w14:paraId="23B4A4A1" w14:textId="77777777" w:rsidR="00D9176B" w:rsidRPr="009A730B" w:rsidRDefault="38EDB7C1" w:rsidP="00C2615D">
      <w:pPr>
        <w:pStyle w:val="ListParagraph"/>
        <w:numPr>
          <w:ilvl w:val="2"/>
          <w:numId w:val="21"/>
        </w:numPr>
        <w:pBdr>
          <w:between w:val="nil"/>
          <w:bar w:val="nil"/>
        </w:pBdr>
        <w:spacing w:after="0" w:line="276" w:lineRule="auto"/>
        <w:jc w:val="both"/>
        <w:rPr>
          <w:rFonts w:ascii="Verdana" w:eastAsia="Verdana" w:hAnsi="Verdana" w:cs="Verdana"/>
          <w:b/>
          <w:bCs/>
          <w:color w:val="000000" w:themeColor="text1"/>
          <w:sz w:val="24"/>
          <w:szCs w:val="24"/>
        </w:rPr>
      </w:pPr>
      <w:r w:rsidRPr="009A730B">
        <w:rPr>
          <w:rFonts w:ascii="Verdana" w:eastAsia="Verdana" w:hAnsi="Verdana" w:cs="Verdana"/>
          <w:b/>
          <w:bCs/>
          <w:color w:val="000000" w:themeColor="text1"/>
          <w:sz w:val="24"/>
          <w:szCs w:val="24"/>
        </w:rPr>
        <w:t>Planned Care</w:t>
      </w:r>
    </w:p>
    <w:p w14:paraId="64F7367F" w14:textId="21B2F370" w:rsidR="38883920" w:rsidRPr="009A730B" w:rsidRDefault="38883920" w:rsidP="00245A2C">
      <w:pPr>
        <w:pBdr>
          <w:between w:val="nil"/>
          <w:bar w:val="nil"/>
        </w:pBdr>
        <w:spacing w:after="0" w:line="240" w:lineRule="auto"/>
        <w:jc w:val="both"/>
        <w:rPr>
          <w:rFonts w:ascii="Verdana" w:eastAsia="Verdana" w:hAnsi="Verdana" w:cs="Verdana"/>
          <w:color w:val="000000" w:themeColor="text1"/>
          <w:sz w:val="24"/>
          <w:szCs w:val="24"/>
          <w:lang w:val="en-US" w:eastAsia="en-GB"/>
        </w:rPr>
      </w:pPr>
      <w:r w:rsidRPr="009A730B">
        <w:rPr>
          <w:rFonts w:ascii="Verdana" w:eastAsia="Verdana" w:hAnsi="Verdana" w:cs="Verdana"/>
          <w:color w:val="000000" w:themeColor="text1"/>
          <w:sz w:val="24"/>
          <w:szCs w:val="24"/>
          <w:lang w:val="en-US" w:eastAsia="en-GB"/>
        </w:rPr>
        <w:t>Throughout the year, the Committee received regular updates on Planned Care performance through consideration of the Integrated Performance Report. These updates provided oversight of activity levels and performance against national planned care standards, including waiting times and backlog position.</w:t>
      </w:r>
      <w:r w:rsidR="5A84D674" w:rsidRPr="009A730B">
        <w:rPr>
          <w:rFonts w:ascii="Verdana" w:eastAsia="Verdana" w:hAnsi="Verdana" w:cs="Verdana"/>
          <w:color w:val="000000" w:themeColor="text1"/>
          <w:sz w:val="24"/>
          <w:szCs w:val="24"/>
          <w:lang w:val="en-US" w:eastAsia="en-GB"/>
        </w:rPr>
        <w:t xml:space="preserve"> </w:t>
      </w:r>
      <w:r w:rsidRPr="009A730B">
        <w:rPr>
          <w:rFonts w:ascii="Verdana" w:eastAsia="Verdana" w:hAnsi="Verdana" w:cs="Verdana"/>
          <w:color w:val="000000" w:themeColor="text1"/>
          <w:sz w:val="24"/>
          <w:szCs w:val="24"/>
          <w:lang w:val="en-US" w:eastAsia="en-GB"/>
        </w:rPr>
        <w:t xml:space="preserve">The Committee considered progress against agreed recovery trajectories and received assurance on actions being taken </w:t>
      </w:r>
      <w:r w:rsidRPr="009A730B">
        <w:rPr>
          <w:rFonts w:ascii="Verdana" w:eastAsia="Verdana" w:hAnsi="Verdana" w:cs="Verdana"/>
          <w:color w:val="000000" w:themeColor="text1"/>
          <w:sz w:val="24"/>
          <w:szCs w:val="24"/>
          <w:lang w:val="en-US" w:eastAsia="en-GB"/>
        </w:rPr>
        <w:lastRenderedPageBreak/>
        <w:t>to improve access, reduce long‑waiting waits, and address capacity constraints across planned care pathways. Where required, areas of concern were escalated to the Board through the Committee’s Key Issues reporting.</w:t>
      </w:r>
    </w:p>
    <w:p w14:paraId="4024C6D2" w14:textId="4CB559D5" w:rsidR="51F4664D" w:rsidRPr="009A730B" w:rsidRDefault="51F4664D" w:rsidP="51F4664D">
      <w:pPr>
        <w:pBdr>
          <w:between w:val="nil"/>
          <w:bar w:val="nil"/>
        </w:pBdr>
        <w:spacing w:after="0" w:line="276" w:lineRule="auto"/>
        <w:jc w:val="both"/>
        <w:rPr>
          <w:rFonts w:ascii="Verdana" w:eastAsia="Verdana" w:hAnsi="Verdana" w:cs="Verdana"/>
          <w:color w:val="000000" w:themeColor="text1"/>
          <w:sz w:val="24"/>
          <w:szCs w:val="24"/>
          <w:lang w:val="en-US" w:eastAsia="en-GB"/>
        </w:rPr>
      </w:pPr>
    </w:p>
    <w:p w14:paraId="682A0195" w14:textId="457606D4" w:rsidR="742AD6AE" w:rsidRPr="009A730B" w:rsidRDefault="742AD6AE" w:rsidP="00C2615D">
      <w:pPr>
        <w:pStyle w:val="ListParagraph"/>
        <w:numPr>
          <w:ilvl w:val="2"/>
          <w:numId w:val="21"/>
        </w:numPr>
        <w:pBdr>
          <w:between w:val="nil"/>
          <w:bar w:val="nil"/>
        </w:pBdr>
        <w:spacing w:after="0" w:line="276" w:lineRule="auto"/>
        <w:jc w:val="both"/>
        <w:rPr>
          <w:rFonts w:ascii="Verdana" w:eastAsia="Verdana" w:hAnsi="Verdana" w:cs="Verdana"/>
          <w:b/>
          <w:bCs/>
          <w:color w:val="000000" w:themeColor="text1"/>
          <w:sz w:val="24"/>
          <w:szCs w:val="24"/>
          <w:lang w:val="en-US" w:eastAsia="en-GB"/>
        </w:rPr>
      </w:pPr>
      <w:r w:rsidRPr="009A730B">
        <w:rPr>
          <w:rFonts w:ascii="Verdana" w:eastAsia="Verdana" w:hAnsi="Verdana" w:cs="Verdana"/>
          <w:b/>
          <w:bCs/>
          <w:color w:val="000000" w:themeColor="text1"/>
          <w:sz w:val="24"/>
          <w:szCs w:val="24"/>
          <w:lang w:val="en-US" w:eastAsia="en-GB"/>
        </w:rPr>
        <w:t>Women’s Health Hub</w:t>
      </w:r>
    </w:p>
    <w:p w14:paraId="69216924" w14:textId="2A4559F7" w:rsidR="742AD6AE" w:rsidRPr="009A730B" w:rsidRDefault="742AD6AE" w:rsidP="00045C31">
      <w:pPr>
        <w:pBdr>
          <w:between w:val="nil"/>
          <w:bar w:val="nil"/>
        </w:pBdr>
        <w:spacing w:after="0" w:line="240" w:lineRule="auto"/>
        <w:jc w:val="both"/>
        <w:rPr>
          <w:rFonts w:ascii="Verdana" w:eastAsia="Verdana" w:hAnsi="Verdana" w:cs="Verdana"/>
          <w:color w:val="000000" w:themeColor="text1"/>
          <w:sz w:val="24"/>
          <w:szCs w:val="24"/>
          <w:lang w:val="en-US" w:eastAsia="en-GB"/>
        </w:rPr>
      </w:pPr>
      <w:r w:rsidRPr="009A730B">
        <w:rPr>
          <w:rFonts w:ascii="Verdana" w:eastAsia="Verdana" w:hAnsi="Verdana" w:cs="Verdana"/>
          <w:color w:val="000000" w:themeColor="text1"/>
          <w:sz w:val="24"/>
          <w:szCs w:val="24"/>
          <w:lang w:val="en-US" w:eastAsia="en-GB"/>
        </w:rPr>
        <w:t>A substantive update on the Women’s Health Hub was considered by the Committee in February 2026, following an initial request for further information in December 2025.</w:t>
      </w:r>
    </w:p>
    <w:p w14:paraId="305CC6D6" w14:textId="32E271FF" w:rsidR="51F4664D" w:rsidRPr="009A730B" w:rsidRDefault="51F4664D" w:rsidP="51F4664D">
      <w:pPr>
        <w:pBdr>
          <w:between w:val="nil"/>
          <w:bar w:val="nil"/>
        </w:pBdr>
        <w:spacing w:after="0" w:line="276" w:lineRule="auto"/>
        <w:jc w:val="both"/>
        <w:rPr>
          <w:rFonts w:ascii="Verdana" w:eastAsia="Verdana" w:hAnsi="Verdana" w:cs="Verdana"/>
          <w:color w:val="000000" w:themeColor="text1"/>
          <w:sz w:val="24"/>
          <w:szCs w:val="24"/>
          <w:lang w:val="en-US" w:eastAsia="en-GB"/>
        </w:rPr>
      </w:pPr>
    </w:p>
    <w:p w14:paraId="60C162BA" w14:textId="0878427B" w:rsidR="6083CC27" w:rsidRPr="009A730B" w:rsidRDefault="6083CC27" w:rsidP="00C2615D">
      <w:pPr>
        <w:pStyle w:val="ListParagraph"/>
        <w:numPr>
          <w:ilvl w:val="2"/>
          <w:numId w:val="21"/>
        </w:numPr>
        <w:pBdr>
          <w:bar w:val="nil"/>
        </w:pBdr>
        <w:spacing w:after="0" w:line="276" w:lineRule="auto"/>
        <w:jc w:val="both"/>
        <w:rPr>
          <w:rFonts w:ascii="Verdana" w:eastAsia="Verdana" w:hAnsi="Verdana" w:cs="Verdana"/>
          <w:b/>
          <w:bCs/>
          <w:color w:val="000000" w:themeColor="text1"/>
          <w:sz w:val="24"/>
          <w:szCs w:val="24"/>
          <w:lang w:val="en-US" w:eastAsia="en-GB"/>
        </w:rPr>
      </w:pPr>
      <w:r w:rsidRPr="009A730B">
        <w:rPr>
          <w:rFonts w:ascii="Verdana" w:eastAsia="Verdana" w:hAnsi="Verdana" w:cs="Verdana"/>
          <w:b/>
          <w:bCs/>
          <w:color w:val="000000" w:themeColor="text1"/>
          <w:sz w:val="24"/>
          <w:szCs w:val="24"/>
          <w:lang w:val="en-US" w:eastAsia="en-GB"/>
        </w:rPr>
        <w:t>Update on the output of the demand and capacity modelling</w:t>
      </w:r>
    </w:p>
    <w:p w14:paraId="7BC32019" w14:textId="7537A479" w:rsidR="6083CC27" w:rsidRPr="009A730B" w:rsidRDefault="6083CC27" w:rsidP="00045C31">
      <w:pPr>
        <w:pBdr>
          <w:between w:val="nil"/>
          <w:bar w:val="nil"/>
        </w:pBdr>
        <w:spacing w:after="0" w:line="240" w:lineRule="auto"/>
        <w:jc w:val="both"/>
        <w:rPr>
          <w:rFonts w:ascii="Verdana" w:eastAsia="Verdana" w:hAnsi="Verdana" w:cs="Verdana"/>
          <w:color w:val="000000" w:themeColor="text1"/>
          <w:sz w:val="24"/>
          <w:szCs w:val="24"/>
          <w:lang w:val="en-US" w:eastAsia="en-GB"/>
        </w:rPr>
      </w:pPr>
      <w:r w:rsidRPr="009A730B">
        <w:rPr>
          <w:rFonts w:ascii="Verdana" w:eastAsia="Verdana" w:hAnsi="Verdana" w:cs="Verdana"/>
          <w:color w:val="000000" w:themeColor="text1"/>
          <w:sz w:val="24"/>
          <w:szCs w:val="24"/>
          <w:lang w:val="en-US" w:eastAsia="en-GB"/>
        </w:rPr>
        <w:t>An update on the output of the demand and capacity modelling was received by the Committee in June 2025.</w:t>
      </w:r>
    </w:p>
    <w:p w14:paraId="4324B00B" w14:textId="5A406289" w:rsidR="51F4664D" w:rsidRPr="009A730B" w:rsidRDefault="51F4664D" w:rsidP="51F4664D">
      <w:pPr>
        <w:pBdr>
          <w:between w:val="nil"/>
          <w:bar w:val="nil"/>
        </w:pBdr>
        <w:spacing w:after="0" w:line="276" w:lineRule="auto"/>
        <w:jc w:val="both"/>
        <w:rPr>
          <w:rFonts w:ascii="Verdana" w:eastAsia="Verdana" w:hAnsi="Verdana" w:cs="Verdana"/>
          <w:color w:val="000000" w:themeColor="text1"/>
          <w:sz w:val="24"/>
          <w:szCs w:val="24"/>
          <w:lang w:val="en-US" w:eastAsia="en-GB"/>
        </w:rPr>
      </w:pPr>
    </w:p>
    <w:p w14:paraId="5101558D" w14:textId="66C1F32C" w:rsidR="00FD27B4" w:rsidRPr="009A730B" w:rsidRDefault="5DAF076B" w:rsidP="00C2615D">
      <w:pPr>
        <w:pStyle w:val="StyleOutlinenumberedArialOutlinenumberedArial11Outli"/>
        <w:numPr>
          <w:ilvl w:val="2"/>
          <w:numId w:val="21"/>
        </w:numPr>
        <w:spacing w:line="276" w:lineRule="auto"/>
        <w:ind w:left="720" w:hanging="720"/>
        <w:jc w:val="both"/>
        <w:rPr>
          <w:rFonts w:ascii="Verdana" w:eastAsia="Verdana" w:hAnsi="Verdana" w:cs="Verdana"/>
          <w:color w:val="000000" w:themeColor="text1"/>
        </w:rPr>
      </w:pPr>
      <w:r w:rsidRPr="009A730B">
        <w:rPr>
          <w:rFonts w:ascii="Verdana" w:eastAsia="Verdana" w:hAnsi="Verdana" w:cs="Verdana"/>
          <w:color w:val="000000" w:themeColor="text1"/>
        </w:rPr>
        <w:t xml:space="preserve">Maternity and Neonatal Metrics </w:t>
      </w:r>
    </w:p>
    <w:p w14:paraId="38BD1B28" w14:textId="1BA51918" w:rsidR="007B3D94" w:rsidRPr="009A730B" w:rsidRDefault="48322970" w:rsidP="00FA7F11">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During 2025/26, the Committee received updates on Maternity and Neonatal performance, including the review of key maternity and neonatal metrics. Updates were received in October 2025 and January 2026, supporting the Committee’s oversight of service performance, governance arrangements, and escalation where required.</w:t>
      </w:r>
    </w:p>
    <w:p w14:paraId="195591C8" w14:textId="77777777" w:rsidR="00245A2C" w:rsidRPr="009A730B" w:rsidRDefault="00245A2C" w:rsidP="00FA7F11">
      <w:pPr>
        <w:spacing w:after="0" w:line="240" w:lineRule="auto"/>
        <w:jc w:val="both"/>
        <w:rPr>
          <w:rFonts w:ascii="Verdana" w:eastAsia="Verdana" w:hAnsi="Verdana" w:cs="Verdana"/>
          <w:color w:val="000000" w:themeColor="text1"/>
          <w:sz w:val="24"/>
          <w:szCs w:val="24"/>
        </w:rPr>
      </w:pPr>
    </w:p>
    <w:p w14:paraId="605997B0" w14:textId="2E1AC7F5" w:rsidR="3B465B49" w:rsidRPr="009A730B" w:rsidRDefault="3B465B49" w:rsidP="00FA7F11">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In October 2025, the Committee received Maternity and Neonatal metrics as part of the Integrated Performance Report. The report set out performance against key maternity and neonatal indicators and provided assurance on escalation arrangements where performance concerns were identified. The metrics supported the Committee’s oversight of service performance and informed decisions on escalation and assurance.</w:t>
      </w:r>
    </w:p>
    <w:p w14:paraId="0EF185B3" w14:textId="77777777" w:rsidR="00245A2C" w:rsidRPr="009A730B" w:rsidRDefault="00245A2C" w:rsidP="00245A2C">
      <w:pPr>
        <w:spacing w:after="0" w:line="240" w:lineRule="auto"/>
        <w:rPr>
          <w:rFonts w:ascii="Verdana" w:eastAsia="Verdana" w:hAnsi="Verdana" w:cs="Verdana"/>
          <w:color w:val="000000" w:themeColor="text1"/>
          <w:sz w:val="24"/>
          <w:szCs w:val="24"/>
        </w:rPr>
      </w:pPr>
    </w:p>
    <w:p w14:paraId="4631321B" w14:textId="5FBBCE20" w:rsidR="3B465B49" w:rsidRPr="009A730B" w:rsidRDefault="3B465B49" w:rsidP="00245A2C">
      <w:pPr>
        <w:spacing w:after="0" w:line="240"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In January 2026, the Committee received an assurance update which confirmed that:</w:t>
      </w:r>
    </w:p>
    <w:p w14:paraId="4C682286" w14:textId="6FE42637" w:rsidR="3B465B49" w:rsidRPr="009A730B" w:rsidRDefault="3B465B49" w:rsidP="00C2615D">
      <w:pPr>
        <w:pStyle w:val="ListParagraph"/>
        <w:numPr>
          <w:ilvl w:val="0"/>
          <w:numId w:val="51"/>
        </w:numPr>
        <w:spacing w:after="0" w:line="240"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Governance structures for maternity and neonatal services were in place and operating;</w:t>
      </w:r>
    </w:p>
    <w:p w14:paraId="22888F9E" w14:textId="743B513B" w:rsidR="3B465B49" w:rsidRPr="009A730B" w:rsidRDefault="3B465B49" w:rsidP="00C2615D">
      <w:pPr>
        <w:pStyle w:val="ListParagraph"/>
        <w:numPr>
          <w:ilvl w:val="0"/>
          <w:numId w:val="51"/>
        </w:numPr>
        <w:spacing w:after="0" w:line="240"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Maternity and neonatal dashboards were embedded to support performance monitoring and decision‑making;</w:t>
      </w:r>
    </w:p>
    <w:p w14:paraId="31F38522" w14:textId="7FE84EA9" w:rsidR="3B465B49" w:rsidRPr="009A730B" w:rsidRDefault="3B465B49" w:rsidP="00C2615D">
      <w:pPr>
        <w:pStyle w:val="ListParagraph"/>
        <w:numPr>
          <w:ilvl w:val="0"/>
          <w:numId w:val="51"/>
        </w:numPr>
        <w:spacing w:after="0" w:line="240"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Staffing establishment and training compliance were being monitored and reported through established governance routes; and;</w:t>
      </w:r>
    </w:p>
    <w:p w14:paraId="12120561" w14:textId="30C8BA4F" w:rsidR="3B465B49" w:rsidRPr="009A730B" w:rsidRDefault="3B465B49" w:rsidP="00C2615D">
      <w:pPr>
        <w:pStyle w:val="ListParagraph"/>
        <w:numPr>
          <w:ilvl w:val="0"/>
          <w:numId w:val="51"/>
        </w:numPr>
        <w:spacing w:after="0" w:line="240"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Risks were reviewed through the perinatal governance structure, with escalation through Quality &amp; Safety Committee and onward to the Board where required.</w:t>
      </w:r>
    </w:p>
    <w:p w14:paraId="1C6F6DCB" w14:textId="77777777" w:rsidR="00245A2C" w:rsidRPr="009A730B" w:rsidRDefault="00245A2C" w:rsidP="00245A2C">
      <w:pPr>
        <w:pStyle w:val="ListParagraph"/>
        <w:spacing w:after="0" w:line="240" w:lineRule="auto"/>
        <w:rPr>
          <w:rFonts w:ascii="Verdana" w:eastAsia="Verdana" w:hAnsi="Verdana" w:cs="Verdana"/>
          <w:color w:val="000000" w:themeColor="text1"/>
          <w:sz w:val="24"/>
          <w:szCs w:val="24"/>
        </w:rPr>
      </w:pPr>
    </w:p>
    <w:p w14:paraId="22FF2491" w14:textId="1B8046F1" w:rsidR="3B465B49" w:rsidRPr="009A730B" w:rsidRDefault="3B465B49" w:rsidP="00245A2C">
      <w:pPr>
        <w:spacing w:after="0" w:line="240"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This provided assurance on the ongoing management, governance, and performance oversight of maternity and neonatal services.</w:t>
      </w:r>
    </w:p>
    <w:p w14:paraId="44334B9B" w14:textId="3185B253" w:rsidR="007B3D94" w:rsidRPr="009A730B" w:rsidRDefault="007B3D94" w:rsidP="51F4664D">
      <w:pPr>
        <w:pStyle w:val="StyleOutlinenumberedArialOutlinenumberedArial11Outli"/>
        <w:numPr>
          <w:ilvl w:val="0"/>
          <w:numId w:val="0"/>
        </w:numPr>
        <w:spacing w:line="276" w:lineRule="auto"/>
        <w:ind w:left="720"/>
        <w:jc w:val="both"/>
        <w:rPr>
          <w:rFonts w:ascii="Verdana" w:eastAsia="Verdana" w:hAnsi="Verdana" w:cs="Verdana"/>
          <w:color w:val="000000" w:themeColor="text1"/>
          <w:u w:val="single"/>
        </w:rPr>
      </w:pPr>
    </w:p>
    <w:p w14:paraId="3EEDE34D" w14:textId="77777777" w:rsidR="00DF3313" w:rsidRPr="009A730B" w:rsidRDefault="00DF3313" w:rsidP="51F4664D">
      <w:pPr>
        <w:pStyle w:val="StyleOutlinenumberedArialOutlinenumberedArial11Outli"/>
        <w:numPr>
          <w:ilvl w:val="0"/>
          <w:numId w:val="0"/>
        </w:numPr>
        <w:spacing w:line="276" w:lineRule="auto"/>
        <w:ind w:left="720"/>
        <w:jc w:val="both"/>
        <w:rPr>
          <w:rFonts w:ascii="Verdana" w:eastAsia="Verdana" w:hAnsi="Verdana" w:cs="Verdana"/>
          <w:color w:val="000000" w:themeColor="text1"/>
          <w:u w:val="single"/>
        </w:rPr>
      </w:pPr>
    </w:p>
    <w:p w14:paraId="75F8E7AD" w14:textId="77777777" w:rsidR="00DF3313" w:rsidRPr="009A730B" w:rsidRDefault="00DF3313" w:rsidP="51F4664D">
      <w:pPr>
        <w:pStyle w:val="StyleOutlinenumberedArialOutlinenumberedArial11Outli"/>
        <w:numPr>
          <w:ilvl w:val="0"/>
          <w:numId w:val="0"/>
        </w:numPr>
        <w:spacing w:line="276" w:lineRule="auto"/>
        <w:ind w:left="720"/>
        <w:jc w:val="both"/>
        <w:rPr>
          <w:rFonts w:ascii="Verdana" w:eastAsia="Verdana" w:hAnsi="Verdana" w:cs="Verdana"/>
          <w:color w:val="000000" w:themeColor="text1"/>
          <w:u w:val="single"/>
        </w:rPr>
      </w:pPr>
    </w:p>
    <w:p w14:paraId="0D557C56" w14:textId="77777777" w:rsidR="00045C31" w:rsidRPr="009A730B" w:rsidRDefault="00045C31" w:rsidP="51F4664D">
      <w:pPr>
        <w:pStyle w:val="StyleOutlinenumberedArialOutlinenumberedArial11Outli"/>
        <w:numPr>
          <w:ilvl w:val="0"/>
          <w:numId w:val="0"/>
        </w:numPr>
        <w:spacing w:line="276" w:lineRule="auto"/>
        <w:ind w:left="720"/>
        <w:jc w:val="both"/>
        <w:rPr>
          <w:rFonts w:ascii="Verdana" w:eastAsia="Verdana" w:hAnsi="Verdana" w:cs="Verdana"/>
          <w:color w:val="000000" w:themeColor="text1"/>
          <w:u w:val="single"/>
        </w:rPr>
      </w:pPr>
    </w:p>
    <w:p w14:paraId="507E03BA" w14:textId="74802910" w:rsidR="00F873FC" w:rsidRPr="009A730B" w:rsidRDefault="092A3065" w:rsidP="00C2615D">
      <w:pPr>
        <w:pStyle w:val="StyleOutlinenumberedArialOutlinenumberedArial11Outli"/>
        <w:numPr>
          <w:ilvl w:val="2"/>
          <w:numId w:val="21"/>
        </w:numPr>
        <w:spacing w:line="276" w:lineRule="auto"/>
        <w:ind w:left="720" w:hanging="720"/>
        <w:jc w:val="both"/>
        <w:rPr>
          <w:rFonts w:ascii="Verdana" w:eastAsia="Verdana" w:hAnsi="Verdana" w:cs="Verdana"/>
          <w:color w:val="000000" w:themeColor="text1"/>
        </w:rPr>
      </w:pPr>
      <w:r w:rsidRPr="009A730B">
        <w:rPr>
          <w:rFonts w:ascii="Verdana" w:eastAsia="Verdana" w:hAnsi="Verdana" w:cs="Verdana"/>
          <w:color w:val="000000" w:themeColor="text1"/>
        </w:rPr>
        <w:t>Neurodevelopment Disorder Service</w:t>
      </w:r>
    </w:p>
    <w:p w14:paraId="3C541628" w14:textId="19CB9733" w:rsidR="00CA30B5" w:rsidRPr="009A730B" w:rsidRDefault="3EFF4C7C" w:rsidP="00245A2C">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In April 2025, the Committee considered the performance of the Neurodevelopmental Disorder (NDD) Service through its review of the Integrated Performance Report. The Committee identified NDD as an area of ongoing concern due to sustained underperformance against national access standards.</w:t>
      </w:r>
    </w:p>
    <w:p w14:paraId="68CAD20E" w14:textId="77777777" w:rsidR="00245A2C" w:rsidRPr="009A730B" w:rsidRDefault="00245A2C" w:rsidP="00245A2C">
      <w:pPr>
        <w:spacing w:after="0" w:line="240" w:lineRule="auto"/>
        <w:jc w:val="both"/>
        <w:rPr>
          <w:rFonts w:ascii="Verdana" w:eastAsia="Verdana" w:hAnsi="Verdana" w:cs="Verdana"/>
          <w:color w:val="000000" w:themeColor="text1"/>
          <w:sz w:val="24"/>
          <w:szCs w:val="24"/>
        </w:rPr>
      </w:pPr>
    </w:p>
    <w:p w14:paraId="73B43B0D" w14:textId="2641BA6A" w:rsidR="00CA30B5" w:rsidRPr="009A730B" w:rsidRDefault="3EFF4C7C" w:rsidP="00245A2C">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NDD was highlighted alongside other underperforming services as requiring escalation to the Board, and the matter was formally reported through the Committee’s Key Issues reporting. The Committee continued to maintain oversight of NDD performance during 2025/26 through exception reporting, receiving updates on progress and actions being taken to address long waiting times and service capacity challenges.</w:t>
      </w:r>
    </w:p>
    <w:p w14:paraId="55BCFECD" w14:textId="77777777" w:rsidR="0061405F" w:rsidRPr="009A730B" w:rsidRDefault="0061405F" w:rsidP="51F4664D">
      <w:pPr>
        <w:pStyle w:val="StyleOutlinenumberedArialOutlinenumberedArial11Outli"/>
        <w:numPr>
          <w:ilvl w:val="0"/>
          <w:numId w:val="0"/>
        </w:numPr>
        <w:spacing w:line="276" w:lineRule="auto"/>
        <w:jc w:val="both"/>
        <w:rPr>
          <w:rFonts w:ascii="Verdana" w:eastAsia="Verdana" w:hAnsi="Verdana" w:cs="Verdana"/>
          <w:b w:val="0"/>
          <w:bCs w:val="0"/>
          <w:color w:val="000000" w:themeColor="text1"/>
        </w:rPr>
      </w:pPr>
    </w:p>
    <w:p w14:paraId="107F4129" w14:textId="78BF8242" w:rsidR="000E3BB5" w:rsidRPr="009A730B" w:rsidRDefault="7C95BA30" w:rsidP="00C2615D">
      <w:pPr>
        <w:pStyle w:val="StyleOutlinenumberedArialOutlinenumberedArial11Outli"/>
        <w:numPr>
          <w:ilvl w:val="2"/>
          <w:numId w:val="21"/>
        </w:numPr>
        <w:spacing w:line="276" w:lineRule="auto"/>
        <w:ind w:left="720" w:hanging="720"/>
        <w:jc w:val="both"/>
        <w:rPr>
          <w:rFonts w:ascii="Verdana" w:eastAsia="Verdana" w:hAnsi="Verdana" w:cs="Verdana"/>
          <w:color w:val="000000" w:themeColor="text1"/>
        </w:rPr>
      </w:pPr>
      <w:r w:rsidRPr="009A730B">
        <w:rPr>
          <w:rFonts w:ascii="Verdana" w:eastAsia="Verdana" w:hAnsi="Verdana" w:cs="Verdana"/>
          <w:color w:val="000000" w:themeColor="text1"/>
        </w:rPr>
        <w:t>Stroke</w:t>
      </w:r>
    </w:p>
    <w:p w14:paraId="5070544F" w14:textId="6FAAF9E8" w:rsidR="71E48D81" w:rsidRPr="009A730B" w:rsidRDefault="64CBF7D2" w:rsidP="00245A2C">
      <w:pPr>
        <w:pStyle w:val="StyleOutlinenumberedArialOutlinenumberedArial11Outli"/>
        <w:numPr>
          <w:ilvl w:val="0"/>
          <w:numId w:val="0"/>
        </w:numPr>
        <w:jc w:val="both"/>
        <w:rPr>
          <w:rFonts w:ascii="Verdana" w:eastAsia="Verdana" w:hAnsi="Verdana" w:cs="Verdana"/>
          <w:b w:val="0"/>
          <w:bCs w:val="0"/>
          <w:color w:val="000000" w:themeColor="text1"/>
        </w:rPr>
      </w:pPr>
      <w:r w:rsidRPr="009A730B">
        <w:rPr>
          <w:rFonts w:ascii="Verdana" w:eastAsia="Verdana" w:hAnsi="Verdana" w:cs="Verdana"/>
          <w:b w:val="0"/>
          <w:bCs w:val="0"/>
          <w:color w:val="000000" w:themeColor="text1"/>
        </w:rPr>
        <w:t>The Committee received quarterly updates on Stroke performance throughout 202</w:t>
      </w:r>
      <w:r w:rsidR="4FC01881" w:rsidRPr="009A730B">
        <w:rPr>
          <w:rFonts w:ascii="Verdana" w:eastAsia="Verdana" w:hAnsi="Verdana" w:cs="Verdana"/>
          <w:b w:val="0"/>
          <w:bCs w:val="0"/>
          <w:color w:val="000000" w:themeColor="text1"/>
        </w:rPr>
        <w:t>5</w:t>
      </w:r>
      <w:r w:rsidRPr="009A730B">
        <w:rPr>
          <w:rFonts w:ascii="Verdana" w:eastAsia="Verdana" w:hAnsi="Verdana" w:cs="Verdana"/>
          <w:b w:val="0"/>
          <w:bCs w:val="0"/>
          <w:color w:val="000000" w:themeColor="text1"/>
        </w:rPr>
        <w:t>/2</w:t>
      </w:r>
      <w:r w:rsidR="5FAF01F2" w:rsidRPr="009A730B">
        <w:rPr>
          <w:rFonts w:ascii="Verdana" w:eastAsia="Verdana" w:hAnsi="Verdana" w:cs="Verdana"/>
          <w:b w:val="0"/>
          <w:bCs w:val="0"/>
          <w:color w:val="000000" w:themeColor="text1"/>
        </w:rPr>
        <w:t>6</w:t>
      </w:r>
      <w:r w:rsidRPr="009A730B">
        <w:rPr>
          <w:rFonts w:ascii="Verdana" w:eastAsia="Verdana" w:hAnsi="Verdana" w:cs="Verdana"/>
          <w:b w:val="0"/>
          <w:bCs w:val="0"/>
          <w:color w:val="000000" w:themeColor="text1"/>
        </w:rPr>
        <w:t>. The most recent update on Stroke performance was received by the Committee in March 2026, through consideration of the Integrated Performance Report, which included performance against key Stroke indicators and ongoing system challenges.</w:t>
      </w:r>
      <w:r w:rsidR="7318B234" w:rsidRPr="009A730B">
        <w:rPr>
          <w:rFonts w:ascii="Verdana" w:eastAsia="Verdana" w:hAnsi="Verdana" w:cs="Verdana"/>
          <w:b w:val="0"/>
          <w:bCs w:val="0"/>
          <w:color w:val="000000" w:themeColor="text1"/>
        </w:rPr>
        <w:t xml:space="preserve"> Despite good performance on therapies Stroke remain a key area of concern for the Committee </w:t>
      </w:r>
      <w:r w:rsidR="3DC5B709" w:rsidRPr="009A730B">
        <w:rPr>
          <w:rFonts w:ascii="Verdana" w:eastAsia="Verdana" w:hAnsi="Verdana" w:cs="Verdana"/>
          <w:b w:val="0"/>
          <w:bCs w:val="0"/>
          <w:color w:val="000000" w:themeColor="text1"/>
        </w:rPr>
        <w:t xml:space="preserve">requiring escalation to the Board. Of particular concern </w:t>
      </w:r>
      <w:r w:rsidR="30B44B4E" w:rsidRPr="009A730B">
        <w:rPr>
          <w:rFonts w:ascii="Verdana" w:eastAsia="Verdana" w:hAnsi="Verdana" w:cs="Verdana"/>
          <w:b w:val="0"/>
          <w:bCs w:val="0"/>
          <w:color w:val="000000" w:themeColor="text1"/>
        </w:rPr>
        <w:t>were timely admission to the stroke unit and CT scan, challenges in the ring</w:t>
      </w:r>
      <w:r w:rsidR="1F3BAAAB" w:rsidRPr="009A730B">
        <w:rPr>
          <w:rFonts w:ascii="Verdana" w:eastAsia="Verdana" w:hAnsi="Verdana" w:cs="Verdana"/>
          <w:b w:val="0"/>
          <w:bCs w:val="0"/>
          <w:color w:val="000000" w:themeColor="text1"/>
        </w:rPr>
        <w:t>-</w:t>
      </w:r>
      <w:r w:rsidR="30B44B4E" w:rsidRPr="009A730B">
        <w:rPr>
          <w:rFonts w:ascii="Verdana" w:eastAsia="Verdana" w:hAnsi="Verdana" w:cs="Verdana"/>
          <w:b w:val="0"/>
          <w:bCs w:val="0"/>
          <w:color w:val="000000" w:themeColor="text1"/>
        </w:rPr>
        <w:t xml:space="preserve"> fencing of beds </w:t>
      </w:r>
      <w:r w:rsidR="2CF77204" w:rsidRPr="009A730B">
        <w:rPr>
          <w:rFonts w:ascii="Verdana" w:eastAsia="Verdana" w:hAnsi="Verdana" w:cs="Verdana"/>
          <w:b w:val="0"/>
          <w:bCs w:val="0"/>
          <w:color w:val="000000" w:themeColor="text1"/>
        </w:rPr>
        <w:t>due to system flow issues were highlighted as a major contributory factor.</w:t>
      </w:r>
    </w:p>
    <w:p w14:paraId="18125FDB" w14:textId="75BB8BBC" w:rsidR="3EC4081A" w:rsidRPr="009A730B" w:rsidRDefault="3EC4081A" w:rsidP="3EC4081A">
      <w:pPr>
        <w:pStyle w:val="StyleOutlinenumberedArialOutlinenumberedArial11Outli"/>
        <w:numPr>
          <w:ilvl w:val="0"/>
          <w:numId w:val="0"/>
        </w:numPr>
        <w:spacing w:line="276" w:lineRule="auto"/>
        <w:jc w:val="both"/>
        <w:rPr>
          <w:rFonts w:ascii="Verdana" w:eastAsia="Verdana" w:hAnsi="Verdana" w:cs="Verdana"/>
          <w:b w:val="0"/>
          <w:bCs w:val="0"/>
          <w:color w:val="000000" w:themeColor="text1"/>
        </w:rPr>
      </w:pPr>
    </w:p>
    <w:p w14:paraId="44F3F328" w14:textId="44AF4AEA" w:rsidR="51F4664D" w:rsidRPr="009A730B" w:rsidRDefault="5C4F6291" w:rsidP="00C2615D">
      <w:pPr>
        <w:pStyle w:val="StyleOutlinenumberedArialOutlinenumberedArial11Outli"/>
        <w:numPr>
          <w:ilvl w:val="2"/>
          <w:numId w:val="21"/>
        </w:numPr>
        <w:spacing w:line="276" w:lineRule="auto"/>
        <w:ind w:left="720" w:hanging="720"/>
        <w:jc w:val="both"/>
        <w:rPr>
          <w:rFonts w:ascii="Verdana" w:eastAsia="Verdana" w:hAnsi="Verdana" w:cs="Verdana"/>
          <w:color w:val="000000" w:themeColor="text1"/>
        </w:rPr>
      </w:pPr>
      <w:r w:rsidRPr="009A730B">
        <w:rPr>
          <w:rFonts w:ascii="Verdana" w:eastAsia="Verdana" w:hAnsi="Verdana" w:cs="Verdana"/>
          <w:color w:val="000000" w:themeColor="text1"/>
        </w:rPr>
        <w:t xml:space="preserve">Speech and Language </w:t>
      </w:r>
    </w:p>
    <w:p w14:paraId="05AB1962" w14:textId="31A93B6C" w:rsidR="51F4664D" w:rsidRPr="009A730B" w:rsidRDefault="5C4F6291" w:rsidP="00245A2C">
      <w:pPr>
        <w:pStyle w:val="StyleOutlinenumberedArialOutlinenumberedArial11Outli"/>
        <w:numPr>
          <w:ilvl w:val="0"/>
          <w:numId w:val="0"/>
        </w:numPr>
        <w:jc w:val="both"/>
        <w:rPr>
          <w:rFonts w:ascii="Verdana" w:eastAsia="Verdana" w:hAnsi="Verdana" w:cs="Verdana"/>
          <w:b w:val="0"/>
          <w:bCs w:val="0"/>
          <w:color w:val="000000" w:themeColor="text1"/>
        </w:rPr>
      </w:pPr>
      <w:r w:rsidRPr="009A730B">
        <w:rPr>
          <w:rFonts w:ascii="Verdana" w:eastAsia="Verdana" w:hAnsi="Verdana" w:cs="Verdana"/>
          <w:b w:val="0"/>
          <w:bCs w:val="0"/>
          <w:color w:val="000000" w:themeColor="text1"/>
        </w:rPr>
        <w:t>In April 2025, the Committee received an update on Speech and Language Therapy performance. The update confirmed that the service had maintained a no‑breach position against the Welsh Government 14‑week target for the preceding 12 months, with the longest wait reported at 11 weeks.</w:t>
      </w:r>
    </w:p>
    <w:p w14:paraId="7745CB56" w14:textId="77777777" w:rsidR="00DF3313" w:rsidRPr="009A730B" w:rsidRDefault="00DF3313" w:rsidP="00245A2C">
      <w:pPr>
        <w:pStyle w:val="StyleOutlinenumberedArialOutlinenumberedArial11Outli"/>
        <w:numPr>
          <w:ilvl w:val="0"/>
          <w:numId w:val="0"/>
        </w:numPr>
        <w:jc w:val="both"/>
        <w:rPr>
          <w:rFonts w:ascii="Verdana" w:eastAsia="Verdana" w:hAnsi="Verdana" w:cs="Verdana"/>
          <w:b w:val="0"/>
          <w:bCs w:val="0"/>
          <w:color w:val="000000" w:themeColor="text1"/>
        </w:rPr>
      </w:pPr>
    </w:p>
    <w:p w14:paraId="67F2E3CA" w14:textId="712D8D3F" w:rsidR="000E3BB5" w:rsidRPr="009A730B" w:rsidRDefault="5C4F6291" w:rsidP="00245A2C">
      <w:pPr>
        <w:pStyle w:val="StyleOutlinenumberedArialOutlinenumberedArial11Outli"/>
        <w:numPr>
          <w:ilvl w:val="0"/>
          <w:numId w:val="0"/>
        </w:numPr>
        <w:jc w:val="both"/>
        <w:rPr>
          <w:rFonts w:ascii="Verdana" w:eastAsia="Verdana" w:hAnsi="Verdana" w:cs="Verdana"/>
          <w:b w:val="0"/>
          <w:bCs w:val="0"/>
          <w:color w:val="000000" w:themeColor="text1"/>
        </w:rPr>
      </w:pPr>
      <w:r w:rsidRPr="009A730B">
        <w:rPr>
          <w:rFonts w:ascii="Verdana" w:eastAsia="Verdana" w:hAnsi="Verdana" w:cs="Verdana"/>
          <w:b w:val="0"/>
          <w:bCs w:val="0"/>
          <w:color w:val="000000" w:themeColor="text1"/>
        </w:rPr>
        <w:t>The Committee was advised of ongoing work to reduce waiting numbers for new episodes of care and follow‑up appointments, alongside actions to improve data quality. Risks relating to future target changes and compliance with Additional Learning Needs legislation were highlighted. The Committee noted that approval had been given for additional administrative capacity to support improvements in statutory compliance and service sustainability</w:t>
      </w:r>
      <w:r w:rsidR="00245A2C" w:rsidRPr="009A730B">
        <w:rPr>
          <w:rFonts w:ascii="Verdana" w:eastAsia="Verdana" w:hAnsi="Verdana" w:cs="Verdana"/>
          <w:b w:val="0"/>
          <w:bCs w:val="0"/>
          <w:color w:val="000000" w:themeColor="text1"/>
        </w:rPr>
        <w:t>.</w:t>
      </w:r>
    </w:p>
    <w:p w14:paraId="6CC8E266" w14:textId="77777777" w:rsidR="00DF3313" w:rsidRPr="009A730B" w:rsidRDefault="00DF3313" w:rsidP="00245A2C">
      <w:pPr>
        <w:pStyle w:val="StyleOutlinenumberedArialOutlinenumberedArial11Outli"/>
        <w:numPr>
          <w:ilvl w:val="0"/>
          <w:numId w:val="0"/>
        </w:numPr>
        <w:jc w:val="both"/>
        <w:rPr>
          <w:rFonts w:ascii="Verdana" w:eastAsia="Verdana" w:hAnsi="Verdana" w:cs="Verdana"/>
          <w:b w:val="0"/>
          <w:bCs w:val="0"/>
          <w:color w:val="000000" w:themeColor="text1"/>
        </w:rPr>
      </w:pPr>
    </w:p>
    <w:p w14:paraId="1577E8C3" w14:textId="07008883" w:rsidR="009C0243" w:rsidRPr="009A730B" w:rsidRDefault="2B3E8660" w:rsidP="00C2615D">
      <w:pPr>
        <w:pStyle w:val="StyleOutlinenumberedArialOutlinenumberedArial11Outli"/>
        <w:numPr>
          <w:ilvl w:val="2"/>
          <w:numId w:val="21"/>
        </w:numPr>
        <w:spacing w:line="276" w:lineRule="auto"/>
        <w:ind w:left="720" w:hanging="720"/>
        <w:jc w:val="both"/>
        <w:rPr>
          <w:rFonts w:ascii="Verdana" w:eastAsia="Verdana" w:hAnsi="Verdana" w:cs="Verdana"/>
          <w:color w:val="000000" w:themeColor="text1"/>
        </w:rPr>
      </w:pPr>
      <w:r w:rsidRPr="009A730B">
        <w:rPr>
          <w:rFonts w:ascii="Verdana" w:eastAsia="Verdana" w:hAnsi="Verdana" w:cs="Verdana"/>
          <w:color w:val="000000" w:themeColor="text1"/>
        </w:rPr>
        <w:t xml:space="preserve">Population Health </w:t>
      </w:r>
    </w:p>
    <w:p w14:paraId="5E4F8154" w14:textId="2C1B8646" w:rsidR="009C0243" w:rsidRPr="009A730B" w:rsidRDefault="6758EF6A" w:rsidP="00245A2C">
      <w:pPr>
        <w:spacing w:after="0" w:line="240"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 xml:space="preserve">A Population Health Briefing was presented to the Performance and Finance Committee in </w:t>
      </w:r>
      <w:r w:rsidR="7EF9C3BD" w:rsidRPr="009A730B">
        <w:rPr>
          <w:rFonts w:ascii="Verdana" w:eastAsia="Verdana" w:hAnsi="Verdana" w:cs="Verdana"/>
          <w:color w:val="000000" w:themeColor="text1"/>
          <w:sz w:val="24"/>
          <w:szCs w:val="24"/>
        </w:rPr>
        <w:t>January 2026</w:t>
      </w:r>
      <w:r w:rsidRPr="009A730B">
        <w:rPr>
          <w:rFonts w:ascii="Verdana" w:eastAsia="Verdana" w:hAnsi="Verdana" w:cs="Verdana"/>
          <w:color w:val="000000" w:themeColor="text1"/>
          <w:sz w:val="24"/>
          <w:szCs w:val="24"/>
        </w:rPr>
        <w:t xml:space="preserve">, outlining population health priorities, </w:t>
      </w:r>
      <w:r w:rsidRPr="009A730B">
        <w:rPr>
          <w:rFonts w:ascii="Verdana" w:eastAsia="Verdana" w:hAnsi="Verdana" w:cs="Verdana"/>
          <w:color w:val="000000" w:themeColor="text1"/>
          <w:sz w:val="24"/>
          <w:szCs w:val="24"/>
        </w:rPr>
        <w:lastRenderedPageBreak/>
        <w:t>associated performance and financial considerations, and the implications of public health investment decisions.</w:t>
      </w:r>
    </w:p>
    <w:p w14:paraId="1E64F9C8" w14:textId="413FD09F" w:rsidR="009C0243" w:rsidRPr="009A730B" w:rsidRDefault="009C0243" w:rsidP="51F4664D">
      <w:pPr>
        <w:spacing w:after="0" w:line="276" w:lineRule="auto"/>
        <w:rPr>
          <w:rFonts w:ascii="Verdana" w:eastAsia="Verdana" w:hAnsi="Verdana" w:cs="Verdana"/>
          <w:color w:val="000000" w:themeColor="text1"/>
          <w:sz w:val="24"/>
          <w:szCs w:val="24"/>
        </w:rPr>
      </w:pPr>
    </w:p>
    <w:p w14:paraId="3B1CF39E" w14:textId="5E2AAEE4" w:rsidR="009C0243" w:rsidRPr="009A730B" w:rsidRDefault="008E0685" w:rsidP="008E0685">
      <w:pPr>
        <w:spacing w:after="0" w:line="276" w:lineRule="auto"/>
        <w:rPr>
          <w:rFonts w:ascii="Verdana" w:eastAsia="Verdana" w:hAnsi="Verdana" w:cs="Verdana"/>
          <w:b/>
          <w:bCs/>
          <w:color w:val="000000" w:themeColor="text1"/>
          <w:sz w:val="24"/>
          <w:szCs w:val="24"/>
        </w:rPr>
      </w:pPr>
      <w:r w:rsidRPr="009A730B">
        <w:rPr>
          <w:rFonts w:ascii="Verdana" w:eastAsia="Verdana" w:hAnsi="Verdana" w:cs="Verdana"/>
          <w:b/>
          <w:bCs/>
          <w:color w:val="000000" w:themeColor="text1"/>
          <w:sz w:val="24"/>
          <w:szCs w:val="24"/>
        </w:rPr>
        <w:t>2.3.16 V</w:t>
      </w:r>
      <w:r w:rsidR="6AE34C9C" w:rsidRPr="009A730B">
        <w:rPr>
          <w:rFonts w:ascii="Verdana" w:eastAsia="Verdana" w:hAnsi="Verdana" w:cs="Verdana"/>
          <w:b/>
          <w:bCs/>
          <w:color w:val="000000" w:themeColor="text1"/>
          <w:sz w:val="24"/>
          <w:szCs w:val="24"/>
        </w:rPr>
        <w:t>accine Equity Plan (VEP)</w:t>
      </w:r>
    </w:p>
    <w:p w14:paraId="111265F5" w14:textId="72C19B22" w:rsidR="6AE34C9C" w:rsidRPr="009A730B" w:rsidRDefault="6AE34C9C" w:rsidP="008E0685">
      <w:pPr>
        <w:pStyle w:val="StyleOutlinenumberedArialOutlinenumberedArial11Outli"/>
        <w:numPr>
          <w:ilvl w:val="0"/>
          <w:numId w:val="0"/>
        </w:numPr>
        <w:jc w:val="both"/>
        <w:rPr>
          <w:rFonts w:ascii="Verdana" w:eastAsia="Verdana" w:hAnsi="Verdana" w:cs="Verdana"/>
          <w:b w:val="0"/>
          <w:bCs w:val="0"/>
          <w:color w:val="000000" w:themeColor="text1"/>
        </w:rPr>
      </w:pPr>
      <w:r w:rsidRPr="009A730B">
        <w:rPr>
          <w:rFonts w:ascii="Verdana" w:eastAsia="Verdana" w:hAnsi="Verdana" w:cs="Verdana"/>
          <w:b w:val="0"/>
          <w:bCs w:val="0"/>
          <w:color w:val="000000" w:themeColor="text1"/>
        </w:rPr>
        <w:t>In August 2025, the Committee received a report on the performance of the implementation of the Vaccine Equity Plan. The report provided an update on progress against the Plan’s priorities, including work to address barriers to vaccine uptake, improve access and engagement, and support equitable delivery across immunisation programmes.</w:t>
      </w:r>
    </w:p>
    <w:p w14:paraId="343FA9B5" w14:textId="18F1E6E4" w:rsidR="51F4664D" w:rsidRPr="009A730B" w:rsidRDefault="51F4664D" w:rsidP="008E0685">
      <w:pPr>
        <w:pStyle w:val="StyleOutlinenumberedArialOutlinenumberedArial11Outli"/>
        <w:numPr>
          <w:ilvl w:val="0"/>
          <w:numId w:val="0"/>
        </w:numPr>
        <w:jc w:val="both"/>
        <w:rPr>
          <w:rFonts w:ascii="Verdana" w:eastAsia="Verdana" w:hAnsi="Verdana" w:cs="Verdana"/>
          <w:b w:val="0"/>
          <w:bCs w:val="0"/>
          <w:color w:val="000000" w:themeColor="text1"/>
        </w:rPr>
      </w:pPr>
    </w:p>
    <w:p w14:paraId="4FB20653" w14:textId="5D606669" w:rsidR="51F4664D" w:rsidRPr="009A730B" w:rsidRDefault="6AE34C9C" w:rsidP="008E0685">
      <w:pPr>
        <w:pStyle w:val="StyleOutlinenumberedArialOutlinenumberedArial11Outli"/>
        <w:numPr>
          <w:ilvl w:val="0"/>
          <w:numId w:val="0"/>
        </w:numPr>
        <w:jc w:val="both"/>
        <w:rPr>
          <w:rFonts w:ascii="Verdana" w:eastAsia="Verdana" w:hAnsi="Verdana" w:cs="Verdana"/>
          <w:b w:val="0"/>
          <w:bCs w:val="0"/>
          <w:color w:val="000000" w:themeColor="text1"/>
        </w:rPr>
      </w:pPr>
      <w:r w:rsidRPr="009A730B">
        <w:rPr>
          <w:rFonts w:ascii="Verdana" w:eastAsia="Verdana" w:hAnsi="Verdana" w:cs="Verdana"/>
          <w:b w:val="0"/>
          <w:bCs w:val="0"/>
          <w:color w:val="000000" w:themeColor="text1"/>
        </w:rPr>
        <w:t>The Committee considered the assurance provided on the implementation of the Vaccine Equity Plan and supported the continuation of the programme of work</w:t>
      </w:r>
      <w:r w:rsidR="783AD889" w:rsidRPr="009A730B">
        <w:rPr>
          <w:rFonts w:ascii="Verdana" w:eastAsia="Verdana" w:hAnsi="Verdana" w:cs="Verdana"/>
          <w:b w:val="0"/>
          <w:bCs w:val="0"/>
          <w:color w:val="000000" w:themeColor="text1"/>
        </w:rPr>
        <w:t xml:space="preserve">. </w:t>
      </w:r>
    </w:p>
    <w:p w14:paraId="3E2F713A" w14:textId="77777777" w:rsidR="008E0685" w:rsidRPr="009A730B" w:rsidRDefault="008E0685" w:rsidP="51F4664D">
      <w:pPr>
        <w:pStyle w:val="StyleOutlinenumberedArialOutlinenumberedArial11Outli"/>
        <w:numPr>
          <w:ilvl w:val="0"/>
          <w:numId w:val="0"/>
        </w:numPr>
        <w:spacing w:line="276" w:lineRule="auto"/>
        <w:ind w:left="720" w:hanging="720"/>
        <w:jc w:val="both"/>
        <w:rPr>
          <w:rFonts w:ascii="Verdana" w:eastAsia="Verdana" w:hAnsi="Verdana" w:cs="Verdana"/>
          <w:color w:val="000000" w:themeColor="text1"/>
          <w:u w:val="single"/>
        </w:rPr>
      </w:pPr>
    </w:p>
    <w:p w14:paraId="41E3F646" w14:textId="1E06217E" w:rsidR="00E32F6A" w:rsidRPr="009A730B" w:rsidRDefault="00854313" w:rsidP="00C2615D">
      <w:pPr>
        <w:pStyle w:val="StyleOutlinenumberedArialOutlinenumberedArial11Outli"/>
        <w:numPr>
          <w:ilvl w:val="1"/>
          <w:numId w:val="21"/>
        </w:numPr>
        <w:spacing w:line="276" w:lineRule="auto"/>
        <w:jc w:val="both"/>
        <w:rPr>
          <w:rFonts w:ascii="Verdana" w:eastAsia="Verdana" w:hAnsi="Verdana" w:cs="Verdana"/>
          <w:color w:val="000000" w:themeColor="text1"/>
          <w:u w:val="single"/>
        </w:rPr>
      </w:pPr>
      <w:r w:rsidRPr="009A730B">
        <w:rPr>
          <w:rFonts w:ascii="Verdana" w:eastAsia="Verdana" w:hAnsi="Verdana" w:cs="Verdana"/>
          <w:color w:val="000000" w:themeColor="text1"/>
          <w:u w:val="single"/>
        </w:rPr>
        <w:t>Finance</w:t>
      </w:r>
    </w:p>
    <w:p w14:paraId="60AECE4B" w14:textId="5E09DF33" w:rsidR="51F4664D" w:rsidRPr="009A730B" w:rsidRDefault="51F4664D" w:rsidP="51F4664D">
      <w:pPr>
        <w:pStyle w:val="StyleOutlinenumberedArialOutlinenumberedArial11Outli"/>
        <w:numPr>
          <w:ilvl w:val="0"/>
          <w:numId w:val="0"/>
        </w:numPr>
        <w:spacing w:line="276" w:lineRule="auto"/>
        <w:ind w:left="720" w:hanging="720"/>
        <w:jc w:val="both"/>
        <w:rPr>
          <w:rFonts w:ascii="Verdana" w:eastAsia="Verdana" w:hAnsi="Verdana" w:cs="Verdana"/>
          <w:color w:val="000000" w:themeColor="text1"/>
          <w:u w:val="single"/>
        </w:rPr>
      </w:pPr>
    </w:p>
    <w:p w14:paraId="75631DCE" w14:textId="73E199AB" w:rsidR="6F2B4365" w:rsidRPr="009A730B" w:rsidRDefault="00ED06C5" w:rsidP="51F4664D">
      <w:pPr>
        <w:spacing w:after="0" w:line="276" w:lineRule="auto"/>
        <w:jc w:val="both"/>
        <w:rPr>
          <w:rFonts w:ascii="Verdana" w:eastAsia="Verdana" w:hAnsi="Verdana" w:cs="Verdana"/>
          <w:b/>
          <w:bCs/>
          <w:color w:val="000000" w:themeColor="text1"/>
          <w:sz w:val="24"/>
          <w:szCs w:val="24"/>
        </w:rPr>
      </w:pPr>
      <w:r w:rsidRPr="009A730B">
        <w:rPr>
          <w:rFonts w:ascii="Verdana" w:eastAsia="Verdana" w:hAnsi="Verdana" w:cs="Verdana"/>
          <w:b/>
          <w:bCs/>
          <w:color w:val="000000" w:themeColor="text1"/>
          <w:sz w:val="24"/>
          <w:szCs w:val="24"/>
        </w:rPr>
        <w:t xml:space="preserve">2.4.1 Monthly </w:t>
      </w:r>
      <w:r w:rsidR="0096283A" w:rsidRPr="009A730B">
        <w:rPr>
          <w:rFonts w:ascii="Verdana" w:eastAsia="Verdana" w:hAnsi="Verdana" w:cs="Verdana"/>
          <w:b/>
          <w:bCs/>
          <w:color w:val="000000" w:themeColor="text1"/>
          <w:sz w:val="24"/>
          <w:szCs w:val="24"/>
        </w:rPr>
        <w:t xml:space="preserve">Financial Position </w:t>
      </w:r>
      <w:r w:rsidRPr="009A730B">
        <w:rPr>
          <w:rFonts w:ascii="Verdana" w:eastAsia="Verdana" w:hAnsi="Verdana" w:cs="Verdana"/>
          <w:b/>
          <w:bCs/>
          <w:color w:val="000000" w:themeColor="text1"/>
          <w:sz w:val="24"/>
          <w:szCs w:val="24"/>
        </w:rPr>
        <w:t>Report</w:t>
      </w:r>
    </w:p>
    <w:p w14:paraId="09772C9D" w14:textId="1CE93031" w:rsidR="231487B7" w:rsidRPr="009A730B" w:rsidRDefault="231487B7" w:rsidP="00ED06C5">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As a standing agenda item, the Committee received the monthly financial position report, which provided detailed analysis of financial performance for each reporting period. The report set out the forecast year‑end revenue outturn and included an assessment based on prevailing planning assumptions, enabling the Committee to maintain effective oversight of financial risk and sustainability.</w:t>
      </w:r>
    </w:p>
    <w:p w14:paraId="188B39A8" w14:textId="12C440AE" w:rsidR="51F4664D" w:rsidRPr="009A730B" w:rsidRDefault="51F4664D" w:rsidP="00ED06C5">
      <w:pPr>
        <w:spacing w:after="0" w:line="240" w:lineRule="auto"/>
        <w:jc w:val="both"/>
        <w:rPr>
          <w:rFonts w:ascii="Verdana" w:eastAsia="Verdana" w:hAnsi="Verdana" w:cs="Verdana"/>
          <w:color w:val="000000" w:themeColor="text1"/>
          <w:sz w:val="24"/>
          <w:szCs w:val="24"/>
        </w:rPr>
      </w:pPr>
    </w:p>
    <w:p w14:paraId="1F531809" w14:textId="4BB29B74" w:rsidR="231487B7" w:rsidRPr="009A730B" w:rsidRDefault="5B64E794" w:rsidP="00ED06C5">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The Committee considered the Health Board’s savings position, with focused scrutiny of the financial performance of individual service groups. Updates on actions being taken to address savings delivery were also received through standing agenda items, supporting the Committee’s ongoing scrutiny and assurance in respect of financial recovery plans.</w:t>
      </w:r>
    </w:p>
    <w:p w14:paraId="196E030E" w14:textId="7E4E8B0E" w:rsidR="3EC4081A" w:rsidRPr="009A730B" w:rsidRDefault="3EC4081A" w:rsidP="00ED06C5">
      <w:pPr>
        <w:spacing w:after="0" w:line="240" w:lineRule="auto"/>
        <w:jc w:val="both"/>
        <w:rPr>
          <w:rFonts w:ascii="Verdana" w:eastAsia="Verdana" w:hAnsi="Verdana" w:cs="Verdana"/>
          <w:color w:val="000000" w:themeColor="text1"/>
          <w:sz w:val="24"/>
          <w:szCs w:val="24"/>
        </w:rPr>
      </w:pPr>
    </w:p>
    <w:p w14:paraId="3B4E94AE" w14:textId="309B6ACF" w:rsidR="346F5F2B" w:rsidRPr="009A730B" w:rsidRDefault="346F5F2B" w:rsidP="00ED06C5">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 xml:space="preserve">Due to the Committee’s </w:t>
      </w:r>
      <w:r w:rsidR="351EE6A2" w:rsidRPr="009A730B">
        <w:rPr>
          <w:rFonts w:ascii="Verdana" w:eastAsia="Verdana" w:hAnsi="Verdana" w:cs="Verdana"/>
          <w:color w:val="000000" w:themeColor="text1"/>
          <w:sz w:val="24"/>
          <w:szCs w:val="24"/>
        </w:rPr>
        <w:t>heightened concern</w:t>
      </w:r>
      <w:r w:rsidR="70A26F42" w:rsidRPr="009A730B">
        <w:rPr>
          <w:rFonts w:ascii="Verdana" w:eastAsia="Verdana" w:hAnsi="Verdana" w:cs="Verdana"/>
          <w:color w:val="000000" w:themeColor="text1"/>
          <w:sz w:val="24"/>
          <w:szCs w:val="24"/>
        </w:rPr>
        <w:t>s</w:t>
      </w:r>
      <w:r w:rsidR="351EE6A2" w:rsidRPr="009A730B">
        <w:rPr>
          <w:rFonts w:ascii="Verdana" w:eastAsia="Verdana" w:hAnsi="Verdana" w:cs="Verdana"/>
          <w:color w:val="000000" w:themeColor="text1"/>
          <w:sz w:val="24"/>
          <w:szCs w:val="24"/>
        </w:rPr>
        <w:t xml:space="preserve"> </w:t>
      </w:r>
      <w:r w:rsidR="2FD1ABDE" w:rsidRPr="009A730B">
        <w:rPr>
          <w:rFonts w:ascii="Verdana" w:eastAsia="Verdana" w:hAnsi="Verdana" w:cs="Verdana"/>
          <w:color w:val="000000" w:themeColor="text1"/>
          <w:sz w:val="24"/>
          <w:szCs w:val="24"/>
        </w:rPr>
        <w:t xml:space="preserve">on </w:t>
      </w:r>
      <w:r w:rsidR="351EE6A2" w:rsidRPr="009A730B">
        <w:rPr>
          <w:rFonts w:ascii="Verdana" w:eastAsia="Verdana" w:hAnsi="Verdana" w:cs="Verdana"/>
          <w:color w:val="000000" w:themeColor="text1"/>
          <w:sz w:val="24"/>
          <w:szCs w:val="24"/>
        </w:rPr>
        <w:t xml:space="preserve">the Health Board’s financial position and the </w:t>
      </w:r>
      <w:r w:rsidR="0EB4323F" w:rsidRPr="009A730B">
        <w:rPr>
          <w:rFonts w:ascii="Verdana" w:eastAsia="Verdana" w:hAnsi="Verdana" w:cs="Verdana"/>
          <w:color w:val="000000" w:themeColor="text1"/>
          <w:sz w:val="24"/>
          <w:szCs w:val="24"/>
        </w:rPr>
        <w:t xml:space="preserve">ongoing </w:t>
      </w:r>
      <w:r w:rsidR="7EE3F1F4" w:rsidRPr="009A730B">
        <w:rPr>
          <w:rFonts w:ascii="Verdana" w:eastAsia="Verdana" w:hAnsi="Verdana" w:cs="Verdana"/>
          <w:color w:val="000000" w:themeColor="text1"/>
          <w:sz w:val="24"/>
          <w:szCs w:val="24"/>
        </w:rPr>
        <w:t xml:space="preserve">high level of </w:t>
      </w:r>
      <w:r w:rsidR="0EB4323F" w:rsidRPr="009A730B">
        <w:rPr>
          <w:rFonts w:ascii="Verdana" w:eastAsia="Verdana" w:hAnsi="Verdana" w:cs="Verdana"/>
          <w:color w:val="000000" w:themeColor="text1"/>
          <w:sz w:val="24"/>
          <w:szCs w:val="24"/>
        </w:rPr>
        <w:t>risk</w:t>
      </w:r>
      <w:r w:rsidR="5EEC317F" w:rsidRPr="009A730B">
        <w:rPr>
          <w:rFonts w:ascii="Verdana" w:eastAsia="Verdana" w:hAnsi="Verdana" w:cs="Verdana"/>
          <w:color w:val="000000" w:themeColor="text1"/>
          <w:sz w:val="24"/>
          <w:szCs w:val="24"/>
        </w:rPr>
        <w:t xml:space="preserve">, </w:t>
      </w:r>
      <w:r w:rsidR="16364842" w:rsidRPr="009A730B">
        <w:rPr>
          <w:rFonts w:ascii="Verdana" w:eastAsia="Verdana" w:hAnsi="Verdana" w:cs="Verdana"/>
          <w:color w:val="000000" w:themeColor="text1"/>
          <w:sz w:val="24"/>
          <w:szCs w:val="24"/>
        </w:rPr>
        <w:t xml:space="preserve">in-committee and </w:t>
      </w:r>
      <w:r w:rsidR="5EEC317F" w:rsidRPr="009A730B">
        <w:rPr>
          <w:rFonts w:ascii="Verdana" w:eastAsia="Verdana" w:hAnsi="Verdana" w:cs="Verdana"/>
          <w:color w:val="000000" w:themeColor="text1"/>
          <w:sz w:val="24"/>
          <w:szCs w:val="24"/>
        </w:rPr>
        <w:t xml:space="preserve">additional meetings were undertaken through the year to receive </w:t>
      </w:r>
      <w:r w:rsidR="4C1150C2" w:rsidRPr="009A730B">
        <w:rPr>
          <w:rFonts w:ascii="Verdana" w:eastAsia="Verdana" w:hAnsi="Verdana" w:cs="Verdana"/>
          <w:color w:val="000000" w:themeColor="text1"/>
          <w:sz w:val="24"/>
          <w:szCs w:val="24"/>
        </w:rPr>
        <w:t>information on progress including u</w:t>
      </w:r>
      <w:r w:rsidR="5EEC317F" w:rsidRPr="009A730B">
        <w:rPr>
          <w:rFonts w:ascii="Verdana" w:eastAsia="Verdana" w:hAnsi="Verdana" w:cs="Verdana"/>
          <w:color w:val="000000" w:themeColor="text1"/>
          <w:sz w:val="24"/>
          <w:szCs w:val="24"/>
        </w:rPr>
        <w:t>pdate</w:t>
      </w:r>
      <w:r w:rsidR="68DDD989" w:rsidRPr="009A730B">
        <w:rPr>
          <w:rFonts w:ascii="Verdana" w:eastAsia="Verdana" w:hAnsi="Verdana" w:cs="Verdana"/>
          <w:color w:val="000000" w:themeColor="text1"/>
          <w:sz w:val="24"/>
          <w:szCs w:val="24"/>
        </w:rPr>
        <w:t>s</w:t>
      </w:r>
      <w:r w:rsidR="5EEC317F" w:rsidRPr="009A730B">
        <w:rPr>
          <w:rFonts w:ascii="Verdana" w:eastAsia="Verdana" w:hAnsi="Verdana" w:cs="Verdana"/>
          <w:color w:val="000000" w:themeColor="text1"/>
          <w:sz w:val="24"/>
          <w:szCs w:val="24"/>
        </w:rPr>
        <w:t xml:space="preserve"> from the Recovery and Sustainability Board</w:t>
      </w:r>
      <w:r w:rsidR="611268D8" w:rsidRPr="009A730B">
        <w:rPr>
          <w:rFonts w:ascii="Verdana" w:eastAsia="Verdana" w:hAnsi="Verdana" w:cs="Verdana"/>
          <w:color w:val="000000" w:themeColor="text1"/>
          <w:sz w:val="24"/>
          <w:szCs w:val="24"/>
        </w:rPr>
        <w:t>;</w:t>
      </w:r>
      <w:r w:rsidR="41E9DEEE" w:rsidRPr="009A730B">
        <w:rPr>
          <w:rFonts w:ascii="Verdana" w:eastAsia="Verdana" w:hAnsi="Verdana" w:cs="Verdana"/>
          <w:color w:val="000000" w:themeColor="text1"/>
          <w:sz w:val="24"/>
          <w:szCs w:val="24"/>
        </w:rPr>
        <w:t xml:space="preserve"> in the latter part of the year these meetings </w:t>
      </w:r>
      <w:r w:rsidR="3C76E287" w:rsidRPr="009A730B">
        <w:rPr>
          <w:rFonts w:ascii="Verdana" w:eastAsia="Verdana" w:hAnsi="Verdana" w:cs="Verdana"/>
          <w:color w:val="000000" w:themeColor="text1"/>
          <w:sz w:val="24"/>
          <w:szCs w:val="24"/>
        </w:rPr>
        <w:t>were attended by the Health Board’s delivery partner</w:t>
      </w:r>
      <w:r w:rsidR="5EEC317F" w:rsidRPr="009A730B">
        <w:rPr>
          <w:rFonts w:ascii="Verdana" w:eastAsia="Verdana" w:hAnsi="Verdana" w:cs="Verdana"/>
          <w:color w:val="000000" w:themeColor="text1"/>
          <w:sz w:val="24"/>
          <w:szCs w:val="24"/>
        </w:rPr>
        <w:t xml:space="preserve">. </w:t>
      </w:r>
      <w:r w:rsidR="549A511F" w:rsidRPr="009A730B">
        <w:rPr>
          <w:rFonts w:ascii="Verdana" w:eastAsia="Verdana" w:hAnsi="Verdana" w:cs="Verdana"/>
          <w:color w:val="000000" w:themeColor="text1"/>
          <w:sz w:val="24"/>
          <w:szCs w:val="24"/>
        </w:rPr>
        <w:t xml:space="preserve">The Committee provided </w:t>
      </w:r>
      <w:r w:rsidR="741B8564" w:rsidRPr="009A730B">
        <w:rPr>
          <w:rFonts w:ascii="Verdana" w:eastAsia="Verdana" w:hAnsi="Verdana" w:cs="Verdana"/>
          <w:color w:val="000000" w:themeColor="text1"/>
          <w:sz w:val="24"/>
          <w:szCs w:val="24"/>
        </w:rPr>
        <w:t>verbal updates to the Board at each meeting with detailed information included in the Key Issues Report.</w:t>
      </w:r>
    </w:p>
    <w:p w14:paraId="31C5AF9F" w14:textId="254E194B" w:rsidR="51F4664D" w:rsidRPr="009A730B" w:rsidRDefault="51F4664D" w:rsidP="00ED06C5">
      <w:pPr>
        <w:spacing w:after="0" w:line="240" w:lineRule="auto"/>
        <w:jc w:val="both"/>
        <w:rPr>
          <w:rFonts w:ascii="Verdana" w:eastAsia="Verdana" w:hAnsi="Verdana" w:cs="Verdana"/>
          <w:color w:val="000000" w:themeColor="text1"/>
          <w:sz w:val="24"/>
          <w:szCs w:val="24"/>
        </w:rPr>
      </w:pPr>
    </w:p>
    <w:p w14:paraId="49F23C98" w14:textId="35E4FE29" w:rsidR="51F4664D" w:rsidRPr="009A730B" w:rsidRDefault="3662F971" w:rsidP="00C2615D">
      <w:pPr>
        <w:pStyle w:val="ListParagraph"/>
        <w:numPr>
          <w:ilvl w:val="2"/>
          <w:numId w:val="22"/>
        </w:numPr>
        <w:spacing w:after="0" w:line="276" w:lineRule="auto"/>
        <w:jc w:val="both"/>
        <w:rPr>
          <w:rFonts w:ascii="Verdana" w:eastAsia="Verdana" w:hAnsi="Verdana" w:cs="Verdana"/>
          <w:color w:val="000000" w:themeColor="text1"/>
          <w:sz w:val="24"/>
          <w:szCs w:val="24"/>
        </w:rPr>
      </w:pPr>
      <w:r w:rsidRPr="009A730B">
        <w:rPr>
          <w:rFonts w:ascii="Verdana" w:eastAsia="Verdana" w:hAnsi="Verdana" w:cs="Verdana"/>
          <w:b/>
          <w:bCs/>
          <w:color w:val="000000" w:themeColor="text1"/>
          <w:sz w:val="24"/>
          <w:szCs w:val="24"/>
        </w:rPr>
        <w:t>Service Group Financial Position</w:t>
      </w:r>
    </w:p>
    <w:p w14:paraId="12AA6560" w14:textId="2A18D56B" w:rsidR="15282ABD" w:rsidRPr="009A730B" w:rsidRDefault="15282ABD" w:rsidP="00ED06C5">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The Committee received quarterly reports on the financial performance of each Service Group;</w:t>
      </w:r>
    </w:p>
    <w:p w14:paraId="2E477DE8" w14:textId="4F78203F" w:rsidR="51F4664D" w:rsidRPr="009A730B" w:rsidRDefault="51F4664D" w:rsidP="00ED06C5">
      <w:pPr>
        <w:spacing w:after="0" w:line="240" w:lineRule="auto"/>
        <w:jc w:val="both"/>
        <w:rPr>
          <w:rFonts w:ascii="Verdana" w:eastAsia="Verdana" w:hAnsi="Verdana" w:cs="Verdana"/>
          <w:color w:val="000000" w:themeColor="text1"/>
          <w:sz w:val="24"/>
          <w:szCs w:val="24"/>
        </w:rPr>
      </w:pPr>
    </w:p>
    <w:p w14:paraId="342E6E24" w14:textId="711CDEF4" w:rsidR="15282ABD" w:rsidRPr="009A730B" w:rsidRDefault="15282ABD" w:rsidP="00C2615D">
      <w:pPr>
        <w:pStyle w:val="ListParagraph"/>
        <w:numPr>
          <w:ilvl w:val="0"/>
          <w:numId w:val="48"/>
        </w:num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Neath Port Talbot/Singleton;</w:t>
      </w:r>
    </w:p>
    <w:p w14:paraId="4F267B7E" w14:textId="1C003DB3" w:rsidR="15282ABD" w:rsidRPr="009A730B" w:rsidRDefault="15282ABD" w:rsidP="00C2615D">
      <w:pPr>
        <w:pStyle w:val="ListParagraph"/>
        <w:numPr>
          <w:ilvl w:val="0"/>
          <w:numId w:val="48"/>
        </w:num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Morriston;</w:t>
      </w:r>
    </w:p>
    <w:p w14:paraId="0418B36D" w14:textId="2E53C6D9" w:rsidR="15282ABD" w:rsidRPr="009A730B" w:rsidRDefault="15282ABD" w:rsidP="00C2615D">
      <w:pPr>
        <w:pStyle w:val="ListParagraph"/>
        <w:numPr>
          <w:ilvl w:val="0"/>
          <w:numId w:val="48"/>
        </w:num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Mental Health and Learning Disabilities;</w:t>
      </w:r>
    </w:p>
    <w:p w14:paraId="6EB24EF5" w14:textId="1487D363" w:rsidR="15282ABD" w:rsidRPr="009A730B" w:rsidRDefault="15282ABD" w:rsidP="00C2615D">
      <w:pPr>
        <w:pStyle w:val="ListParagraph"/>
        <w:numPr>
          <w:ilvl w:val="0"/>
          <w:numId w:val="50"/>
        </w:num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lastRenderedPageBreak/>
        <w:t xml:space="preserve">Primary, Community Care and Therapies. </w:t>
      </w:r>
    </w:p>
    <w:p w14:paraId="160CCCF5" w14:textId="3EE24125" w:rsidR="51F4664D" w:rsidRPr="009A730B" w:rsidRDefault="51F4664D" w:rsidP="00ED06C5">
      <w:pPr>
        <w:pStyle w:val="ListParagraph"/>
        <w:spacing w:after="0" w:line="240" w:lineRule="auto"/>
        <w:jc w:val="both"/>
        <w:rPr>
          <w:rFonts w:ascii="Verdana" w:eastAsia="Verdana" w:hAnsi="Verdana" w:cs="Verdana"/>
          <w:color w:val="000000" w:themeColor="text1"/>
          <w:sz w:val="24"/>
          <w:szCs w:val="24"/>
        </w:rPr>
      </w:pPr>
    </w:p>
    <w:p w14:paraId="4CC7F28F" w14:textId="66EA2284" w:rsidR="15282ABD" w:rsidRPr="009A730B" w:rsidRDefault="15282ABD" w:rsidP="00ED06C5">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These reports provided detailed analysis of the in‑year revenue position, key expenditure drivers supported by narrative explanation, and performance against agreed savings targets, including actions and next steps to support delivery.</w:t>
      </w:r>
    </w:p>
    <w:p w14:paraId="767C3BCE" w14:textId="08D87C11" w:rsidR="51F4664D" w:rsidRPr="009A730B" w:rsidRDefault="51F4664D" w:rsidP="00ED06C5">
      <w:pPr>
        <w:spacing w:after="0" w:line="240" w:lineRule="auto"/>
        <w:jc w:val="both"/>
        <w:rPr>
          <w:rFonts w:ascii="Verdana" w:eastAsia="Verdana" w:hAnsi="Verdana" w:cs="Verdana"/>
          <w:color w:val="000000" w:themeColor="text1"/>
          <w:sz w:val="24"/>
          <w:szCs w:val="24"/>
        </w:rPr>
      </w:pPr>
    </w:p>
    <w:p w14:paraId="35183B17" w14:textId="4D1A1313" w:rsidR="15282ABD" w:rsidRPr="009A730B" w:rsidRDefault="6252B346" w:rsidP="00ED06C5">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The reports also set out the principal financial risks and opportunities facing each Service Group, together with mitigating actions. This information enabled the Committee to maintain oversight of the actions being taken by Service Groups to address financial challenges and to support improvement in financial performance.</w:t>
      </w:r>
    </w:p>
    <w:p w14:paraId="39737527" w14:textId="694C6029" w:rsidR="3EC4081A" w:rsidRPr="009A730B" w:rsidRDefault="3EC4081A" w:rsidP="00ED06C5">
      <w:pPr>
        <w:spacing w:after="0" w:line="240" w:lineRule="auto"/>
        <w:jc w:val="both"/>
        <w:rPr>
          <w:rFonts w:ascii="Verdana" w:eastAsia="Verdana" w:hAnsi="Verdana" w:cs="Verdana"/>
          <w:color w:val="000000" w:themeColor="text1"/>
          <w:sz w:val="24"/>
          <w:szCs w:val="24"/>
        </w:rPr>
      </w:pPr>
    </w:p>
    <w:p w14:paraId="4FD5EF6F" w14:textId="39F6AD03" w:rsidR="2F1EBCF0" w:rsidRPr="009A730B" w:rsidRDefault="2F1EBCF0" w:rsidP="00ED06C5">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Updates on Service Group financial position, issues and risks were provided to the Board through the Key Issues Reporting</w:t>
      </w:r>
      <w:r w:rsidR="62ACAA2C" w:rsidRPr="009A730B">
        <w:rPr>
          <w:rFonts w:ascii="Verdana" w:eastAsia="Verdana" w:hAnsi="Verdana" w:cs="Verdana"/>
          <w:color w:val="000000" w:themeColor="text1"/>
          <w:sz w:val="24"/>
          <w:szCs w:val="24"/>
        </w:rPr>
        <w:t xml:space="preserve"> process.</w:t>
      </w:r>
    </w:p>
    <w:p w14:paraId="0A9DCC37" w14:textId="0ED5C799" w:rsidR="5BF70B2B" w:rsidRPr="009A730B" w:rsidRDefault="5BF70B2B" w:rsidP="6D8E5F83">
      <w:pPr>
        <w:spacing w:after="0" w:line="276" w:lineRule="auto"/>
        <w:jc w:val="both"/>
        <w:rPr>
          <w:rFonts w:ascii="Verdana" w:eastAsia="Verdana" w:hAnsi="Verdana" w:cs="Verdana"/>
          <w:color w:val="000000" w:themeColor="text1"/>
          <w:sz w:val="24"/>
          <w:szCs w:val="24"/>
        </w:rPr>
      </w:pPr>
    </w:p>
    <w:p w14:paraId="5D9B48D5" w14:textId="443F0F9F" w:rsidR="51F4664D" w:rsidRPr="009A730B" w:rsidRDefault="5BF70B2B" w:rsidP="00C2615D">
      <w:pPr>
        <w:pStyle w:val="ListParagraph"/>
        <w:numPr>
          <w:ilvl w:val="2"/>
          <w:numId w:val="22"/>
        </w:numPr>
        <w:spacing w:after="0" w:line="276" w:lineRule="auto"/>
        <w:jc w:val="both"/>
        <w:rPr>
          <w:rFonts w:ascii="Verdana" w:eastAsia="Verdana" w:hAnsi="Verdana" w:cs="Verdana"/>
          <w:b/>
          <w:bCs/>
          <w:color w:val="000000" w:themeColor="text1"/>
          <w:sz w:val="24"/>
          <w:szCs w:val="24"/>
        </w:rPr>
      </w:pPr>
      <w:r w:rsidRPr="009A730B">
        <w:rPr>
          <w:rFonts w:ascii="Verdana" w:eastAsia="Verdana" w:hAnsi="Verdana" w:cs="Verdana"/>
          <w:b/>
          <w:bCs/>
          <w:color w:val="000000" w:themeColor="text1"/>
          <w:sz w:val="24"/>
          <w:szCs w:val="24"/>
        </w:rPr>
        <w:t xml:space="preserve">Recovery and Sustainability </w:t>
      </w:r>
    </w:p>
    <w:p w14:paraId="638832FA" w14:textId="00F90017" w:rsidR="6F2B4365" w:rsidRPr="009A730B" w:rsidRDefault="1066DF3C" w:rsidP="00ED06C5">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The Committee received regular updates on the Recovery and Sustainability Programme throughout the year. These updates provided oversight of savings delivery, variable pay management, and the actions being taken to support financial recovery. The reports enabled the Committee to maintain ongoing scrutiny of progress against agreed recovery plans and to monitor emerging risks to financial sustainability.</w:t>
      </w:r>
    </w:p>
    <w:p w14:paraId="1D3AA94E" w14:textId="4E8613A2" w:rsidR="00C45197" w:rsidRPr="009A730B" w:rsidRDefault="00C45197" w:rsidP="51F4664D">
      <w:pPr>
        <w:spacing w:after="0" w:line="276" w:lineRule="auto"/>
        <w:jc w:val="both"/>
        <w:rPr>
          <w:rFonts w:ascii="Verdana" w:eastAsia="Verdana" w:hAnsi="Verdana" w:cs="Verdana"/>
          <w:b/>
          <w:bCs/>
          <w:color w:val="000000" w:themeColor="text1"/>
          <w:sz w:val="24"/>
          <w:szCs w:val="24"/>
        </w:rPr>
      </w:pPr>
    </w:p>
    <w:p w14:paraId="5CF09D6E" w14:textId="6CAE5811" w:rsidR="000E3BB5" w:rsidRPr="009A730B" w:rsidRDefault="2AB39F1B" w:rsidP="00C2615D">
      <w:pPr>
        <w:pStyle w:val="ListParagraph"/>
        <w:numPr>
          <w:ilvl w:val="2"/>
          <w:numId w:val="22"/>
        </w:numPr>
        <w:spacing w:after="0" w:line="276" w:lineRule="auto"/>
        <w:jc w:val="both"/>
        <w:rPr>
          <w:rFonts w:ascii="Verdana" w:eastAsia="Verdana" w:hAnsi="Verdana" w:cs="Verdana"/>
          <w:b/>
          <w:bCs/>
          <w:color w:val="000000" w:themeColor="text1"/>
          <w:sz w:val="24"/>
          <w:szCs w:val="24"/>
        </w:rPr>
      </w:pPr>
      <w:r w:rsidRPr="009A730B">
        <w:rPr>
          <w:rFonts w:ascii="Verdana" w:eastAsia="Verdana" w:hAnsi="Verdana" w:cs="Verdana"/>
          <w:b/>
          <w:bCs/>
          <w:color w:val="000000" w:themeColor="text1"/>
          <w:sz w:val="24"/>
          <w:szCs w:val="24"/>
        </w:rPr>
        <w:t>Capital Updates</w:t>
      </w:r>
      <w:r w:rsidR="1B7A0253" w:rsidRPr="009A730B">
        <w:rPr>
          <w:rFonts w:ascii="Verdana" w:eastAsia="Verdana" w:hAnsi="Verdana" w:cs="Verdana"/>
          <w:b/>
          <w:bCs/>
          <w:color w:val="000000" w:themeColor="text1"/>
          <w:sz w:val="24"/>
          <w:szCs w:val="24"/>
        </w:rPr>
        <w:t>/Capital Resource Plan 2026-27</w:t>
      </w:r>
    </w:p>
    <w:p w14:paraId="1E77C8E2" w14:textId="46262157" w:rsidR="1B7A0253" w:rsidRPr="009A730B" w:rsidRDefault="54C6D49F" w:rsidP="00ED06C5">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Quarterly capital updates were received, providing detailed analysis of the Health Board’s capital programme performance. The reports also set out the impact of emerging risks and opportunities on the projected 202</w:t>
      </w:r>
      <w:r w:rsidR="6DC23AE7" w:rsidRPr="009A730B">
        <w:rPr>
          <w:rFonts w:ascii="Verdana" w:eastAsia="Verdana" w:hAnsi="Verdana" w:cs="Verdana"/>
          <w:color w:val="000000" w:themeColor="text1"/>
          <w:sz w:val="24"/>
          <w:szCs w:val="24"/>
        </w:rPr>
        <w:t>5</w:t>
      </w:r>
      <w:r w:rsidRPr="009A730B">
        <w:rPr>
          <w:rFonts w:ascii="Verdana" w:eastAsia="Verdana" w:hAnsi="Verdana" w:cs="Verdana"/>
          <w:color w:val="000000" w:themeColor="text1"/>
          <w:sz w:val="24"/>
          <w:szCs w:val="24"/>
        </w:rPr>
        <w:t>/2</w:t>
      </w:r>
      <w:r w:rsidR="469640A4" w:rsidRPr="009A730B">
        <w:rPr>
          <w:rFonts w:ascii="Verdana" w:eastAsia="Verdana" w:hAnsi="Verdana" w:cs="Verdana"/>
          <w:color w:val="000000" w:themeColor="text1"/>
          <w:sz w:val="24"/>
          <w:szCs w:val="24"/>
        </w:rPr>
        <w:t>6</w:t>
      </w:r>
      <w:r w:rsidRPr="009A730B">
        <w:rPr>
          <w:rFonts w:ascii="Verdana" w:eastAsia="Verdana" w:hAnsi="Verdana" w:cs="Verdana"/>
          <w:color w:val="000000" w:themeColor="text1"/>
          <w:sz w:val="24"/>
          <w:szCs w:val="24"/>
        </w:rPr>
        <w:t xml:space="preserve"> outturn position, supporting effective oversight and financial planning</w:t>
      </w:r>
    </w:p>
    <w:p w14:paraId="4E1F410F" w14:textId="710FE5AA" w:rsidR="51F4664D" w:rsidRPr="009A730B" w:rsidRDefault="51F4664D" w:rsidP="00ED06C5">
      <w:pPr>
        <w:spacing w:after="0" w:line="240" w:lineRule="auto"/>
        <w:jc w:val="both"/>
        <w:rPr>
          <w:rFonts w:ascii="Verdana" w:eastAsia="Verdana" w:hAnsi="Verdana" w:cs="Verdana"/>
          <w:color w:val="000000" w:themeColor="text1"/>
          <w:sz w:val="24"/>
          <w:szCs w:val="24"/>
        </w:rPr>
      </w:pPr>
    </w:p>
    <w:p w14:paraId="3EC83BA2" w14:textId="4EC38642" w:rsidR="000E3BB5" w:rsidRPr="009A730B" w:rsidRDefault="1B7A0253" w:rsidP="00ED06C5">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During 2025/26, the Committee received regular updates on the Capital Resource Plan, with reports considered in June, October and November 2025, and January 2026. These reports supported the Committee’s oversight of capital investment priorities and affordability. In January 2026, the Committee also received the Draft Capital Resource Plan 2026–27, providing early sight of proposed capital priorities for the forthcoming financial year.</w:t>
      </w:r>
    </w:p>
    <w:p w14:paraId="0AACD511" w14:textId="146EBF7D" w:rsidR="000E3BB5" w:rsidRPr="009A730B" w:rsidRDefault="51DD0B32" w:rsidP="00C2615D">
      <w:pPr>
        <w:pStyle w:val="ListParagraph"/>
        <w:numPr>
          <w:ilvl w:val="2"/>
          <w:numId w:val="22"/>
        </w:numPr>
        <w:spacing w:before="240" w:after="0" w:line="276" w:lineRule="auto"/>
        <w:jc w:val="both"/>
        <w:rPr>
          <w:rFonts w:ascii="Verdana" w:eastAsia="Verdana" w:hAnsi="Verdana" w:cs="Verdana"/>
          <w:color w:val="000000" w:themeColor="text1"/>
          <w:sz w:val="24"/>
          <w:szCs w:val="24"/>
        </w:rPr>
      </w:pPr>
      <w:r w:rsidRPr="009A730B">
        <w:rPr>
          <w:rFonts w:ascii="Verdana" w:eastAsia="Verdana" w:hAnsi="Verdana" w:cs="Verdana"/>
          <w:b/>
          <w:bCs/>
          <w:color w:val="000000" w:themeColor="text1"/>
          <w:sz w:val="24"/>
          <w:szCs w:val="24"/>
        </w:rPr>
        <w:t xml:space="preserve">Dan Y Deri Development </w:t>
      </w:r>
    </w:p>
    <w:p w14:paraId="40C5AAAE" w14:textId="34BEBF11" w:rsidR="000E3BB5" w:rsidRPr="009A730B" w:rsidRDefault="51DD0B32" w:rsidP="00ED06C5">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In June 2025, the Committee received a report on the Dan‑y‑Deri Development. The report set out the Business Justification Case for the redevelopment of the Dan‑y‑Deri Challenging Behaviour Unit, noting that the existing estate was no longer fit for purpose.</w:t>
      </w:r>
    </w:p>
    <w:p w14:paraId="33DF65E0" w14:textId="77777777" w:rsidR="00ED06C5" w:rsidRPr="009A730B" w:rsidRDefault="00ED06C5" w:rsidP="00ED06C5">
      <w:pPr>
        <w:spacing w:after="0" w:line="240" w:lineRule="auto"/>
        <w:jc w:val="both"/>
        <w:rPr>
          <w:rFonts w:ascii="Verdana" w:eastAsia="Verdana" w:hAnsi="Verdana" w:cs="Verdana"/>
          <w:color w:val="000000" w:themeColor="text1"/>
          <w:sz w:val="24"/>
          <w:szCs w:val="24"/>
        </w:rPr>
      </w:pPr>
    </w:p>
    <w:p w14:paraId="3C9010F6" w14:textId="50C85166" w:rsidR="6D8E5F83" w:rsidRPr="009A730B" w:rsidRDefault="51DD0B32" w:rsidP="00ED06C5">
      <w:pPr>
        <w:spacing w:after="24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 xml:space="preserve">The Committee considered the proposed new build development and approved the procurement outcome and award of the construction contract, </w:t>
      </w:r>
      <w:r w:rsidRPr="009A730B">
        <w:rPr>
          <w:rFonts w:ascii="Verdana" w:eastAsia="Verdana" w:hAnsi="Verdana" w:cs="Verdana"/>
          <w:color w:val="000000" w:themeColor="text1"/>
          <w:sz w:val="24"/>
          <w:szCs w:val="24"/>
        </w:rPr>
        <w:lastRenderedPageBreak/>
        <w:t>supporting the progression of a fit‑for‑purpose facility to meet the needs of individuals with complex learning disabilities and behaviours that challenge.</w:t>
      </w:r>
    </w:p>
    <w:p w14:paraId="756B6FE2" w14:textId="78D1F517" w:rsidR="000E3BB5" w:rsidRPr="009A730B" w:rsidRDefault="08820BBA" w:rsidP="00C2615D">
      <w:pPr>
        <w:pStyle w:val="ListParagraph"/>
        <w:numPr>
          <w:ilvl w:val="2"/>
          <w:numId w:val="22"/>
        </w:numPr>
        <w:spacing w:after="0" w:line="276" w:lineRule="auto"/>
        <w:jc w:val="both"/>
        <w:rPr>
          <w:rFonts w:ascii="Verdana" w:eastAsia="Verdana" w:hAnsi="Verdana" w:cs="Verdana"/>
          <w:b/>
          <w:bCs/>
          <w:color w:val="000000" w:themeColor="text1"/>
          <w:sz w:val="24"/>
          <w:szCs w:val="24"/>
        </w:rPr>
      </w:pPr>
      <w:r w:rsidRPr="009A730B">
        <w:rPr>
          <w:rFonts w:ascii="Verdana" w:eastAsia="Verdana" w:hAnsi="Verdana" w:cs="Verdana"/>
          <w:b/>
          <w:bCs/>
          <w:color w:val="000000" w:themeColor="text1"/>
          <w:sz w:val="24"/>
          <w:szCs w:val="24"/>
        </w:rPr>
        <w:t>Taith Newydd Capital Case</w:t>
      </w:r>
    </w:p>
    <w:p w14:paraId="3C976BC3" w14:textId="1AAA70F4" w:rsidR="000E3BB5" w:rsidRPr="009A730B" w:rsidRDefault="08820BBA" w:rsidP="00ED06C5">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In September 2025, the Committee received the Taith Newydd Capital Case. The report set out the proposed options to reinstate ward accommodation following a fire at the Taith Newydd site, noting the impact on patient placement and associated revenue pressures.</w:t>
      </w:r>
    </w:p>
    <w:p w14:paraId="39B71E54" w14:textId="08E991C5" w:rsidR="000E3BB5" w:rsidRPr="009A730B" w:rsidRDefault="000E3BB5" w:rsidP="00ED06C5">
      <w:pPr>
        <w:spacing w:after="0" w:line="240" w:lineRule="auto"/>
        <w:jc w:val="both"/>
        <w:rPr>
          <w:rFonts w:ascii="Verdana" w:eastAsia="Verdana" w:hAnsi="Verdana" w:cs="Verdana"/>
          <w:color w:val="000000" w:themeColor="text1"/>
          <w:sz w:val="24"/>
          <w:szCs w:val="24"/>
        </w:rPr>
      </w:pPr>
    </w:p>
    <w:p w14:paraId="1C8A9288" w14:textId="32C4111D" w:rsidR="000E3BB5" w:rsidRPr="009A730B" w:rsidRDefault="08820BBA" w:rsidP="00ED06C5">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The Committee considered the preferred option, which balanced patient safety and cost considerations, avoided further revenue pressures, and was supported by the Welsh Government, subject to formal approval of funding.</w:t>
      </w:r>
    </w:p>
    <w:p w14:paraId="3B6E7D3E" w14:textId="02C0E3AE" w:rsidR="000E3BB5" w:rsidRPr="009A730B" w:rsidRDefault="000E3BB5" w:rsidP="51F4664D">
      <w:pPr>
        <w:spacing w:after="0" w:line="276" w:lineRule="auto"/>
        <w:jc w:val="both"/>
        <w:rPr>
          <w:rFonts w:ascii="Verdana" w:eastAsia="Verdana" w:hAnsi="Verdana" w:cs="Verdana"/>
          <w:color w:val="000000" w:themeColor="text1"/>
          <w:sz w:val="24"/>
          <w:szCs w:val="24"/>
        </w:rPr>
      </w:pPr>
    </w:p>
    <w:p w14:paraId="70D2B862" w14:textId="712FA802" w:rsidR="7700199D" w:rsidRPr="009A730B" w:rsidRDefault="7700199D" w:rsidP="00C2615D">
      <w:pPr>
        <w:pStyle w:val="ListParagraph"/>
        <w:numPr>
          <w:ilvl w:val="2"/>
          <w:numId w:val="22"/>
        </w:numPr>
        <w:spacing w:after="0" w:line="276" w:lineRule="auto"/>
        <w:jc w:val="both"/>
        <w:rPr>
          <w:rFonts w:ascii="Verdana" w:eastAsia="Verdana" w:hAnsi="Verdana" w:cs="Verdana"/>
          <w:b/>
          <w:bCs/>
          <w:color w:val="000000" w:themeColor="text1"/>
          <w:sz w:val="24"/>
          <w:szCs w:val="24"/>
        </w:rPr>
      </w:pPr>
      <w:r w:rsidRPr="009A730B">
        <w:rPr>
          <w:rFonts w:ascii="Verdana" w:eastAsia="Verdana" w:hAnsi="Verdana" w:cs="Verdana"/>
          <w:b/>
          <w:bCs/>
          <w:color w:val="000000" w:themeColor="text1"/>
          <w:sz w:val="24"/>
          <w:szCs w:val="24"/>
        </w:rPr>
        <w:t>Planned External Commissioning and Contract Approvals (July 2025)</w:t>
      </w:r>
    </w:p>
    <w:p w14:paraId="4F45D4F8" w14:textId="5DE8A15F" w:rsidR="7700199D" w:rsidRPr="009A730B" w:rsidRDefault="7700199D" w:rsidP="6D8E5F83">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 xml:space="preserve">During July 2025, the Committee considered several </w:t>
      </w:r>
      <w:r w:rsidRPr="009A730B">
        <w:rPr>
          <w:rFonts w:ascii="Verdana" w:eastAsia="Verdana" w:hAnsi="Verdana" w:cs="Verdana"/>
          <w:b/>
          <w:bCs/>
          <w:color w:val="000000" w:themeColor="text1"/>
          <w:sz w:val="24"/>
          <w:szCs w:val="24"/>
        </w:rPr>
        <w:t>planned external commissioning proposals</w:t>
      </w:r>
      <w:r w:rsidRPr="009A730B">
        <w:rPr>
          <w:rFonts w:ascii="Verdana" w:eastAsia="Verdana" w:hAnsi="Verdana" w:cs="Verdana"/>
          <w:color w:val="000000" w:themeColor="text1"/>
          <w:sz w:val="24"/>
          <w:szCs w:val="24"/>
        </w:rPr>
        <w:t xml:space="preserve"> and </w:t>
      </w:r>
      <w:r w:rsidRPr="009A730B">
        <w:rPr>
          <w:rFonts w:ascii="Verdana" w:eastAsia="Verdana" w:hAnsi="Verdana" w:cs="Verdana"/>
          <w:b/>
          <w:bCs/>
          <w:color w:val="000000" w:themeColor="text1"/>
          <w:sz w:val="24"/>
          <w:szCs w:val="24"/>
        </w:rPr>
        <w:t>contract approvals,</w:t>
      </w:r>
      <w:r w:rsidRPr="009A730B">
        <w:rPr>
          <w:rFonts w:ascii="Verdana" w:eastAsia="Verdana" w:hAnsi="Verdana" w:cs="Verdana"/>
          <w:color w:val="000000" w:themeColor="text1"/>
          <w:sz w:val="24"/>
          <w:szCs w:val="24"/>
        </w:rPr>
        <w:t xml:space="preserve"> including:</w:t>
      </w:r>
    </w:p>
    <w:p w14:paraId="64D03D17" w14:textId="3D47C96A" w:rsidR="51F4664D" w:rsidRPr="009A730B" w:rsidRDefault="51F4664D" w:rsidP="51F4664D">
      <w:pPr>
        <w:spacing w:after="0" w:line="240" w:lineRule="auto"/>
        <w:jc w:val="both"/>
        <w:rPr>
          <w:rFonts w:ascii="Verdana" w:eastAsia="Verdana" w:hAnsi="Verdana" w:cs="Verdana"/>
          <w:color w:val="000000" w:themeColor="text1"/>
          <w:sz w:val="24"/>
          <w:szCs w:val="24"/>
        </w:rPr>
      </w:pPr>
    </w:p>
    <w:p w14:paraId="1ED506C3" w14:textId="49C8F6D7" w:rsidR="7700199D" w:rsidRPr="009A730B" w:rsidRDefault="7700199D" w:rsidP="00C2615D">
      <w:pPr>
        <w:pStyle w:val="ListParagraph"/>
        <w:numPr>
          <w:ilvl w:val="0"/>
          <w:numId w:val="49"/>
        </w:num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Planned External Commissioning of Insourcing Outpatient Activity</w:t>
      </w:r>
      <w:r w:rsidR="65013664" w:rsidRPr="009A730B">
        <w:rPr>
          <w:rFonts w:ascii="Verdana" w:eastAsia="Verdana" w:hAnsi="Verdana" w:cs="Verdana"/>
          <w:color w:val="000000" w:themeColor="text1"/>
          <w:sz w:val="24"/>
          <w:szCs w:val="24"/>
        </w:rPr>
        <w:t>;</w:t>
      </w:r>
    </w:p>
    <w:p w14:paraId="77EDADF3" w14:textId="597D8E1F" w:rsidR="7700199D" w:rsidRPr="009A730B" w:rsidRDefault="7700199D" w:rsidP="00C2615D">
      <w:pPr>
        <w:pStyle w:val="ListParagraph"/>
        <w:numPr>
          <w:ilvl w:val="0"/>
          <w:numId w:val="49"/>
        </w:num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Planned External Commissioning of a Mobile Endoscopy Service</w:t>
      </w:r>
      <w:r w:rsidR="49D27BE1" w:rsidRPr="009A730B">
        <w:rPr>
          <w:rFonts w:ascii="Verdana" w:eastAsia="Verdana" w:hAnsi="Verdana" w:cs="Verdana"/>
          <w:color w:val="000000" w:themeColor="text1"/>
          <w:sz w:val="24"/>
          <w:szCs w:val="24"/>
        </w:rPr>
        <w:t>;</w:t>
      </w:r>
    </w:p>
    <w:p w14:paraId="55EFE597" w14:textId="0F1EA17B" w:rsidR="7700199D" w:rsidRPr="009A730B" w:rsidRDefault="7700199D" w:rsidP="00C2615D">
      <w:pPr>
        <w:pStyle w:val="ListParagraph"/>
        <w:numPr>
          <w:ilvl w:val="0"/>
          <w:numId w:val="49"/>
        </w:num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Contract for Atrial Fibrillation Ablation (Cryoablation)</w:t>
      </w:r>
      <w:r w:rsidR="047BD414" w:rsidRPr="009A730B">
        <w:rPr>
          <w:rFonts w:ascii="Verdana" w:eastAsia="Verdana" w:hAnsi="Verdana" w:cs="Verdana"/>
          <w:color w:val="000000" w:themeColor="text1"/>
          <w:sz w:val="24"/>
          <w:szCs w:val="24"/>
        </w:rPr>
        <w:t>;</w:t>
      </w:r>
    </w:p>
    <w:p w14:paraId="744C36BF" w14:textId="785B73D3" w:rsidR="7700199D" w:rsidRPr="009A730B" w:rsidRDefault="7700199D" w:rsidP="00C2615D">
      <w:pPr>
        <w:pStyle w:val="ListParagraph"/>
        <w:numPr>
          <w:ilvl w:val="0"/>
          <w:numId w:val="49"/>
        </w:num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Planned External Commissioning of Insourcing and Outsourcing</w:t>
      </w:r>
      <w:r w:rsidR="0AAF1689" w:rsidRPr="009A730B">
        <w:rPr>
          <w:rFonts w:ascii="Verdana" w:eastAsia="Verdana" w:hAnsi="Verdana" w:cs="Verdana"/>
          <w:color w:val="000000" w:themeColor="text1"/>
          <w:sz w:val="24"/>
          <w:szCs w:val="24"/>
        </w:rPr>
        <w:t>;</w:t>
      </w:r>
      <w:r w:rsidRPr="009A730B">
        <w:rPr>
          <w:rFonts w:ascii="Verdana" w:eastAsia="Verdana" w:hAnsi="Verdana" w:cs="Verdana"/>
          <w:color w:val="000000" w:themeColor="text1"/>
          <w:sz w:val="24"/>
          <w:szCs w:val="24"/>
        </w:rPr>
        <w:t xml:space="preserve"> Surgical and Diagnostic Activity</w:t>
      </w:r>
      <w:r w:rsidR="66A49B83" w:rsidRPr="009A730B">
        <w:rPr>
          <w:rFonts w:ascii="Verdana" w:eastAsia="Verdana" w:hAnsi="Verdana" w:cs="Verdana"/>
          <w:color w:val="000000" w:themeColor="text1"/>
          <w:sz w:val="24"/>
          <w:szCs w:val="24"/>
        </w:rPr>
        <w:t>.</w:t>
      </w:r>
    </w:p>
    <w:p w14:paraId="6D10C17D" w14:textId="1BD68B4A" w:rsidR="51F4664D" w:rsidRPr="009A730B" w:rsidRDefault="51F4664D" w:rsidP="51F4664D">
      <w:pPr>
        <w:spacing w:after="0" w:line="240" w:lineRule="auto"/>
        <w:jc w:val="both"/>
        <w:rPr>
          <w:rFonts w:ascii="Verdana" w:eastAsia="Verdana" w:hAnsi="Verdana" w:cs="Verdana"/>
          <w:color w:val="000000" w:themeColor="text1"/>
          <w:sz w:val="24"/>
          <w:szCs w:val="24"/>
        </w:rPr>
      </w:pPr>
    </w:p>
    <w:p w14:paraId="4CEBCA37" w14:textId="71C32690" w:rsidR="000E3BB5" w:rsidRPr="009A730B" w:rsidRDefault="7700199D" w:rsidP="51F4664D">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In July 2025, the Committee considered a range of finance‑led proposals relating to planned external commissioning and contract approvals, including insourcing outpatient activity, commissioning of a mobile endoscopy service, atrial fibrillation ablation (cryoablation), and the insourcing and outsourcing of surgical and diagnostic activity.</w:t>
      </w:r>
    </w:p>
    <w:p w14:paraId="2543DF0D" w14:textId="257123C0" w:rsidR="000E3BB5" w:rsidRPr="009A730B" w:rsidRDefault="000E3BB5" w:rsidP="51F4664D">
      <w:pPr>
        <w:spacing w:after="0" w:line="240" w:lineRule="auto"/>
        <w:jc w:val="both"/>
        <w:rPr>
          <w:rFonts w:ascii="Verdana" w:eastAsia="Verdana" w:hAnsi="Verdana" w:cs="Verdana"/>
          <w:b/>
          <w:bCs/>
          <w:color w:val="000000" w:themeColor="text1"/>
          <w:sz w:val="24"/>
          <w:szCs w:val="24"/>
        </w:rPr>
      </w:pPr>
    </w:p>
    <w:p w14:paraId="3051BF7C" w14:textId="5F74EB6A" w:rsidR="000E3BB5" w:rsidRPr="009A730B" w:rsidRDefault="000E3BB5" w:rsidP="51F4664D">
      <w:pPr>
        <w:spacing w:after="0" w:line="240" w:lineRule="auto"/>
        <w:jc w:val="both"/>
        <w:rPr>
          <w:rFonts w:ascii="Verdana" w:eastAsia="Verdana" w:hAnsi="Verdana" w:cs="Verdana"/>
          <w:b/>
          <w:bCs/>
          <w:color w:val="000000" w:themeColor="text1"/>
          <w:sz w:val="24"/>
          <w:szCs w:val="24"/>
        </w:rPr>
      </w:pPr>
    </w:p>
    <w:p w14:paraId="429FB7AC" w14:textId="021EAC5B" w:rsidR="000E3BB5" w:rsidRPr="009A730B" w:rsidRDefault="2B3E8660" w:rsidP="00C2615D">
      <w:pPr>
        <w:pStyle w:val="ListParagraph"/>
        <w:numPr>
          <w:ilvl w:val="1"/>
          <w:numId w:val="22"/>
        </w:numPr>
        <w:spacing w:after="0" w:line="276" w:lineRule="auto"/>
        <w:jc w:val="both"/>
        <w:rPr>
          <w:rFonts w:ascii="Verdana" w:eastAsia="Verdana" w:hAnsi="Verdana" w:cs="Verdana"/>
          <w:b/>
          <w:bCs/>
          <w:color w:val="000000" w:themeColor="text1"/>
          <w:sz w:val="24"/>
          <w:szCs w:val="24"/>
          <w:u w:val="single"/>
        </w:rPr>
      </w:pPr>
      <w:r w:rsidRPr="009A730B">
        <w:rPr>
          <w:rFonts w:ascii="Verdana" w:eastAsia="Verdana" w:hAnsi="Verdana" w:cs="Verdana"/>
          <w:b/>
          <w:bCs/>
          <w:color w:val="000000" w:themeColor="text1"/>
          <w:sz w:val="24"/>
          <w:szCs w:val="24"/>
          <w:u w:val="single"/>
        </w:rPr>
        <w:t xml:space="preserve">Medicines </w:t>
      </w:r>
      <w:r w:rsidR="06A2033A" w:rsidRPr="009A730B">
        <w:rPr>
          <w:rFonts w:ascii="Verdana" w:eastAsia="Verdana" w:hAnsi="Verdana" w:cs="Verdana"/>
          <w:b/>
          <w:bCs/>
          <w:color w:val="000000" w:themeColor="text1"/>
          <w:sz w:val="24"/>
          <w:szCs w:val="24"/>
          <w:u w:val="single"/>
        </w:rPr>
        <w:t xml:space="preserve">Management </w:t>
      </w:r>
    </w:p>
    <w:p w14:paraId="382DCCA6" w14:textId="1710D4F1" w:rsidR="6F2B4365" w:rsidRPr="009A730B" w:rsidRDefault="06A2033A" w:rsidP="00245C80">
      <w:pPr>
        <w:spacing w:after="0" w:line="240" w:lineRule="auto"/>
        <w:ind w:right="96"/>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The Committee received Medicine Management Performance Updates during the year, including updates in July 2025 and February 2026. These reports provided assurance on prescribing performance, delivery of the Medicines Management savings plan, and compliance with national value and sustainability priorities.</w:t>
      </w:r>
    </w:p>
    <w:p w14:paraId="4F826C7E" w14:textId="77777777" w:rsidR="00A34769" w:rsidRPr="009A730B" w:rsidRDefault="00A34769" w:rsidP="51F4664D">
      <w:pPr>
        <w:spacing w:after="0" w:line="276" w:lineRule="auto"/>
        <w:ind w:right="96"/>
        <w:jc w:val="both"/>
        <w:rPr>
          <w:rFonts w:ascii="Verdana" w:eastAsia="Verdana" w:hAnsi="Verdana" w:cs="Verdana"/>
          <w:color w:val="000000" w:themeColor="text1"/>
          <w:sz w:val="24"/>
          <w:szCs w:val="24"/>
        </w:rPr>
      </w:pPr>
    </w:p>
    <w:p w14:paraId="774816E4" w14:textId="451B73BA" w:rsidR="00A34769" w:rsidRPr="009A730B" w:rsidRDefault="00A34769" w:rsidP="6D8E5F83">
      <w:pPr>
        <w:spacing w:after="0" w:line="276" w:lineRule="auto"/>
        <w:ind w:right="96"/>
        <w:jc w:val="both"/>
        <w:rPr>
          <w:rFonts w:ascii="Verdana" w:eastAsia="Verdana" w:hAnsi="Verdana" w:cs="Verdana"/>
          <w:color w:val="000000" w:themeColor="text1"/>
          <w:sz w:val="24"/>
          <w:szCs w:val="24"/>
        </w:rPr>
      </w:pPr>
    </w:p>
    <w:p w14:paraId="5B1FD4A4" w14:textId="41CFF574" w:rsidR="009067E6" w:rsidRPr="009A730B" w:rsidRDefault="00BB17CD" w:rsidP="51F4664D">
      <w:pPr>
        <w:spacing w:after="0" w:line="276" w:lineRule="auto"/>
        <w:ind w:right="96"/>
        <w:jc w:val="both"/>
        <w:rPr>
          <w:rFonts w:ascii="Verdana" w:eastAsia="Verdana" w:hAnsi="Verdana" w:cs="Verdana"/>
          <w:b/>
          <w:bCs/>
          <w:color w:val="000000" w:themeColor="text1"/>
          <w:sz w:val="24"/>
          <w:szCs w:val="24"/>
          <w:u w:val="single"/>
        </w:rPr>
      </w:pPr>
      <w:r w:rsidRPr="009A730B">
        <w:rPr>
          <w:rFonts w:ascii="Verdana" w:eastAsia="Verdana" w:hAnsi="Verdana" w:cs="Verdana"/>
          <w:b/>
          <w:bCs/>
          <w:color w:val="000000" w:themeColor="text1"/>
          <w:sz w:val="24"/>
          <w:szCs w:val="24"/>
          <w:u w:val="single"/>
        </w:rPr>
        <w:t xml:space="preserve">2.6 </w:t>
      </w:r>
      <w:r w:rsidRPr="009A730B">
        <w:tab/>
      </w:r>
      <w:r w:rsidR="547537D2" w:rsidRPr="009A730B">
        <w:rPr>
          <w:rFonts w:ascii="Verdana" w:eastAsia="Verdana" w:hAnsi="Verdana" w:cs="Verdana"/>
          <w:b/>
          <w:bCs/>
          <w:color w:val="000000" w:themeColor="text1"/>
          <w:sz w:val="24"/>
          <w:szCs w:val="24"/>
          <w:u w:val="single"/>
        </w:rPr>
        <w:t>Estates</w:t>
      </w:r>
    </w:p>
    <w:p w14:paraId="0FB51116" w14:textId="2CF98495" w:rsidR="009067E6" w:rsidRPr="009A730B" w:rsidRDefault="0467DBB5" w:rsidP="00BB17CD">
      <w:pPr>
        <w:spacing w:after="0" w:line="240" w:lineRule="auto"/>
        <w:ind w:right="96"/>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The Committee received quarterly updates on estates matters. The updates included several key items for review.</w:t>
      </w:r>
    </w:p>
    <w:p w14:paraId="7A538624" w14:textId="4B630C15" w:rsidR="009067E6" w:rsidRPr="009A730B" w:rsidRDefault="04F8F327" w:rsidP="00C2615D">
      <w:pPr>
        <w:pStyle w:val="ListParagraph"/>
        <w:numPr>
          <w:ilvl w:val="0"/>
          <w:numId w:val="55"/>
        </w:numPr>
        <w:spacing w:before="240" w:after="24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Estates Strategy</w:t>
      </w:r>
      <w:r w:rsidR="797563F4" w:rsidRPr="009A730B">
        <w:rPr>
          <w:rFonts w:ascii="Verdana" w:eastAsia="Verdana" w:hAnsi="Verdana" w:cs="Verdana"/>
          <w:color w:val="000000" w:themeColor="text1"/>
          <w:sz w:val="24"/>
          <w:szCs w:val="24"/>
        </w:rPr>
        <w:t>;</w:t>
      </w:r>
    </w:p>
    <w:p w14:paraId="3D1D2234" w14:textId="6D841156" w:rsidR="2E18D5D3" w:rsidRPr="009A730B" w:rsidRDefault="2E18D5D3" w:rsidP="00C2615D">
      <w:pPr>
        <w:pStyle w:val="ListParagraph"/>
        <w:numPr>
          <w:ilvl w:val="0"/>
          <w:numId w:val="55"/>
        </w:numPr>
        <w:spacing w:before="240" w:after="24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Operational Estates update;</w:t>
      </w:r>
    </w:p>
    <w:p w14:paraId="53B4E460" w14:textId="2BA08039" w:rsidR="2B2C0ACA" w:rsidRPr="009A730B" w:rsidRDefault="2B2C0ACA" w:rsidP="00C2615D">
      <w:pPr>
        <w:pStyle w:val="ListParagraph"/>
        <w:numPr>
          <w:ilvl w:val="0"/>
          <w:numId w:val="55"/>
        </w:numPr>
        <w:spacing w:before="240" w:after="24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Further detail of Cefn Coed Hospital location and decision;</w:t>
      </w:r>
    </w:p>
    <w:p w14:paraId="213A7EF3" w14:textId="55E8B5D4" w:rsidR="572B7EF7" w:rsidRPr="009A730B" w:rsidRDefault="572B7EF7" w:rsidP="00C2615D">
      <w:pPr>
        <w:pStyle w:val="ListParagraph"/>
        <w:numPr>
          <w:ilvl w:val="0"/>
          <w:numId w:val="56"/>
        </w:numPr>
        <w:spacing w:before="240" w:after="24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lastRenderedPageBreak/>
        <w:t>Capital and Estates Taskforce Group Key Issue report;</w:t>
      </w:r>
    </w:p>
    <w:p w14:paraId="089ADD87" w14:textId="2D94F766" w:rsidR="009067E6" w:rsidRPr="009A730B" w:rsidRDefault="04F8F327" w:rsidP="00C2615D">
      <w:pPr>
        <w:pStyle w:val="ListParagraph"/>
        <w:numPr>
          <w:ilvl w:val="0"/>
          <w:numId w:val="56"/>
        </w:numPr>
        <w:spacing w:before="240" w:after="24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Estates Priority Plan</w:t>
      </w:r>
      <w:r w:rsidR="0C622E99" w:rsidRPr="009A730B">
        <w:rPr>
          <w:rFonts w:ascii="Verdana" w:eastAsia="Verdana" w:hAnsi="Verdana" w:cs="Verdana"/>
          <w:color w:val="000000" w:themeColor="text1"/>
          <w:sz w:val="24"/>
          <w:szCs w:val="24"/>
        </w:rPr>
        <w:t>.</w:t>
      </w:r>
    </w:p>
    <w:p w14:paraId="3DBA0286" w14:textId="119E3EC9" w:rsidR="009067E6" w:rsidRPr="009A730B" w:rsidRDefault="1D8C572E" w:rsidP="00BB17CD">
      <w:pPr>
        <w:spacing w:after="0" w:line="240" w:lineRule="auto"/>
        <w:ind w:right="96"/>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These documents set out the strategic direction and prioritised actions for the continued development and optimisation of the Health Board’s estate.</w:t>
      </w:r>
      <w:r w:rsidR="7C80B9E5" w:rsidRPr="009A730B">
        <w:rPr>
          <w:rFonts w:ascii="Verdana" w:eastAsia="Verdana" w:hAnsi="Verdana" w:cs="Verdana"/>
          <w:color w:val="000000" w:themeColor="text1"/>
          <w:sz w:val="24"/>
          <w:szCs w:val="24"/>
        </w:rPr>
        <w:t xml:space="preserve"> The Committee escalated key Estates operational issues and risks to the Board </w:t>
      </w:r>
      <w:r w:rsidR="41F245BA" w:rsidRPr="009A730B">
        <w:rPr>
          <w:rFonts w:ascii="Verdana" w:eastAsia="Verdana" w:hAnsi="Verdana" w:cs="Verdana"/>
          <w:color w:val="000000" w:themeColor="text1"/>
          <w:sz w:val="24"/>
          <w:szCs w:val="24"/>
        </w:rPr>
        <w:t>through the Key Issues Reporting process in October 2025.</w:t>
      </w:r>
    </w:p>
    <w:p w14:paraId="5EA7FF4C" w14:textId="1C687A37" w:rsidR="51F4664D" w:rsidRPr="009A730B" w:rsidRDefault="51F4664D" w:rsidP="51F4664D">
      <w:pPr>
        <w:spacing w:after="0" w:line="276" w:lineRule="auto"/>
        <w:ind w:right="96"/>
        <w:jc w:val="both"/>
        <w:rPr>
          <w:rFonts w:ascii="Verdana" w:eastAsia="Verdana" w:hAnsi="Verdana" w:cs="Verdana"/>
          <w:color w:val="000000" w:themeColor="text1"/>
          <w:sz w:val="24"/>
          <w:szCs w:val="24"/>
        </w:rPr>
      </w:pPr>
    </w:p>
    <w:p w14:paraId="170F429F" w14:textId="1101CE56" w:rsidR="51F4664D" w:rsidRPr="00AE6330" w:rsidRDefault="00BB17CD" w:rsidP="51F4664D">
      <w:pPr>
        <w:spacing w:after="0" w:line="276" w:lineRule="auto"/>
        <w:ind w:right="96"/>
        <w:jc w:val="both"/>
        <w:rPr>
          <w:rFonts w:ascii="Verdana" w:eastAsia="Verdana" w:hAnsi="Verdana" w:cs="Verdana"/>
          <w:b/>
          <w:bCs/>
          <w:color w:val="000000" w:themeColor="text1"/>
          <w:sz w:val="24"/>
          <w:szCs w:val="24"/>
        </w:rPr>
      </w:pPr>
      <w:r w:rsidRPr="00AE6330">
        <w:rPr>
          <w:rFonts w:ascii="Verdana" w:eastAsia="Verdana" w:hAnsi="Verdana" w:cs="Verdana"/>
          <w:b/>
          <w:bCs/>
          <w:color w:val="000000" w:themeColor="text1"/>
          <w:sz w:val="24"/>
          <w:szCs w:val="24"/>
        </w:rPr>
        <w:t xml:space="preserve">2.7 </w:t>
      </w:r>
      <w:r w:rsidR="00972579" w:rsidRPr="00AE6330">
        <w:rPr>
          <w:rFonts w:ascii="Verdana" w:eastAsia="Verdana" w:hAnsi="Verdana" w:cs="Verdana"/>
          <w:b/>
          <w:bCs/>
          <w:color w:val="000000" w:themeColor="text1"/>
          <w:sz w:val="24"/>
          <w:szCs w:val="24"/>
        </w:rPr>
        <w:t xml:space="preserve">Governance </w:t>
      </w:r>
    </w:p>
    <w:p w14:paraId="2AC7B126" w14:textId="1D24B01E" w:rsidR="00854313" w:rsidRPr="009A730B" w:rsidRDefault="00C45197" w:rsidP="6D8E5F83">
      <w:pPr>
        <w:pStyle w:val="StyleOutlinenumberedArialOutlinenumberedArial11Outli"/>
        <w:numPr>
          <w:ilvl w:val="0"/>
          <w:numId w:val="0"/>
        </w:numPr>
        <w:spacing w:line="276" w:lineRule="auto"/>
        <w:jc w:val="both"/>
        <w:rPr>
          <w:rFonts w:ascii="Verdana" w:eastAsia="Verdana" w:hAnsi="Verdana" w:cs="Verdana"/>
          <w:color w:val="000000" w:themeColor="text1"/>
        </w:rPr>
      </w:pPr>
      <w:r w:rsidRPr="009A730B">
        <w:rPr>
          <w:rFonts w:ascii="Verdana" w:eastAsia="Verdana" w:hAnsi="Verdana" w:cs="Verdana"/>
          <w:color w:val="000000" w:themeColor="text1"/>
        </w:rPr>
        <w:t xml:space="preserve">Items </w:t>
      </w:r>
      <w:r w:rsidR="00A60EB3" w:rsidRPr="009A730B">
        <w:rPr>
          <w:rFonts w:ascii="Verdana" w:eastAsia="Verdana" w:hAnsi="Verdana" w:cs="Verdana"/>
          <w:color w:val="000000" w:themeColor="text1"/>
        </w:rPr>
        <w:t>received to</w:t>
      </w:r>
      <w:r w:rsidR="00A21C51" w:rsidRPr="009A730B">
        <w:rPr>
          <w:rFonts w:ascii="Verdana" w:eastAsia="Verdana" w:hAnsi="Verdana" w:cs="Verdana"/>
          <w:color w:val="000000" w:themeColor="text1"/>
        </w:rPr>
        <w:t xml:space="preserve"> the</w:t>
      </w:r>
      <w:r w:rsidR="00A60EB3" w:rsidRPr="009A730B">
        <w:rPr>
          <w:rFonts w:ascii="Verdana" w:eastAsia="Verdana" w:hAnsi="Verdana" w:cs="Verdana"/>
          <w:color w:val="000000" w:themeColor="text1"/>
        </w:rPr>
        <w:t xml:space="preserve"> </w:t>
      </w:r>
      <w:r w:rsidR="16E3BAF0" w:rsidRPr="009A730B">
        <w:rPr>
          <w:rFonts w:ascii="Verdana" w:eastAsia="Verdana" w:hAnsi="Verdana" w:cs="Verdana"/>
          <w:color w:val="000000" w:themeColor="text1"/>
        </w:rPr>
        <w:t>C</w:t>
      </w:r>
      <w:r w:rsidR="00A60EB3" w:rsidRPr="009A730B">
        <w:rPr>
          <w:rFonts w:ascii="Verdana" w:eastAsia="Verdana" w:hAnsi="Verdana" w:cs="Verdana"/>
          <w:color w:val="000000" w:themeColor="text1"/>
        </w:rPr>
        <w:t>ommittee for n</w:t>
      </w:r>
      <w:r w:rsidR="00854313" w:rsidRPr="009A730B">
        <w:rPr>
          <w:rFonts w:ascii="Verdana" w:eastAsia="Verdana" w:hAnsi="Verdana" w:cs="Verdana"/>
          <w:color w:val="000000" w:themeColor="text1"/>
        </w:rPr>
        <w:t xml:space="preserve">oting </w:t>
      </w:r>
    </w:p>
    <w:p w14:paraId="29DB0815" w14:textId="3B81D234" w:rsidR="55ABC045" w:rsidRPr="009A730B" w:rsidRDefault="1F6688D4" w:rsidP="00C2615D">
      <w:pPr>
        <w:pStyle w:val="StyleOutlinenumberedArialOutlinenumberedArial11Outli"/>
        <w:numPr>
          <w:ilvl w:val="0"/>
          <w:numId w:val="47"/>
        </w:numPr>
        <w:jc w:val="both"/>
        <w:rPr>
          <w:rFonts w:ascii="Verdana" w:eastAsia="Verdana" w:hAnsi="Verdana" w:cs="Verdana"/>
          <w:b w:val="0"/>
          <w:bCs w:val="0"/>
          <w:color w:val="000000" w:themeColor="text1"/>
        </w:rPr>
      </w:pPr>
      <w:r w:rsidRPr="009A730B">
        <w:rPr>
          <w:rFonts w:ascii="Verdana" w:eastAsia="Verdana" w:hAnsi="Verdana" w:cs="Verdana"/>
          <w:b w:val="0"/>
          <w:bCs w:val="0"/>
          <w:color w:val="000000" w:themeColor="text1"/>
        </w:rPr>
        <w:t xml:space="preserve">Monthly financial monitoring return letters; </w:t>
      </w:r>
    </w:p>
    <w:p w14:paraId="76443551" w14:textId="6FA947D0" w:rsidR="55ABC045" w:rsidRPr="009A730B" w:rsidRDefault="000E3BB5" w:rsidP="00C2615D">
      <w:pPr>
        <w:pStyle w:val="StyleOutlinenumberedArialOutlinenumberedArial11Outli"/>
        <w:numPr>
          <w:ilvl w:val="0"/>
          <w:numId w:val="47"/>
        </w:numPr>
        <w:jc w:val="both"/>
        <w:rPr>
          <w:rFonts w:ascii="Verdana" w:eastAsia="Verdana" w:hAnsi="Verdana" w:cs="Verdana"/>
          <w:b w:val="0"/>
          <w:bCs w:val="0"/>
          <w:color w:val="000000" w:themeColor="text1"/>
        </w:rPr>
      </w:pPr>
      <w:r w:rsidRPr="009A730B">
        <w:rPr>
          <w:rFonts w:ascii="Verdana" w:eastAsia="Verdana" w:hAnsi="Verdana" w:cs="Verdana"/>
          <w:b w:val="0"/>
          <w:bCs w:val="0"/>
          <w:color w:val="000000" w:themeColor="text1"/>
        </w:rPr>
        <w:t>Committee self-assessment</w:t>
      </w:r>
      <w:r w:rsidR="55ABC045" w:rsidRPr="009A730B">
        <w:rPr>
          <w:rFonts w:ascii="Verdana" w:eastAsia="Verdana" w:hAnsi="Verdana" w:cs="Verdana"/>
          <w:b w:val="0"/>
          <w:bCs w:val="0"/>
          <w:color w:val="000000" w:themeColor="text1"/>
        </w:rPr>
        <w:t>;</w:t>
      </w:r>
    </w:p>
    <w:p w14:paraId="2FE70C47" w14:textId="7D2C22CC" w:rsidR="55ABC045" w:rsidRPr="009A730B" w:rsidRDefault="1D27F185" w:rsidP="00C2615D">
      <w:pPr>
        <w:pStyle w:val="StyleOutlinenumberedArialOutlinenumberedArial11Outli"/>
        <w:numPr>
          <w:ilvl w:val="0"/>
          <w:numId w:val="47"/>
        </w:numPr>
        <w:jc w:val="both"/>
        <w:rPr>
          <w:rFonts w:ascii="Verdana" w:eastAsia="Verdana" w:hAnsi="Verdana" w:cs="Verdana"/>
          <w:b w:val="0"/>
          <w:bCs w:val="0"/>
          <w:color w:val="000000" w:themeColor="text1"/>
        </w:rPr>
      </w:pPr>
      <w:r w:rsidRPr="009A730B">
        <w:rPr>
          <w:rFonts w:ascii="Verdana" w:eastAsia="Verdana" w:hAnsi="Verdana" w:cs="Verdana"/>
          <w:b w:val="0"/>
          <w:bCs w:val="0"/>
          <w:color w:val="000000" w:themeColor="text1"/>
        </w:rPr>
        <w:t>Joint Commissioning Committee (JCC) Planning, Performance and</w:t>
      </w:r>
    </w:p>
    <w:p w14:paraId="569844AD" w14:textId="0CA98653" w:rsidR="00BB17CD" w:rsidRPr="009A730B" w:rsidRDefault="1D27F185" w:rsidP="00C2615D">
      <w:pPr>
        <w:pStyle w:val="StyleOutlinenumberedArialOutlinenumberedArial11Outli"/>
        <w:numPr>
          <w:ilvl w:val="0"/>
          <w:numId w:val="47"/>
        </w:numPr>
        <w:jc w:val="both"/>
        <w:rPr>
          <w:rFonts w:ascii="Verdana" w:eastAsia="Verdana" w:hAnsi="Verdana" w:cs="Verdana"/>
          <w:b w:val="0"/>
          <w:bCs w:val="0"/>
          <w:color w:val="000000" w:themeColor="text1"/>
        </w:rPr>
      </w:pPr>
      <w:r w:rsidRPr="009A730B">
        <w:rPr>
          <w:rFonts w:ascii="Verdana" w:eastAsia="Verdana" w:hAnsi="Verdana" w:cs="Verdana"/>
          <w:b w:val="0"/>
          <w:bCs w:val="0"/>
          <w:color w:val="000000" w:themeColor="text1"/>
        </w:rPr>
        <w:t>Finance sub-committee Highlight Report;</w:t>
      </w:r>
    </w:p>
    <w:p w14:paraId="44DE09F0" w14:textId="287D8FB5" w:rsidR="55ABC045" w:rsidRPr="009A730B" w:rsidRDefault="41C17538" w:rsidP="00C2615D">
      <w:pPr>
        <w:pStyle w:val="StyleOutlinenumberedArialOutlinenumberedArial11Outli"/>
        <w:numPr>
          <w:ilvl w:val="0"/>
          <w:numId w:val="47"/>
        </w:numPr>
        <w:jc w:val="both"/>
        <w:rPr>
          <w:rFonts w:ascii="Verdana" w:eastAsia="Verdana" w:hAnsi="Verdana" w:cs="Verdana"/>
          <w:b w:val="0"/>
          <w:bCs w:val="0"/>
          <w:color w:val="000000" w:themeColor="text1"/>
        </w:rPr>
      </w:pPr>
      <w:r w:rsidRPr="009A730B">
        <w:rPr>
          <w:rFonts w:ascii="Verdana" w:eastAsia="Verdana" w:hAnsi="Verdana" w:cs="Verdana"/>
          <w:b w:val="0"/>
          <w:bCs w:val="0"/>
          <w:color w:val="000000" w:themeColor="text1"/>
        </w:rPr>
        <w:t>Capital and Estates Task and Finish Group update minutes;</w:t>
      </w:r>
    </w:p>
    <w:p w14:paraId="4382CD37" w14:textId="7AD4314A" w:rsidR="55ABC045" w:rsidRPr="009A730B" w:rsidRDefault="55ABC045" w:rsidP="00C2615D">
      <w:pPr>
        <w:pStyle w:val="StyleOutlinenumberedArialOutlinenumberedArial11Outli"/>
        <w:numPr>
          <w:ilvl w:val="0"/>
          <w:numId w:val="47"/>
        </w:numPr>
        <w:jc w:val="both"/>
        <w:rPr>
          <w:rFonts w:ascii="Verdana" w:eastAsia="Verdana" w:hAnsi="Verdana" w:cs="Verdana"/>
          <w:b w:val="0"/>
          <w:bCs w:val="0"/>
          <w:color w:val="000000" w:themeColor="text1"/>
        </w:rPr>
      </w:pPr>
      <w:r w:rsidRPr="009A730B">
        <w:rPr>
          <w:rFonts w:ascii="Verdana" w:eastAsia="Verdana" w:hAnsi="Verdana" w:cs="Verdana"/>
          <w:b w:val="0"/>
          <w:bCs w:val="0"/>
          <w:color w:val="000000" w:themeColor="text1"/>
        </w:rPr>
        <w:t>NHS performance framework for 2026-27</w:t>
      </w:r>
      <w:r w:rsidR="62D7428B" w:rsidRPr="009A730B">
        <w:rPr>
          <w:rFonts w:ascii="Verdana" w:eastAsia="Verdana" w:hAnsi="Verdana" w:cs="Verdana"/>
          <w:b w:val="0"/>
          <w:bCs w:val="0"/>
          <w:color w:val="000000" w:themeColor="text1"/>
        </w:rPr>
        <w:t>.</w:t>
      </w:r>
    </w:p>
    <w:p w14:paraId="70214B05" w14:textId="5589C3A3" w:rsidR="00F150F9" w:rsidRPr="009A730B" w:rsidRDefault="004F2037" w:rsidP="00B54DF8">
      <w:pPr>
        <w:spacing w:after="0" w:line="240" w:lineRule="auto"/>
        <w:jc w:val="center"/>
        <w:rPr>
          <w:rFonts w:ascii="Verdana" w:hAnsi="Verdana" w:cs="Arial"/>
          <w:b/>
          <w:bCs/>
          <w:sz w:val="24"/>
          <w:szCs w:val="24"/>
          <w:u w:val="single"/>
        </w:rPr>
      </w:pPr>
      <w:r w:rsidRPr="009A730B">
        <w:rPr>
          <w:rFonts w:ascii="Verdana" w:hAnsi="Verdana" w:cs="Arial"/>
          <w:b/>
          <w:bCs/>
          <w:sz w:val="24"/>
          <w:szCs w:val="24"/>
          <w:u w:val="single"/>
        </w:rPr>
        <w:br w:type="page"/>
      </w:r>
      <w:r w:rsidR="49AF60A1" w:rsidRPr="009A730B">
        <w:rPr>
          <w:rFonts w:ascii="Verdana" w:hAnsi="Verdana" w:cs="Arial"/>
          <w:b/>
          <w:bCs/>
          <w:sz w:val="24"/>
          <w:szCs w:val="24"/>
          <w:u w:val="single"/>
        </w:rPr>
        <w:lastRenderedPageBreak/>
        <w:t>Section 3</w:t>
      </w:r>
    </w:p>
    <w:p w14:paraId="68FEE746" w14:textId="7B5E95D2" w:rsidR="00E606D5" w:rsidRPr="009A730B" w:rsidRDefault="4D6C642D" w:rsidP="6D8E5F83">
      <w:pPr>
        <w:widowControl w:val="0"/>
        <w:autoSpaceDE w:val="0"/>
        <w:autoSpaceDN w:val="0"/>
        <w:spacing w:after="0" w:line="240" w:lineRule="auto"/>
        <w:contextualSpacing/>
        <w:jc w:val="center"/>
        <w:rPr>
          <w:rFonts w:ascii="Verdana" w:hAnsi="Verdana" w:cs="Arial"/>
          <w:b/>
          <w:bCs/>
          <w:color w:val="5B9BD5" w:themeColor="accent1"/>
          <w:sz w:val="24"/>
          <w:szCs w:val="24"/>
          <w:u w:val="single"/>
        </w:rPr>
      </w:pPr>
      <w:r w:rsidRPr="009A730B">
        <w:rPr>
          <w:rFonts w:ascii="Verdana" w:hAnsi="Verdana" w:cs="Arial"/>
          <w:b/>
          <w:bCs/>
          <w:sz w:val="24"/>
          <w:szCs w:val="24"/>
          <w:u w:val="single"/>
        </w:rPr>
        <w:t>Audit Committee</w:t>
      </w:r>
    </w:p>
    <w:p w14:paraId="01B64FF0" w14:textId="16EFCD75" w:rsidR="00E606D5" w:rsidRPr="009A730B" w:rsidRDefault="00E606D5" w:rsidP="6F2B4365">
      <w:pPr>
        <w:widowControl w:val="0"/>
        <w:autoSpaceDE w:val="0"/>
        <w:autoSpaceDN w:val="0"/>
        <w:spacing w:after="0" w:line="240" w:lineRule="auto"/>
        <w:contextualSpacing/>
        <w:rPr>
          <w:rFonts w:ascii="Verdana" w:hAnsi="Verdana" w:cs="Arial"/>
          <w:b/>
          <w:bCs/>
          <w:sz w:val="24"/>
          <w:szCs w:val="24"/>
          <w:u w:val="single"/>
        </w:rPr>
      </w:pPr>
    </w:p>
    <w:p w14:paraId="2460C723" w14:textId="2A974A06" w:rsidR="45A6712F" w:rsidRPr="009A730B" w:rsidRDefault="45A6712F" w:rsidP="4C39ED56">
      <w:pPr>
        <w:widowControl w:val="0"/>
        <w:spacing w:before="240" w:after="240" w:line="240" w:lineRule="auto"/>
        <w:contextualSpacing/>
        <w:jc w:val="both"/>
      </w:pPr>
      <w:r w:rsidRPr="009A730B">
        <w:rPr>
          <w:rFonts w:ascii="Verdana" w:eastAsia="Verdana" w:hAnsi="Verdana" w:cs="Verdana"/>
          <w:sz w:val="24"/>
          <w:szCs w:val="24"/>
        </w:rPr>
        <w:t>The Audit Committee plays a vital role in supporting the Board’s overall Assurance Framework, including the preparation of the Annual Governance Statement. It provides independent advice and assurance on the effectiveness of the Health Board’s Strategic Governance, Risk Management, and Internal Control Systems.</w:t>
      </w:r>
    </w:p>
    <w:p w14:paraId="23E244CE" w14:textId="06EAE1A9" w:rsidR="4C39ED56" w:rsidRPr="009A730B" w:rsidRDefault="4C39ED56" w:rsidP="4C39ED56">
      <w:pPr>
        <w:widowControl w:val="0"/>
        <w:spacing w:before="240" w:after="240" w:line="240" w:lineRule="auto"/>
        <w:contextualSpacing/>
        <w:jc w:val="both"/>
        <w:rPr>
          <w:rFonts w:ascii="Verdana" w:eastAsia="Verdana" w:hAnsi="Verdana" w:cs="Verdana"/>
          <w:b/>
          <w:bCs/>
          <w:sz w:val="24"/>
          <w:szCs w:val="24"/>
        </w:rPr>
      </w:pPr>
    </w:p>
    <w:p w14:paraId="24020C22" w14:textId="40C52CF4" w:rsidR="752D1518" w:rsidRPr="009A730B" w:rsidRDefault="752D1518" w:rsidP="6D8E5F83">
      <w:pPr>
        <w:spacing w:before="240" w:after="240" w:line="240" w:lineRule="auto"/>
        <w:contextualSpacing/>
        <w:jc w:val="both"/>
        <w:rPr>
          <w:rFonts w:ascii="Verdana" w:eastAsia="Verdana" w:hAnsi="Verdana" w:cs="Verdana"/>
          <w:sz w:val="24"/>
          <w:szCs w:val="24"/>
        </w:rPr>
      </w:pPr>
      <w:r w:rsidRPr="009A730B">
        <w:rPr>
          <w:rFonts w:ascii="Verdana" w:eastAsia="Verdana" w:hAnsi="Verdana" w:cs="Verdana"/>
          <w:sz w:val="24"/>
          <w:szCs w:val="24"/>
        </w:rPr>
        <w:t>During the 2025/2026 reporting period, the Audit Committee undertook a comprehensive programme of work to support the Board in discharging its responsibilities for effective governance, robust risk management, and sound financial stewardship. Key areas of activity included:</w:t>
      </w:r>
    </w:p>
    <w:p w14:paraId="354779E6" w14:textId="4411A8A8" w:rsidR="6D8E5F83" w:rsidRPr="009A730B" w:rsidRDefault="6D8E5F83" w:rsidP="6D8E5F83">
      <w:pPr>
        <w:spacing w:before="240" w:after="240" w:line="240" w:lineRule="auto"/>
        <w:contextualSpacing/>
        <w:jc w:val="both"/>
        <w:rPr>
          <w:rFonts w:ascii="Verdana" w:eastAsia="Verdana" w:hAnsi="Verdana" w:cs="Verdana"/>
          <w:sz w:val="24"/>
          <w:szCs w:val="24"/>
        </w:rPr>
      </w:pPr>
    </w:p>
    <w:p w14:paraId="37DD4315" w14:textId="22F3267E" w:rsidR="6D6AD44C" w:rsidRPr="009A730B" w:rsidRDefault="6D6AD44C" w:rsidP="00C2615D">
      <w:pPr>
        <w:numPr>
          <w:ilvl w:val="0"/>
          <w:numId w:val="9"/>
        </w:numPr>
        <w:spacing w:before="240" w:after="240" w:line="240" w:lineRule="auto"/>
        <w:contextualSpacing/>
        <w:jc w:val="both"/>
        <w:rPr>
          <w:rFonts w:ascii="Verdana" w:eastAsia="Verdana" w:hAnsi="Verdana" w:cs="Verdana"/>
          <w:sz w:val="24"/>
          <w:szCs w:val="24"/>
        </w:rPr>
      </w:pPr>
      <w:r w:rsidRPr="009A730B">
        <w:rPr>
          <w:rFonts w:ascii="Verdana" w:eastAsia="Verdana" w:hAnsi="Verdana" w:cs="Verdana"/>
          <w:b/>
          <w:bCs/>
          <w:sz w:val="24"/>
          <w:szCs w:val="24"/>
        </w:rPr>
        <w:t>Governance and Internal Control</w:t>
      </w:r>
      <w:r w:rsidRPr="009A730B">
        <w:rPr>
          <w:rFonts w:ascii="Verdana" w:eastAsia="Verdana" w:hAnsi="Verdana" w:cs="Verdana"/>
          <w:sz w:val="24"/>
          <w:szCs w:val="24"/>
        </w:rPr>
        <w:t xml:space="preserve"> – Maintaining oversight of the system of internal control to support effective governance, accountability, and compliance across the Health Board.</w:t>
      </w:r>
    </w:p>
    <w:p w14:paraId="3247D82A" w14:textId="122A48E8" w:rsidR="6D6AD44C" w:rsidRPr="009A730B" w:rsidRDefault="6D6AD44C" w:rsidP="00C2615D">
      <w:pPr>
        <w:numPr>
          <w:ilvl w:val="0"/>
          <w:numId w:val="9"/>
        </w:numPr>
        <w:spacing w:before="240" w:after="240" w:line="240" w:lineRule="auto"/>
        <w:contextualSpacing/>
        <w:jc w:val="both"/>
        <w:rPr>
          <w:rFonts w:ascii="Verdana" w:eastAsia="Verdana" w:hAnsi="Verdana" w:cs="Verdana"/>
          <w:sz w:val="24"/>
          <w:szCs w:val="24"/>
        </w:rPr>
      </w:pPr>
      <w:r w:rsidRPr="009A730B">
        <w:rPr>
          <w:rFonts w:ascii="Verdana" w:eastAsia="Verdana" w:hAnsi="Verdana" w:cs="Verdana"/>
          <w:b/>
          <w:bCs/>
          <w:sz w:val="24"/>
          <w:szCs w:val="24"/>
        </w:rPr>
        <w:t>Financial Stewardship and Controls</w:t>
      </w:r>
      <w:r w:rsidRPr="009A730B">
        <w:rPr>
          <w:rFonts w:ascii="Verdana" w:eastAsia="Verdana" w:hAnsi="Verdana" w:cs="Verdana"/>
          <w:sz w:val="24"/>
          <w:szCs w:val="24"/>
        </w:rPr>
        <w:t xml:space="preserve"> – Scrutinising financial performance, savings delivery, and the effectiveness of financial systems and control arrangements, with a continued focus on financial sustainability and risk mitigation.</w:t>
      </w:r>
    </w:p>
    <w:p w14:paraId="2A9000E3" w14:textId="6F8408AE" w:rsidR="6D6AD44C" w:rsidRPr="009A730B" w:rsidRDefault="6D6AD44C" w:rsidP="00C2615D">
      <w:pPr>
        <w:numPr>
          <w:ilvl w:val="0"/>
          <w:numId w:val="9"/>
        </w:numPr>
        <w:spacing w:before="240" w:after="240" w:line="240" w:lineRule="auto"/>
        <w:contextualSpacing/>
        <w:jc w:val="both"/>
        <w:rPr>
          <w:rFonts w:ascii="Verdana" w:eastAsia="Verdana" w:hAnsi="Verdana" w:cs="Verdana"/>
          <w:sz w:val="24"/>
          <w:szCs w:val="24"/>
        </w:rPr>
      </w:pPr>
      <w:r w:rsidRPr="009A730B">
        <w:rPr>
          <w:rFonts w:ascii="Verdana" w:eastAsia="Verdana" w:hAnsi="Verdana" w:cs="Verdana"/>
          <w:b/>
          <w:bCs/>
          <w:sz w:val="24"/>
          <w:szCs w:val="24"/>
        </w:rPr>
        <w:t>Risk Management and Board Assurance</w:t>
      </w:r>
      <w:r w:rsidRPr="009A730B">
        <w:rPr>
          <w:rFonts w:ascii="Verdana" w:eastAsia="Verdana" w:hAnsi="Verdana" w:cs="Verdana"/>
          <w:sz w:val="24"/>
          <w:szCs w:val="24"/>
        </w:rPr>
        <w:t xml:space="preserve"> – Providing oversight of the Board Assurance Framework (BAF) and the Health Board Risk Register (HBRR), including the reset of strategic risks and the effectiveness of escalation, equality, and capacity-related controls.</w:t>
      </w:r>
    </w:p>
    <w:p w14:paraId="3C6DDCA9" w14:textId="749CF98B" w:rsidR="6D6AD44C" w:rsidRPr="009A730B" w:rsidRDefault="6D6AD44C" w:rsidP="00C2615D">
      <w:pPr>
        <w:numPr>
          <w:ilvl w:val="0"/>
          <w:numId w:val="9"/>
        </w:numPr>
        <w:spacing w:before="240" w:after="240" w:line="240" w:lineRule="auto"/>
        <w:contextualSpacing/>
        <w:jc w:val="both"/>
        <w:rPr>
          <w:rFonts w:ascii="Verdana" w:eastAsia="Verdana" w:hAnsi="Verdana" w:cs="Verdana"/>
          <w:sz w:val="24"/>
          <w:szCs w:val="24"/>
        </w:rPr>
      </w:pPr>
      <w:r w:rsidRPr="009A730B">
        <w:rPr>
          <w:rFonts w:ascii="Verdana" w:eastAsia="Verdana" w:hAnsi="Verdana" w:cs="Verdana"/>
          <w:b/>
          <w:bCs/>
          <w:sz w:val="24"/>
          <w:szCs w:val="24"/>
        </w:rPr>
        <w:t>Audit and External Assurance</w:t>
      </w:r>
      <w:r w:rsidRPr="009A730B">
        <w:rPr>
          <w:rFonts w:ascii="Verdana" w:eastAsia="Verdana" w:hAnsi="Verdana" w:cs="Verdana"/>
          <w:sz w:val="24"/>
          <w:szCs w:val="24"/>
        </w:rPr>
        <w:t xml:space="preserve"> – Reviewing Internal Audit and Audit Wales reports, including limited assurance reviews, and monitoring the timely implementation of agreed management actions.</w:t>
      </w:r>
    </w:p>
    <w:p w14:paraId="28BC0FDA" w14:textId="1DBBE918" w:rsidR="6D6AD44C" w:rsidRPr="009A730B" w:rsidRDefault="6D6AD44C" w:rsidP="00C2615D">
      <w:pPr>
        <w:numPr>
          <w:ilvl w:val="0"/>
          <w:numId w:val="9"/>
        </w:numPr>
        <w:spacing w:before="240" w:after="240" w:line="240" w:lineRule="auto"/>
        <w:contextualSpacing/>
        <w:jc w:val="both"/>
        <w:rPr>
          <w:rFonts w:ascii="Verdana" w:eastAsia="Verdana" w:hAnsi="Verdana" w:cs="Verdana"/>
          <w:sz w:val="24"/>
          <w:szCs w:val="24"/>
        </w:rPr>
      </w:pPr>
      <w:r w:rsidRPr="009A730B">
        <w:rPr>
          <w:rFonts w:ascii="Verdana" w:eastAsia="Verdana" w:hAnsi="Verdana" w:cs="Verdana"/>
          <w:b/>
          <w:bCs/>
          <w:sz w:val="24"/>
          <w:szCs w:val="24"/>
        </w:rPr>
        <w:t>Audit Recommendation Tracking</w:t>
      </w:r>
      <w:r w:rsidRPr="009A730B">
        <w:rPr>
          <w:rFonts w:ascii="Verdana" w:eastAsia="Verdana" w:hAnsi="Verdana" w:cs="Verdana"/>
          <w:sz w:val="24"/>
          <w:szCs w:val="24"/>
        </w:rPr>
        <w:t xml:space="preserve"> – Monitoring progress through the Audit Tracker, with particular attention to overdue actions and high</w:t>
      </w:r>
      <w:r w:rsidRPr="009A730B">
        <w:noBreakHyphen/>
      </w:r>
      <w:r w:rsidRPr="009A730B">
        <w:rPr>
          <w:rFonts w:ascii="Verdana" w:eastAsia="Verdana" w:hAnsi="Verdana" w:cs="Verdana"/>
          <w:sz w:val="24"/>
          <w:szCs w:val="24"/>
        </w:rPr>
        <w:t>risk areas requiring accelerated improvement, including Child and Adolescent Mental Health Services (CAMHS) and Cancer Services.</w:t>
      </w:r>
    </w:p>
    <w:p w14:paraId="6B14F878" w14:textId="45897C6E" w:rsidR="6D6AD44C" w:rsidRPr="009A730B" w:rsidRDefault="6D6AD44C" w:rsidP="00C2615D">
      <w:pPr>
        <w:numPr>
          <w:ilvl w:val="0"/>
          <w:numId w:val="9"/>
        </w:numPr>
        <w:spacing w:before="240" w:after="240" w:line="240" w:lineRule="auto"/>
        <w:contextualSpacing/>
        <w:jc w:val="both"/>
        <w:rPr>
          <w:rFonts w:ascii="Verdana" w:eastAsia="Verdana" w:hAnsi="Verdana" w:cs="Verdana"/>
          <w:sz w:val="24"/>
          <w:szCs w:val="24"/>
        </w:rPr>
      </w:pPr>
      <w:r w:rsidRPr="009A730B">
        <w:rPr>
          <w:rFonts w:ascii="Verdana" w:eastAsia="Verdana" w:hAnsi="Verdana" w:cs="Verdana"/>
          <w:b/>
          <w:bCs/>
          <w:sz w:val="24"/>
          <w:szCs w:val="24"/>
        </w:rPr>
        <w:t>Counter Fraud Oversight</w:t>
      </w:r>
      <w:r w:rsidRPr="009A730B">
        <w:rPr>
          <w:rFonts w:ascii="Verdana" w:eastAsia="Verdana" w:hAnsi="Verdana" w:cs="Verdana"/>
          <w:sz w:val="24"/>
          <w:szCs w:val="24"/>
        </w:rPr>
        <w:t xml:space="preserve"> – Receiving assurance on the adequacy of Counter Fraud arrangements, including risks associated with agency staffing and progress in fraud prevention and detection activity.</w:t>
      </w:r>
    </w:p>
    <w:p w14:paraId="5578CB36" w14:textId="59BB4F24" w:rsidR="6D6AD44C" w:rsidRPr="009A730B" w:rsidRDefault="6D6AD44C" w:rsidP="00C2615D">
      <w:pPr>
        <w:numPr>
          <w:ilvl w:val="0"/>
          <w:numId w:val="9"/>
        </w:numPr>
        <w:spacing w:before="240" w:after="240" w:line="240" w:lineRule="auto"/>
        <w:contextualSpacing/>
        <w:jc w:val="both"/>
        <w:rPr>
          <w:rFonts w:ascii="Verdana" w:eastAsia="Verdana" w:hAnsi="Verdana" w:cs="Verdana"/>
          <w:sz w:val="24"/>
          <w:szCs w:val="24"/>
        </w:rPr>
      </w:pPr>
      <w:r w:rsidRPr="009A730B">
        <w:rPr>
          <w:rFonts w:ascii="Verdana" w:eastAsia="Verdana" w:hAnsi="Verdana" w:cs="Verdana"/>
          <w:b/>
          <w:bCs/>
          <w:sz w:val="24"/>
          <w:szCs w:val="24"/>
        </w:rPr>
        <w:t>Policies, Standing Orders, and Financial Instructions</w:t>
      </w:r>
      <w:r w:rsidRPr="009A730B">
        <w:rPr>
          <w:rFonts w:ascii="Verdana" w:eastAsia="Verdana" w:hAnsi="Verdana" w:cs="Verdana"/>
          <w:sz w:val="24"/>
          <w:szCs w:val="24"/>
        </w:rPr>
        <w:t xml:space="preserve"> – Considering and recommending updates to Standing Orders and Standing Financial Instructions to ensure alignment with regulatory requirements and good governance practice.</w:t>
      </w:r>
    </w:p>
    <w:p w14:paraId="1D8BD604" w14:textId="088DE076" w:rsidR="6D6AD44C" w:rsidRPr="009A730B" w:rsidRDefault="6D6AD44C" w:rsidP="00C2615D">
      <w:pPr>
        <w:numPr>
          <w:ilvl w:val="0"/>
          <w:numId w:val="9"/>
        </w:numPr>
        <w:spacing w:before="240" w:after="240" w:line="240" w:lineRule="auto"/>
        <w:contextualSpacing/>
        <w:jc w:val="both"/>
        <w:rPr>
          <w:rFonts w:ascii="Verdana" w:eastAsia="Verdana" w:hAnsi="Verdana" w:cs="Verdana"/>
          <w:sz w:val="24"/>
          <w:szCs w:val="24"/>
        </w:rPr>
      </w:pPr>
      <w:r w:rsidRPr="009A730B">
        <w:rPr>
          <w:rFonts w:ascii="Verdana" w:eastAsia="Verdana" w:hAnsi="Verdana" w:cs="Verdana"/>
          <w:b/>
          <w:bCs/>
          <w:sz w:val="24"/>
          <w:szCs w:val="24"/>
        </w:rPr>
        <w:t>Statutory Accounts and Reporting</w:t>
      </w:r>
      <w:r w:rsidRPr="009A730B">
        <w:rPr>
          <w:rFonts w:ascii="Verdana" w:eastAsia="Verdana" w:hAnsi="Verdana" w:cs="Verdana"/>
          <w:sz w:val="24"/>
          <w:szCs w:val="24"/>
        </w:rPr>
        <w:t xml:space="preserve"> – Reviewing the Annual Accounts, Accountability Report, Annual Report, and the Head of Internal Audit Opinion, and recommending these to the Board for approval.</w:t>
      </w:r>
    </w:p>
    <w:p w14:paraId="7BE8A40C" w14:textId="03A90DE6" w:rsidR="6D6AD44C" w:rsidRPr="009A730B" w:rsidRDefault="6D6AD44C" w:rsidP="00C2615D">
      <w:pPr>
        <w:numPr>
          <w:ilvl w:val="0"/>
          <w:numId w:val="9"/>
        </w:numPr>
        <w:spacing w:before="240" w:after="240" w:line="240" w:lineRule="auto"/>
        <w:contextualSpacing/>
        <w:jc w:val="both"/>
        <w:rPr>
          <w:rFonts w:ascii="Verdana" w:eastAsia="Verdana" w:hAnsi="Verdana" w:cs="Verdana"/>
          <w:sz w:val="24"/>
          <w:szCs w:val="24"/>
        </w:rPr>
      </w:pPr>
      <w:r w:rsidRPr="009A730B">
        <w:rPr>
          <w:rFonts w:ascii="Verdana" w:eastAsia="Verdana" w:hAnsi="Verdana" w:cs="Verdana"/>
          <w:b/>
          <w:bCs/>
          <w:sz w:val="24"/>
          <w:szCs w:val="24"/>
        </w:rPr>
        <w:lastRenderedPageBreak/>
        <w:t>Governance Work Programme Oversight</w:t>
      </w:r>
      <w:r w:rsidRPr="009A730B">
        <w:rPr>
          <w:rFonts w:ascii="Verdana" w:eastAsia="Verdana" w:hAnsi="Verdana" w:cs="Verdana"/>
          <w:sz w:val="24"/>
          <w:szCs w:val="24"/>
        </w:rPr>
        <w:t xml:space="preserve"> – Monitoring delivery of the Governance Work Programme to ensure assurance activity remained aligned with the Board’s strategic priorities and areas of highest risk.</w:t>
      </w:r>
    </w:p>
    <w:p w14:paraId="2FA3C6E9" w14:textId="1C8C718F" w:rsidR="00CD4CB4" w:rsidRPr="009A730B" w:rsidRDefault="246E970A" w:rsidP="006645D1">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During 202</w:t>
      </w:r>
      <w:r w:rsidR="1F004894" w:rsidRPr="009A730B">
        <w:rPr>
          <w:rFonts w:ascii="Verdana" w:hAnsi="Verdana"/>
          <w:b w:val="0"/>
          <w:bCs w:val="0"/>
        </w:rPr>
        <w:t>5</w:t>
      </w:r>
      <w:r w:rsidR="50F4D1E3" w:rsidRPr="009A730B">
        <w:rPr>
          <w:rFonts w:ascii="Verdana" w:hAnsi="Verdana"/>
          <w:b w:val="0"/>
          <w:bCs w:val="0"/>
        </w:rPr>
        <w:t>/2</w:t>
      </w:r>
      <w:r w:rsidR="00686B35" w:rsidRPr="009A730B">
        <w:rPr>
          <w:rFonts w:ascii="Verdana" w:hAnsi="Verdana"/>
          <w:b w:val="0"/>
          <w:bCs w:val="0"/>
        </w:rPr>
        <w:t>6</w:t>
      </w:r>
      <w:r w:rsidR="3F6F5DDD" w:rsidRPr="009A730B">
        <w:rPr>
          <w:rFonts w:ascii="Verdana" w:hAnsi="Verdana"/>
          <w:b w:val="0"/>
          <w:bCs w:val="0"/>
        </w:rPr>
        <w:t xml:space="preserve">, the following reports </w:t>
      </w:r>
      <w:r w:rsidR="3CD2FABC" w:rsidRPr="009A730B">
        <w:rPr>
          <w:rFonts w:ascii="Verdana" w:hAnsi="Verdana"/>
          <w:b w:val="0"/>
          <w:bCs w:val="0"/>
        </w:rPr>
        <w:t xml:space="preserve">were received by the </w:t>
      </w:r>
      <w:r w:rsidR="0D0B9619" w:rsidRPr="009A730B">
        <w:rPr>
          <w:rFonts w:ascii="Verdana" w:hAnsi="Verdana"/>
          <w:b w:val="0"/>
          <w:bCs w:val="0"/>
        </w:rPr>
        <w:t>C</w:t>
      </w:r>
      <w:r w:rsidR="3CD2FABC" w:rsidRPr="009A730B">
        <w:rPr>
          <w:rFonts w:ascii="Verdana" w:hAnsi="Verdana"/>
          <w:b w:val="0"/>
          <w:bCs w:val="0"/>
        </w:rPr>
        <w:t>ommittee:</w:t>
      </w:r>
    </w:p>
    <w:p w14:paraId="3DFA4CA6" w14:textId="1B4DCBC3" w:rsidR="4C39ED56" w:rsidRPr="009A730B" w:rsidRDefault="4C39ED56" w:rsidP="6D8E5F83">
      <w:pPr>
        <w:pStyle w:val="StyleOutlinenumberedArialOutlinenumberedArial11Outli"/>
        <w:numPr>
          <w:ilvl w:val="0"/>
          <w:numId w:val="0"/>
        </w:numPr>
        <w:jc w:val="both"/>
        <w:rPr>
          <w:rFonts w:ascii="Verdana" w:hAnsi="Verdana"/>
          <w:b w:val="0"/>
          <w:bCs w:val="0"/>
        </w:rPr>
      </w:pPr>
    </w:p>
    <w:p w14:paraId="7ED5E25D" w14:textId="1E737064" w:rsidR="00074A03" w:rsidRPr="009A730B" w:rsidRDefault="00074A03" w:rsidP="00C2615D">
      <w:pPr>
        <w:pStyle w:val="StyleOutlinenumberedArialOutlinenumberedArial11Outli"/>
        <w:numPr>
          <w:ilvl w:val="1"/>
          <w:numId w:val="24"/>
        </w:numPr>
        <w:jc w:val="both"/>
        <w:rPr>
          <w:rFonts w:ascii="Verdana" w:hAnsi="Verdana"/>
          <w:u w:val="single"/>
        </w:rPr>
      </w:pPr>
      <w:r w:rsidRPr="009A730B">
        <w:rPr>
          <w:rFonts w:ascii="Verdana" w:hAnsi="Verdana"/>
          <w:u w:val="single"/>
        </w:rPr>
        <w:t xml:space="preserve">Annual </w:t>
      </w:r>
      <w:r w:rsidR="00045C31" w:rsidRPr="009A730B">
        <w:rPr>
          <w:rFonts w:ascii="Verdana" w:hAnsi="Verdana"/>
          <w:u w:val="single"/>
        </w:rPr>
        <w:t xml:space="preserve">Accounts and </w:t>
      </w:r>
      <w:r w:rsidRPr="009A730B">
        <w:rPr>
          <w:rFonts w:ascii="Verdana" w:hAnsi="Verdana"/>
          <w:u w:val="single"/>
        </w:rPr>
        <w:t xml:space="preserve">Reporting </w:t>
      </w:r>
    </w:p>
    <w:p w14:paraId="25CF4F22" w14:textId="317773FA" w:rsidR="00074A03" w:rsidRPr="009A730B" w:rsidRDefault="00074A03" w:rsidP="00074A03">
      <w:pPr>
        <w:pStyle w:val="StyleOutlinenumberedArialOutlinenumberedArial11Outli"/>
        <w:numPr>
          <w:ilvl w:val="0"/>
          <w:numId w:val="0"/>
        </w:numPr>
        <w:jc w:val="both"/>
        <w:rPr>
          <w:rFonts w:ascii="Verdana" w:hAnsi="Verdana"/>
        </w:rPr>
      </w:pPr>
    </w:p>
    <w:p w14:paraId="597F46B6" w14:textId="53DF7211" w:rsidR="4C39ED56" w:rsidRPr="009A730B" w:rsidRDefault="00074A03" w:rsidP="00074A03">
      <w:pPr>
        <w:pStyle w:val="StyleOutlinenumberedArialOutlinenumberedArial11Outli"/>
        <w:numPr>
          <w:ilvl w:val="0"/>
          <w:numId w:val="0"/>
        </w:numPr>
        <w:jc w:val="both"/>
        <w:rPr>
          <w:rFonts w:ascii="Verdana" w:hAnsi="Verdana"/>
        </w:rPr>
      </w:pPr>
      <w:r w:rsidRPr="009A730B">
        <w:rPr>
          <w:rFonts w:ascii="Verdana" w:hAnsi="Verdana"/>
        </w:rPr>
        <w:t xml:space="preserve">3.1.1 </w:t>
      </w:r>
      <w:r w:rsidR="77374EEE" w:rsidRPr="009A730B">
        <w:rPr>
          <w:rFonts w:ascii="Verdana" w:hAnsi="Verdana"/>
        </w:rPr>
        <w:t xml:space="preserve">Draft Annual Accounts </w:t>
      </w:r>
    </w:p>
    <w:p w14:paraId="3286DBC1" w14:textId="6CF5432C" w:rsidR="4C39ED56" w:rsidRPr="009A730B" w:rsidRDefault="67124DF3"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In May 2025, the Audit Committee received and reviewed the draft Annual Accounts as part of its role in providing assurance to the Board on the integrity of the Health Board’s financial reporting. The Committee considered the draft accounts, associated accounting judgments, and supporting assurances, and was satisfied that appropriate processes were in place to support the preparation of the financial statements. The Committee provided feedback as required and used this review to inform its recommendation to the Board in advance of approval.</w:t>
      </w:r>
    </w:p>
    <w:p w14:paraId="3422BCC6" w14:textId="068A6BFF" w:rsidR="4C39ED56" w:rsidRPr="009A730B" w:rsidRDefault="4C39ED56" w:rsidP="6D8E5F83">
      <w:pPr>
        <w:pStyle w:val="StyleOutlinenumberedArialOutlinenumberedArial11Outli"/>
        <w:numPr>
          <w:ilvl w:val="0"/>
          <w:numId w:val="0"/>
        </w:numPr>
        <w:jc w:val="both"/>
        <w:rPr>
          <w:rFonts w:ascii="Verdana" w:hAnsi="Verdana"/>
        </w:rPr>
      </w:pPr>
    </w:p>
    <w:p w14:paraId="2F047CC3" w14:textId="5D664C6F" w:rsidR="67124DF3" w:rsidRPr="009A730B" w:rsidRDefault="67124DF3" w:rsidP="00C2615D">
      <w:pPr>
        <w:pStyle w:val="StyleOutlinenumberedArialOutlinenumberedArial11Outli"/>
        <w:numPr>
          <w:ilvl w:val="2"/>
          <w:numId w:val="23"/>
        </w:numPr>
        <w:jc w:val="both"/>
        <w:rPr>
          <w:rFonts w:ascii="Verdana" w:hAnsi="Verdana"/>
        </w:rPr>
      </w:pPr>
      <w:r w:rsidRPr="009A730B">
        <w:rPr>
          <w:rFonts w:ascii="Verdana" w:hAnsi="Verdana"/>
        </w:rPr>
        <w:t>Draft Remuneration and Staff report</w:t>
      </w:r>
    </w:p>
    <w:p w14:paraId="78FBE94A" w14:textId="1942A27C" w:rsidR="67124DF3" w:rsidRPr="009A730B" w:rsidRDefault="67124DF3"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 xml:space="preserve">In May 2025, the Audit Committee received and reviewed the draft Remuneration and Staff Report as part of its responsibility to provide assurance to the Board on the completeness, accuracy, and transparency of statutory reporting. The Committee considered the draft report, including disclosures relating to senior remuneration, staff costs, and workforce information, and was satisfied that appropriate governance and review arrangements were in place to support its preparation. </w:t>
      </w:r>
    </w:p>
    <w:p w14:paraId="25B720FB" w14:textId="36F2B0F2" w:rsidR="6D8E5F83" w:rsidRPr="009A730B" w:rsidRDefault="6D8E5F83" w:rsidP="6D8E5F83">
      <w:pPr>
        <w:pStyle w:val="StyleOutlinenumberedArialOutlinenumberedArial11Outli"/>
        <w:numPr>
          <w:ilvl w:val="0"/>
          <w:numId w:val="0"/>
        </w:numPr>
        <w:jc w:val="both"/>
        <w:rPr>
          <w:rFonts w:ascii="Verdana" w:hAnsi="Verdana"/>
          <w:b w:val="0"/>
          <w:bCs w:val="0"/>
        </w:rPr>
      </w:pPr>
    </w:p>
    <w:p w14:paraId="272CF4D6" w14:textId="6A19FD30" w:rsidR="5D02FAC4" w:rsidRPr="009A730B" w:rsidRDefault="67124DF3" w:rsidP="00C2615D">
      <w:pPr>
        <w:pStyle w:val="StyleOutlinenumberedArialOutlinenumberedArial11Outli"/>
        <w:numPr>
          <w:ilvl w:val="2"/>
          <w:numId w:val="23"/>
        </w:numPr>
        <w:jc w:val="both"/>
        <w:rPr>
          <w:rFonts w:ascii="Verdana" w:hAnsi="Verdana"/>
        </w:rPr>
      </w:pPr>
      <w:r w:rsidRPr="009A730B">
        <w:rPr>
          <w:rFonts w:ascii="Verdana" w:hAnsi="Verdana"/>
        </w:rPr>
        <w:t>Draft Annual Report</w:t>
      </w:r>
      <w:r w:rsidR="5D02FAC4" w:rsidRPr="009A730B">
        <w:rPr>
          <w:rFonts w:ascii="Verdana" w:hAnsi="Verdana"/>
        </w:rPr>
        <w:t xml:space="preserve"> </w:t>
      </w:r>
      <w:r w:rsidR="2D2BC3FA" w:rsidRPr="009A730B">
        <w:rPr>
          <w:rFonts w:ascii="Verdana" w:hAnsi="Verdana"/>
        </w:rPr>
        <w:t>202</w:t>
      </w:r>
      <w:r w:rsidR="3509278D" w:rsidRPr="009A730B">
        <w:rPr>
          <w:rFonts w:ascii="Verdana" w:hAnsi="Verdana"/>
        </w:rPr>
        <w:t>4</w:t>
      </w:r>
      <w:r w:rsidR="2D2BC3FA" w:rsidRPr="009A730B">
        <w:rPr>
          <w:rFonts w:ascii="Verdana" w:hAnsi="Verdana"/>
        </w:rPr>
        <w:t>-2025</w:t>
      </w:r>
    </w:p>
    <w:p w14:paraId="3DD128B8" w14:textId="0966BA58" w:rsidR="16ADEBFB" w:rsidRPr="009A730B" w:rsidRDefault="2D2BC3FA"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 xml:space="preserve">In May 2025, the Audit Committee received and reviewed the draft Annual Report 2024–2025. The Committee considered the draft report alongside supporting assurances to ensure it presented a fair reflection of organisational performance, governance arrangements, and financial position over the year. </w:t>
      </w:r>
    </w:p>
    <w:p w14:paraId="0CAFB825" w14:textId="52EFAE88" w:rsidR="16ADEBFB" w:rsidRPr="009A730B" w:rsidRDefault="16ADEBFB" w:rsidP="6D8E5F83">
      <w:pPr>
        <w:pStyle w:val="StyleOutlinenumberedArialOutlinenumberedArial11Outli"/>
        <w:numPr>
          <w:ilvl w:val="0"/>
          <w:numId w:val="0"/>
        </w:numPr>
        <w:jc w:val="both"/>
        <w:rPr>
          <w:rFonts w:ascii="Verdana" w:hAnsi="Verdana"/>
          <w:b w:val="0"/>
          <w:bCs w:val="0"/>
        </w:rPr>
      </w:pPr>
    </w:p>
    <w:p w14:paraId="40DEE831" w14:textId="283ADD0C" w:rsidR="16ADEBFB" w:rsidRPr="009A730B" w:rsidRDefault="00074A03" w:rsidP="00C2615D">
      <w:pPr>
        <w:pStyle w:val="StyleOutlinenumberedArialOutlinenumberedArial11Outli"/>
        <w:numPr>
          <w:ilvl w:val="2"/>
          <w:numId w:val="23"/>
        </w:numPr>
        <w:ind w:left="720" w:hanging="720"/>
        <w:rPr>
          <w:rFonts w:ascii="Verdana" w:hAnsi="Verdana"/>
        </w:rPr>
      </w:pPr>
      <w:r w:rsidRPr="009A730B">
        <w:rPr>
          <w:rFonts w:ascii="Verdana" w:hAnsi="Verdana"/>
        </w:rPr>
        <w:t xml:space="preserve">  </w:t>
      </w:r>
      <w:r w:rsidR="2D2BC3FA" w:rsidRPr="009A730B">
        <w:rPr>
          <w:rFonts w:ascii="Verdana" w:hAnsi="Verdana"/>
        </w:rPr>
        <w:t>Losses and Special Payments</w:t>
      </w:r>
    </w:p>
    <w:p w14:paraId="7130D467" w14:textId="09945692" w:rsidR="16ADEBFB" w:rsidRPr="009A730B" w:rsidRDefault="2D2BC3FA"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In May 2025, the Audit Committee received and reviewed reports relating to Losses and Special Payments. The Committee considered the nature, value, and underlying causes of reported losses and special payments and was satisfied that appropriate governance, scrutiny, and approval arrangements were in place. This review contributed to the Committee’s overall assurance on financial probity and control within the Health Board.</w:t>
      </w:r>
    </w:p>
    <w:p w14:paraId="2E37F612" w14:textId="4DE049F2" w:rsidR="4C39ED56" w:rsidRPr="009A730B" w:rsidRDefault="4C39ED56" w:rsidP="4C39ED56">
      <w:pPr>
        <w:pStyle w:val="StyleOutlinenumberedArialOutlinenumberedArial11Outli"/>
        <w:numPr>
          <w:ilvl w:val="0"/>
          <w:numId w:val="0"/>
        </w:numPr>
        <w:ind w:left="720"/>
        <w:jc w:val="both"/>
        <w:rPr>
          <w:rFonts w:ascii="Verdana" w:hAnsi="Verdana"/>
          <w:b w:val="0"/>
          <w:bCs w:val="0"/>
        </w:rPr>
      </w:pPr>
    </w:p>
    <w:p w14:paraId="40F5B27E" w14:textId="753EEC59" w:rsidR="00522DA8" w:rsidRPr="009A730B" w:rsidRDefault="00074A03" w:rsidP="00C2615D">
      <w:pPr>
        <w:pStyle w:val="StyleOutlinenumberedArialOutlinenumberedArial11Outli"/>
        <w:numPr>
          <w:ilvl w:val="2"/>
          <w:numId w:val="23"/>
        </w:numPr>
        <w:ind w:left="720" w:hanging="720"/>
        <w:jc w:val="both"/>
        <w:rPr>
          <w:rFonts w:ascii="Verdana" w:hAnsi="Verdana"/>
        </w:rPr>
      </w:pPr>
      <w:r w:rsidRPr="009A730B">
        <w:rPr>
          <w:rFonts w:ascii="Verdana" w:hAnsi="Verdana"/>
        </w:rPr>
        <w:t xml:space="preserve"> </w:t>
      </w:r>
      <w:r w:rsidR="2B6FD4A8" w:rsidRPr="009A730B">
        <w:rPr>
          <w:rFonts w:ascii="Verdana" w:hAnsi="Verdana"/>
        </w:rPr>
        <w:t xml:space="preserve">Final Annual Accounts </w:t>
      </w:r>
      <w:r w:rsidR="7E8D6761" w:rsidRPr="009A730B">
        <w:rPr>
          <w:rFonts w:ascii="Verdana" w:hAnsi="Verdana"/>
        </w:rPr>
        <w:t>(25 June 2025 – Approval of Accounts)</w:t>
      </w:r>
    </w:p>
    <w:p w14:paraId="004C4634" w14:textId="22381B4C" w:rsidR="4C39ED56" w:rsidRPr="009A730B" w:rsidRDefault="4C39ED56" w:rsidP="4C39ED56">
      <w:pPr>
        <w:pStyle w:val="StyleOutlinenumberedArialOutlinenumberedArial11Outli"/>
        <w:numPr>
          <w:ilvl w:val="0"/>
          <w:numId w:val="0"/>
        </w:numPr>
        <w:jc w:val="both"/>
        <w:rPr>
          <w:rFonts w:ascii="Verdana" w:hAnsi="Verdana"/>
          <w:u w:val="single"/>
        </w:rPr>
      </w:pPr>
    </w:p>
    <w:p w14:paraId="7B246EE8" w14:textId="4EDC5A5C" w:rsidR="74BBC6E6" w:rsidRPr="009A730B" w:rsidRDefault="74BBC6E6"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 xml:space="preserve">The Audit Committee considered updates on the annual accounts process and, at its approval of accounts meeting on 25 June 2025, reviewed the </w:t>
      </w:r>
      <w:r w:rsidRPr="009A730B">
        <w:rPr>
          <w:rFonts w:ascii="Verdana" w:hAnsi="Verdana"/>
          <w:b w:val="0"/>
          <w:bCs w:val="0"/>
        </w:rPr>
        <w:lastRenderedPageBreak/>
        <w:t>Final Annual Accounts, the external audit of the financial statements, and the Letter of Representation. The Committee received assurance from management and Audit Wales on the robustness of the accounts, the audit findings, and the adequacy of disclosures, and approved the Final Annual Accounts and Annual Report. The Committee was satisfied that appropriate arrangements were in place to support the timely preparation, audit, and sign</w:t>
      </w:r>
      <w:r w:rsidRPr="009A730B">
        <w:noBreakHyphen/>
      </w:r>
      <w:r w:rsidRPr="009A730B">
        <w:rPr>
          <w:rFonts w:ascii="Verdana" w:hAnsi="Verdana"/>
          <w:b w:val="0"/>
          <w:bCs w:val="0"/>
        </w:rPr>
        <w:t>off of the Health Board’s accounts, providing assurance to the Board on financial reporting and governance.</w:t>
      </w:r>
    </w:p>
    <w:p w14:paraId="6E944A2D" w14:textId="2BF6C047" w:rsidR="6D8E5F83" w:rsidRPr="009A730B" w:rsidRDefault="6D8E5F83" w:rsidP="6D8E5F83">
      <w:pPr>
        <w:pStyle w:val="StyleOutlinenumberedArialOutlinenumberedArial11Outli"/>
        <w:numPr>
          <w:ilvl w:val="0"/>
          <w:numId w:val="0"/>
        </w:numPr>
        <w:jc w:val="both"/>
        <w:rPr>
          <w:rFonts w:ascii="Verdana" w:hAnsi="Verdana"/>
          <w:b w:val="0"/>
          <w:bCs w:val="0"/>
        </w:rPr>
      </w:pPr>
    </w:p>
    <w:p w14:paraId="631452B9" w14:textId="1562CBA8" w:rsidR="74BBC6E6" w:rsidRPr="009A730B" w:rsidRDefault="74BBC6E6" w:rsidP="00C2615D">
      <w:pPr>
        <w:pStyle w:val="StyleOutlinenumberedArialOutlinenumberedArial11Outli"/>
        <w:numPr>
          <w:ilvl w:val="2"/>
          <w:numId w:val="23"/>
        </w:numPr>
        <w:ind w:left="720" w:hanging="720"/>
        <w:jc w:val="both"/>
        <w:rPr>
          <w:rFonts w:ascii="Verdana" w:hAnsi="Verdana"/>
        </w:rPr>
      </w:pPr>
      <w:r w:rsidRPr="009A730B">
        <w:rPr>
          <w:rFonts w:ascii="Verdana" w:hAnsi="Verdana"/>
        </w:rPr>
        <w:t xml:space="preserve">Letter of Representation </w:t>
      </w:r>
      <w:r w:rsidR="33B4F7AE" w:rsidRPr="009A730B">
        <w:rPr>
          <w:rFonts w:ascii="Verdana" w:hAnsi="Verdana"/>
        </w:rPr>
        <w:t>(25 June 2025 – Approval of Accounts)</w:t>
      </w:r>
    </w:p>
    <w:p w14:paraId="27C08D05" w14:textId="09D4B852" w:rsidR="74BBC6E6" w:rsidRPr="009A730B" w:rsidRDefault="74BBC6E6"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 xml:space="preserve">The Audit Committee considered and </w:t>
      </w:r>
      <w:r w:rsidRPr="009A730B">
        <w:rPr>
          <w:rFonts w:ascii="Verdana" w:hAnsi="Verdana"/>
          <w:b w:val="0"/>
          <w:bCs w:val="0"/>
          <w:i/>
          <w:iCs/>
        </w:rPr>
        <w:t>approved</w:t>
      </w:r>
      <w:r w:rsidRPr="009A730B">
        <w:rPr>
          <w:rFonts w:ascii="Verdana" w:hAnsi="Verdana"/>
          <w:b w:val="0"/>
          <w:bCs w:val="0"/>
        </w:rPr>
        <w:t xml:space="preserve"> the Letter of Representation as part of its review of the year</w:t>
      </w:r>
      <w:r w:rsidRPr="009A730B">
        <w:noBreakHyphen/>
      </w:r>
      <w:r w:rsidRPr="009A730B">
        <w:rPr>
          <w:rFonts w:ascii="Verdana" w:hAnsi="Verdana"/>
          <w:b w:val="0"/>
          <w:bCs w:val="0"/>
        </w:rPr>
        <w:t xml:space="preserve">end financial reporting process. The Committee was satisfied that the Letter appropriately reflected management assurances provided to Audit Wales, confirmed the completeness and accuracy of information supporting the financial statements, and complied with relevant accounting and governance requirements. </w:t>
      </w:r>
    </w:p>
    <w:p w14:paraId="3958F3A4" w14:textId="51277452" w:rsidR="6D8E5F83" w:rsidRPr="009A730B" w:rsidRDefault="6D8E5F83" w:rsidP="6D8E5F83">
      <w:pPr>
        <w:pStyle w:val="StyleOutlinenumberedArialOutlinenumberedArial11Outli"/>
        <w:numPr>
          <w:ilvl w:val="0"/>
          <w:numId w:val="0"/>
        </w:numPr>
        <w:jc w:val="both"/>
        <w:rPr>
          <w:rFonts w:ascii="Verdana" w:hAnsi="Verdana"/>
          <w:b w:val="0"/>
          <w:bCs w:val="0"/>
        </w:rPr>
      </w:pPr>
    </w:p>
    <w:p w14:paraId="04034250" w14:textId="480FD92B" w:rsidR="00522DA8" w:rsidRPr="009A730B" w:rsidRDefault="2B6FD4A8" w:rsidP="00C2615D">
      <w:pPr>
        <w:pStyle w:val="StyleOutlinenumberedArialOutlinenumberedArial11Outli"/>
        <w:numPr>
          <w:ilvl w:val="2"/>
          <w:numId w:val="23"/>
        </w:numPr>
        <w:ind w:left="720" w:hanging="720"/>
        <w:jc w:val="both"/>
        <w:rPr>
          <w:rFonts w:ascii="Verdana" w:hAnsi="Verdana"/>
        </w:rPr>
      </w:pPr>
      <w:r w:rsidRPr="009A730B">
        <w:rPr>
          <w:rFonts w:ascii="Verdana" w:hAnsi="Verdana"/>
        </w:rPr>
        <w:t>ISA 260 Audit of Financial Statements</w:t>
      </w:r>
      <w:r w:rsidR="5BDD884B" w:rsidRPr="009A730B">
        <w:rPr>
          <w:rFonts w:ascii="Verdana" w:hAnsi="Verdana"/>
        </w:rPr>
        <w:t xml:space="preserve"> (25 June 2025 – Approval of Accounts)</w:t>
      </w:r>
    </w:p>
    <w:p w14:paraId="153519B4" w14:textId="44110DFB" w:rsidR="00522DA8" w:rsidRPr="009A730B" w:rsidRDefault="00522DA8" w:rsidP="6D8E5F83">
      <w:pPr>
        <w:pStyle w:val="StyleOutlinenumberedArialOutlinenumberedArial11Outli"/>
        <w:numPr>
          <w:ilvl w:val="0"/>
          <w:numId w:val="0"/>
        </w:numPr>
        <w:ind w:left="720"/>
        <w:jc w:val="both"/>
        <w:rPr>
          <w:rFonts w:ascii="Verdana" w:hAnsi="Verdana"/>
        </w:rPr>
      </w:pPr>
    </w:p>
    <w:p w14:paraId="67FC05FA" w14:textId="66C69464" w:rsidR="0AB3AB72" w:rsidRPr="009A730B" w:rsidRDefault="0AB3AB72"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The Audit Committee received and considered the ISA 260 Audit of the Financial Statements from Audit Wales as part of its oversight of the year</w:t>
      </w:r>
      <w:r w:rsidRPr="009A730B">
        <w:noBreakHyphen/>
      </w:r>
      <w:r w:rsidRPr="009A730B">
        <w:rPr>
          <w:rFonts w:ascii="Verdana" w:hAnsi="Verdana"/>
          <w:b w:val="0"/>
          <w:bCs w:val="0"/>
        </w:rPr>
        <w:t xml:space="preserve">end accounts process. The Committee reviewed the external auditor’s findings, including key audit matters, significant risks, unadjusted misstatements (where applicable), and qualitative aspects of accounting practices, and was satisfied with the responses provided by management. </w:t>
      </w:r>
    </w:p>
    <w:p w14:paraId="260D3DE3" w14:textId="7A6A1C40" w:rsidR="6D8E5F83" w:rsidRPr="009A730B" w:rsidRDefault="6D8E5F83" w:rsidP="6D8E5F83">
      <w:pPr>
        <w:pStyle w:val="StyleOutlinenumberedArialOutlinenumberedArial11Outli"/>
        <w:numPr>
          <w:ilvl w:val="0"/>
          <w:numId w:val="0"/>
        </w:numPr>
        <w:ind w:left="720"/>
        <w:jc w:val="both"/>
        <w:rPr>
          <w:rFonts w:ascii="Verdana" w:hAnsi="Verdana"/>
        </w:rPr>
      </w:pPr>
    </w:p>
    <w:p w14:paraId="7DE528D6" w14:textId="036B1D83" w:rsidR="00522DA8" w:rsidRPr="009A730B" w:rsidRDefault="1AD13B9F" w:rsidP="00C2615D">
      <w:pPr>
        <w:pStyle w:val="StyleOutlinenumberedArialOutlinenumberedArial11Outli"/>
        <w:numPr>
          <w:ilvl w:val="2"/>
          <w:numId w:val="23"/>
        </w:numPr>
        <w:ind w:left="720" w:hanging="720"/>
        <w:jc w:val="both"/>
        <w:rPr>
          <w:rFonts w:ascii="Verdana" w:hAnsi="Verdana"/>
        </w:rPr>
      </w:pPr>
      <w:r w:rsidRPr="009A730B">
        <w:rPr>
          <w:rFonts w:ascii="Verdana" w:hAnsi="Verdana"/>
        </w:rPr>
        <w:t xml:space="preserve">Final Annual Report </w:t>
      </w:r>
      <w:r w:rsidR="7ABF69C6" w:rsidRPr="009A730B">
        <w:rPr>
          <w:rFonts w:ascii="Verdana" w:hAnsi="Verdana"/>
        </w:rPr>
        <w:t>including the Remuneration report</w:t>
      </w:r>
      <w:r w:rsidR="4A49EBFC" w:rsidRPr="009A730B">
        <w:rPr>
          <w:rFonts w:ascii="Verdana" w:hAnsi="Verdana"/>
        </w:rPr>
        <w:t xml:space="preserve"> (25 June 2025 – Approval of Accounts)</w:t>
      </w:r>
    </w:p>
    <w:p w14:paraId="14DE1DC4" w14:textId="510887B0" w:rsidR="00522DA8" w:rsidRPr="009A730B" w:rsidRDefault="4A49EBFC"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 xml:space="preserve">During 2025–2026, the Audit Committee reviewed and </w:t>
      </w:r>
      <w:r w:rsidRPr="009A730B">
        <w:rPr>
          <w:rFonts w:ascii="Verdana" w:hAnsi="Verdana"/>
          <w:b w:val="0"/>
          <w:bCs w:val="0"/>
          <w:i/>
          <w:iCs/>
        </w:rPr>
        <w:t xml:space="preserve">approved </w:t>
      </w:r>
      <w:r w:rsidRPr="009A730B">
        <w:rPr>
          <w:rFonts w:ascii="Verdana" w:hAnsi="Verdana"/>
          <w:b w:val="0"/>
          <w:bCs w:val="0"/>
        </w:rPr>
        <w:t>the Final Annual Report, including the Remuneration Report, as part of its year</w:t>
      </w:r>
      <w:r w:rsidR="1AD13B9F" w:rsidRPr="009A730B">
        <w:noBreakHyphen/>
      </w:r>
      <w:r w:rsidRPr="009A730B">
        <w:rPr>
          <w:rFonts w:ascii="Verdana" w:hAnsi="Verdana"/>
          <w:b w:val="0"/>
          <w:bCs w:val="0"/>
        </w:rPr>
        <w:t xml:space="preserve">end governance and assurance responsibilities. </w:t>
      </w:r>
    </w:p>
    <w:p w14:paraId="14800A7D" w14:textId="2DA2952A" w:rsidR="00B00D9A" w:rsidRPr="009A730B" w:rsidRDefault="00B00D9A" w:rsidP="6F2B4365">
      <w:pPr>
        <w:pStyle w:val="StyleOutlinenumberedArialOutlinenumberedArial11Outli"/>
        <w:numPr>
          <w:ilvl w:val="0"/>
          <w:numId w:val="0"/>
        </w:numPr>
        <w:jc w:val="both"/>
        <w:rPr>
          <w:rFonts w:ascii="Verdana" w:hAnsi="Verdana"/>
          <w:u w:val="single"/>
        </w:rPr>
      </w:pPr>
    </w:p>
    <w:p w14:paraId="1A6212BC" w14:textId="00C993E4" w:rsidR="006846C2" w:rsidRPr="009A730B" w:rsidRDefault="4A78107C" w:rsidP="00C2615D">
      <w:pPr>
        <w:pStyle w:val="StyleOutlinenumberedArialOutlinenumberedArial11Outli"/>
        <w:numPr>
          <w:ilvl w:val="1"/>
          <w:numId w:val="23"/>
        </w:numPr>
        <w:jc w:val="both"/>
        <w:rPr>
          <w:rFonts w:ascii="Verdana" w:hAnsi="Verdana"/>
          <w:u w:val="single"/>
        </w:rPr>
      </w:pPr>
      <w:r w:rsidRPr="009A730B">
        <w:rPr>
          <w:rFonts w:ascii="Verdana" w:hAnsi="Verdana"/>
          <w:u w:val="single"/>
        </w:rPr>
        <w:t>Governa</w:t>
      </w:r>
      <w:r w:rsidR="0299702A" w:rsidRPr="009A730B">
        <w:rPr>
          <w:rFonts w:ascii="Verdana" w:hAnsi="Verdana"/>
          <w:u w:val="single"/>
        </w:rPr>
        <w:t>nce, Risk and Internal Controls</w:t>
      </w:r>
    </w:p>
    <w:p w14:paraId="765E14C5" w14:textId="77777777" w:rsidR="0048749C" w:rsidRPr="009A730B" w:rsidRDefault="0048749C" w:rsidP="6D8E5F83">
      <w:pPr>
        <w:pStyle w:val="StyleOutlinenumberedArialOutlinenumberedArial11Outli"/>
        <w:numPr>
          <w:ilvl w:val="0"/>
          <w:numId w:val="0"/>
        </w:numPr>
        <w:jc w:val="both"/>
        <w:rPr>
          <w:rFonts w:ascii="Verdana" w:hAnsi="Verdana"/>
          <w:color w:val="FF0000"/>
        </w:rPr>
      </w:pPr>
    </w:p>
    <w:p w14:paraId="2A7F5E2A" w14:textId="42E58347" w:rsidR="00EC7633" w:rsidRPr="009A730B" w:rsidRDefault="00045C31" w:rsidP="00045C31">
      <w:pPr>
        <w:pStyle w:val="StyleOutlinenumberedArialOutlinenumberedArial11Outli"/>
        <w:numPr>
          <w:ilvl w:val="0"/>
          <w:numId w:val="0"/>
        </w:numPr>
        <w:ind w:left="720" w:hanging="720"/>
        <w:jc w:val="both"/>
        <w:rPr>
          <w:rFonts w:ascii="Verdana" w:hAnsi="Verdana"/>
        </w:rPr>
      </w:pPr>
      <w:r w:rsidRPr="009A730B">
        <w:rPr>
          <w:rFonts w:ascii="Verdana" w:hAnsi="Verdana"/>
        </w:rPr>
        <w:t xml:space="preserve">3.2.1 </w:t>
      </w:r>
      <w:r w:rsidR="66B95549" w:rsidRPr="009A730B">
        <w:rPr>
          <w:rFonts w:ascii="Verdana" w:hAnsi="Verdana"/>
        </w:rPr>
        <w:t xml:space="preserve">Standing Orders </w:t>
      </w:r>
    </w:p>
    <w:p w14:paraId="2F1C9B13" w14:textId="5AE264D2" w:rsidR="00C5757D" w:rsidRPr="009A730B" w:rsidRDefault="77371F7E"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 xml:space="preserve">The Committee received assurance that Standing Orders were applied appropriately and supported clear accountability, sound financial control, and compliance with statutory and regulatory requirements. </w:t>
      </w:r>
    </w:p>
    <w:p w14:paraId="52107A0F" w14:textId="0E4EB814" w:rsidR="00C5757D" w:rsidRPr="009A730B" w:rsidRDefault="00C5757D" w:rsidP="6D8E5F83">
      <w:pPr>
        <w:pStyle w:val="StyleOutlinenumberedArialOutlinenumberedArial11Outli"/>
        <w:numPr>
          <w:ilvl w:val="0"/>
          <w:numId w:val="0"/>
        </w:numPr>
        <w:jc w:val="both"/>
        <w:rPr>
          <w:rFonts w:ascii="Verdana" w:hAnsi="Verdana"/>
          <w:b w:val="0"/>
          <w:bCs w:val="0"/>
        </w:rPr>
      </w:pPr>
    </w:p>
    <w:p w14:paraId="29647930" w14:textId="26DB50AF" w:rsidR="00C5757D" w:rsidRPr="009A730B" w:rsidRDefault="00045C31" w:rsidP="00045C31">
      <w:pPr>
        <w:spacing w:after="0" w:line="240" w:lineRule="auto"/>
        <w:jc w:val="both"/>
        <w:rPr>
          <w:rFonts w:ascii="Verdana" w:hAnsi="Verdana" w:cs="Arial"/>
          <w:b/>
          <w:bCs/>
        </w:rPr>
      </w:pPr>
      <w:r w:rsidRPr="009A730B">
        <w:rPr>
          <w:rFonts w:ascii="Verdana" w:hAnsi="Verdana" w:cs="Arial"/>
          <w:b/>
          <w:bCs/>
          <w:sz w:val="24"/>
          <w:szCs w:val="24"/>
        </w:rPr>
        <w:t xml:space="preserve">3.2.2 </w:t>
      </w:r>
      <w:r w:rsidR="37163C3D" w:rsidRPr="009A730B">
        <w:rPr>
          <w:rFonts w:ascii="Verdana" w:hAnsi="Verdana" w:cs="Arial"/>
          <w:b/>
          <w:bCs/>
          <w:sz w:val="24"/>
          <w:szCs w:val="24"/>
        </w:rPr>
        <w:t>Health Board Risk Register</w:t>
      </w:r>
    </w:p>
    <w:p w14:paraId="5D10D873" w14:textId="40FF5AF3" w:rsidR="4C39ED56" w:rsidRPr="009A730B" w:rsidRDefault="7C077751"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 xml:space="preserve">During the 2025–2026 reporting period, the Audit Committee received regular updates on the Health Board Risk Register and provided oversight of the effectiveness of the Health Board’s risk management arrangements. The Committee reviewed the identification, scoring, and mitigation of </w:t>
      </w:r>
      <w:r w:rsidRPr="009A730B">
        <w:rPr>
          <w:rFonts w:ascii="Verdana" w:hAnsi="Verdana"/>
          <w:b w:val="0"/>
          <w:bCs w:val="0"/>
        </w:rPr>
        <w:lastRenderedPageBreak/>
        <w:t>strategic risks, including the alignment between the Health Board Risk Register and the Board Assurance Framework. Through its scrutiny, the Committee sought assurance that risks were being appropriately escalated, managed, and monitored, and that risk controls and actions were subject to effective governance and review.</w:t>
      </w:r>
    </w:p>
    <w:p w14:paraId="614D6D61" w14:textId="481E6021" w:rsidR="00045C31" w:rsidRPr="009A730B" w:rsidRDefault="00045C31" w:rsidP="00045C31">
      <w:pPr>
        <w:pStyle w:val="StyleOutlinenumberedArialOutlinenumberedArial11Outli"/>
        <w:numPr>
          <w:ilvl w:val="0"/>
          <w:numId w:val="0"/>
        </w:numPr>
        <w:jc w:val="both"/>
        <w:rPr>
          <w:rFonts w:ascii="Verdana" w:hAnsi="Verdana"/>
          <w:b w:val="0"/>
          <w:bCs w:val="0"/>
        </w:rPr>
      </w:pPr>
    </w:p>
    <w:p w14:paraId="7E865D05" w14:textId="36DD043B" w:rsidR="4C39ED56" w:rsidRPr="009A730B" w:rsidRDefault="00045C31" w:rsidP="00C2615D">
      <w:pPr>
        <w:pStyle w:val="StyleOutlinenumberedArialOutlinenumberedArial11Outli"/>
        <w:numPr>
          <w:ilvl w:val="2"/>
          <w:numId w:val="25"/>
        </w:numPr>
        <w:jc w:val="both"/>
        <w:rPr>
          <w:rFonts w:ascii="Verdana" w:hAnsi="Verdana"/>
        </w:rPr>
      </w:pPr>
      <w:r w:rsidRPr="009A730B">
        <w:rPr>
          <w:rFonts w:ascii="Verdana" w:hAnsi="Verdana"/>
        </w:rPr>
        <w:t>Decla</w:t>
      </w:r>
      <w:r w:rsidR="1745A80F" w:rsidRPr="009A730B">
        <w:rPr>
          <w:rFonts w:ascii="Verdana" w:hAnsi="Verdana"/>
        </w:rPr>
        <w:t>rations of Interest and Hospitality Register</w:t>
      </w:r>
    </w:p>
    <w:p w14:paraId="3D1931D0" w14:textId="47CBCCDE" w:rsidR="4C39ED56" w:rsidRPr="009A730B" w:rsidRDefault="7CECD483"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Oversight was maintained of Declarations of Interest and the Gifts and Hospitality Register</w:t>
      </w:r>
      <w:r w:rsidR="004B61C3" w:rsidRPr="009A730B">
        <w:rPr>
          <w:rFonts w:ascii="Verdana" w:hAnsi="Verdana"/>
          <w:b w:val="0"/>
          <w:bCs w:val="0"/>
        </w:rPr>
        <w:t xml:space="preserve">. </w:t>
      </w:r>
      <w:r w:rsidRPr="009A730B">
        <w:rPr>
          <w:rFonts w:ascii="Verdana" w:hAnsi="Verdana"/>
          <w:b w:val="0"/>
          <w:bCs w:val="0"/>
        </w:rPr>
        <w:t xml:space="preserve">Declarations were routinely sought and recorded at each meeting, and the Committee received assurance that appropriate processes were in place for the declaration, recording, and management of interests and hospitality in line with organisational policy. </w:t>
      </w:r>
    </w:p>
    <w:p w14:paraId="675328F5" w14:textId="77777777" w:rsidR="00226302" w:rsidRPr="009A730B" w:rsidRDefault="00226302" w:rsidP="6F2B4365">
      <w:pPr>
        <w:pStyle w:val="StyleOutlinenumberedArialOutlinenumberedArial11Outli"/>
        <w:numPr>
          <w:ilvl w:val="0"/>
          <w:numId w:val="0"/>
        </w:numPr>
        <w:ind w:left="720" w:hanging="720"/>
        <w:jc w:val="both"/>
        <w:rPr>
          <w:rFonts w:ascii="Verdana" w:hAnsi="Verdana"/>
        </w:rPr>
      </w:pPr>
    </w:p>
    <w:p w14:paraId="05452B4A" w14:textId="66AD5070" w:rsidR="00EC7633" w:rsidRPr="009A730B" w:rsidRDefault="66B95549" w:rsidP="00C2615D">
      <w:pPr>
        <w:pStyle w:val="StyleOutlinenumberedArialOutlinenumberedArial11Outli"/>
        <w:numPr>
          <w:ilvl w:val="2"/>
          <w:numId w:val="25"/>
        </w:numPr>
        <w:ind w:left="720" w:hanging="720"/>
        <w:jc w:val="both"/>
        <w:rPr>
          <w:rFonts w:ascii="Verdana" w:hAnsi="Verdana"/>
        </w:rPr>
      </w:pPr>
      <w:r w:rsidRPr="009A730B">
        <w:rPr>
          <w:rFonts w:ascii="Verdana" w:hAnsi="Verdana"/>
        </w:rPr>
        <w:t xml:space="preserve">Audit </w:t>
      </w:r>
      <w:r w:rsidR="03D8378B" w:rsidRPr="009A730B">
        <w:rPr>
          <w:rFonts w:ascii="Verdana" w:hAnsi="Verdana"/>
        </w:rPr>
        <w:t>Tracker</w:t>
      </w:r>
      <w:r w:rsidRPr="009A730B">
        <w:rPr>
          <w:rFonts w:ascii="Verdana" w:hAnsi="Verdana"/>
        </w:rPr>
        <w:t xml:space="preserve"> and Status of Recommendations</w:t>
      </w:r>
    </w:p>
    <w:p w14:paraId="5FD9315C" w14:textId="49FED2E0" w:rsidR="4C39ED56" w:rsidRPr="009A730B" w:rsidRDefault="467913E2" w:rsidP="6D8E5F83">
      <w:pPr>
        <w:spacing w:after="0" w:line="240" w:lineRule="auto"/>
        <w:jc w:val="both"/>
        <w:rPr>
          <w:rFonts w:ascii="Verdana" w:eastAsia="Calibri" w:hAnsi="Verdana" w:cs="Arial"/>
          <w:sz w:val="24"/>
          <w:szCs w:val="24"/>
        </w:rPr>
      </w:pPr>
      <w:r w:rsidRPr="009A730B">
        <w:rPr>
          <w:rFonts w:ascii="Verdana" w:eastAsia="Calibri" w:hAnsi="Verdana" w:cs="Arial"/>
          <w:sz w:val="24"/>
          <w:szCs w:val="24"/>
        </w:rPr>
        <w:t xml:space="preserve">Regular reports on the Audit Tracker and Status of Recommendations were received, providing oversight of progress in implementing actions arising from internal audit, NWSSP Audit &amp; Assurance, and Audit Wales reviews. The Committee monitored the timeliness and quality of management responses, scrutinised areas of delayed progress, and agreed where further assurance or escalation was required. </w:t>
      </w:r>
    </w:p>
    <w:p w14:paraId="05A23F0C" w14:textId="67FEFABE" w:rsidR="4C39ED56" w:rsidRPr="009A730B" w:rsidRDefault="4C39ED56" w:rsidP="6D8E5F83">
      <w:pPr>
        <w:spacing w:after="0" w:line="240" w:lineRule="auto"/>
        <w:jc w:val="both"/>
        <w:rPr>
          <w:rFonts w:ascii="Verdana" w:hAnsi="Verdana" w:cs="Arial"/>
          <w:sz w:val="24"/>
          <w:szCs w:val="24"/>
        </w:rPr>
      </w:pPr>
    </w:p>
    <w:p w14:paraId="0CB0C676" w14:textId="2AF9A509" w:rsidR="4C39ED56" w:rsidRPr="009A730B" w:rsidRDefault="0D50CE33" w:rsidP="00C2615D">
      <w:pPr>
        <w:pStyle w:val="ListParagraph"/>
        <w:numPr>
          <w:ilvl w:val="2"/>
          <w:numId w:val="25"/>
        </w:numPr>
        <w:spacing w:after="0" w:line="240" w:lineRule="auto"/>
        <w:jc w:val="both"/>
        <w:rPr>
          <w:rFonts w:ascii="Verdana" w:hAnsi="Verdana" w:cs="Arial"/>
          <w:b/>
          <w:bCs/>
          <w:sz w:val="24"/>
          <w:szCs w:val="24"/>
        </w:rPr>
      </w:pPr>
      <w:r w:rsidRPr="009A730B">
        <w:rPr>
          <w:rFonts w:ascii="Verdana" w:hAnsi="Verdana" w:cs="Arial"/>
          <w:b/>
          <w:bCs/>
          <w:sz w:val="24"/>
          <w:szCs w:val="24"/>
        </w:rPr>
        <w:t xml:space="preserve">Partnership and Governance </w:t>
      </w:r>
    </w:p>
    <w:p w14:paraId="301EB5F1" w14:textId="4D313B48" w:rsidR="4C39ED56" w:rsidRPr="009A730B" w:rsidRDefault="28576DD1" w:rsidP="6D8E5F83">
      <w:pPr>
        <w:spacing w:after="0" w:line="240" w:lineRule="auto"/>
        <w:jc w:val="both"/>
        <w:rPr>
          <w:rFonts w:ascii="Verdana" w:eastAsia="Calibri" w:hAnsi="Verdana" w:cs="Arial"/>
          <w:sz w:val="24"/>
          <w:szCs w:val="24"/>
        </w:rPr>
      </w:pPr>
      <w:r w:rsidRPr="009A730B">
        <w:rPr>
          <w:rFonts w:ascii="Verdana" w:eastAsia="Calibri" w:hAnsi="Verdana" w:cs="Arial"/>
          <w:sz w:val="24"/>
          <w:szCs w:val="24"/>
        </w:rPr>
        <w:t xml:space="preserve">The Audit Committee received and considered reports on Partnership and Governance, including the development and use of partnership governance tracking arrangements. The Committee reviewed how statutory and key partnerships were governed, the clarity of delegated authorities, and the effectiveness of assurance and oversight mechanisms, including how partnership risks and issues were escalated through appropriate committees. </w:t>
      </w:r>
    </w:p>
    <w:p w14:paraId="04C23D99" w14:textId="7CDCE43A" w:rsidR="4C39ED56" w:rsidRPr="009A730B" w:rsidRDefault="4C39ED56" w:rsidP="6D8E5F83">
      <w:pPr>
        <w:spacing w:after="0" w:line="240" w:lineRule="auto"/>
        <w:jc w:val="both"/>
        <w:rPr>
          <w:rFonts w:ascii="Verdana" w:eastAsia="Calibri" w:hAnsi="Verdana" w:cs="Arial"/>
          <w:sz w:val="24"/>
          <w:szCs w:val="24"/>
        </w:rPr>
      </w:pPr>
    </w:p>
    <w:p w14:paraId="622E94D6" w14:textId="2836F9CF" w:rsidR="4C39ED56" w:rsidRPr="009A730B" w:rsidRDefault="28576DD1" w:rsidP="00C2615D">
      <w:pPr>
        <w:pStyle w:val="ListParagraph"/>
        <w:numPr>
          <w:ilvl w:val="2"/>
          <w:numId w:val="25"/>
        </w:numPr>
        <w:spacing w:after="0" w:line="240" w:lineRule="auto"/>
        <w:jc w:val="both"/>
        <w:rPr>
          <w:rFonts w:ascii="Verdana" w:hAnsi="Verdana" w:cs="Arial"/>
          <w:b/>
          <w:bCs/>
          <w:sz w:val="24"/>
          <w:szCs w:val="24"/>
        </w:rPr>
      </w:pPr>
      <w:r w:rsidRPr="009A730B">
        <w:rPr>
          <w:rFonts w:ascii="Verdana" w:hAnsi="Verdana" w:cs="Arial"/>
          <w:b/>
          <w:bCs/>
          <w:sz w:val="24"/>
          <w:szCs w:val="24"/>
        </w:rPr>
        <w:t xml:space="preserve">Speaking up Safely Management Response </w:t>
      </w:r>
    </w:p>
    <w:p w14:paraId="5989E86A" w14:textId="73961809" w:rsidR="4C39ED56" w:rsidRPr="009A730B" w:rsidRDefault="76BD2726" w:rsidP="6D8E5F83">
      <w:pPr>
        <w:spacing w:after="0" w:line="240" w:lineRule="auto"/>
        <w:jc w:val="both"/>
        <w:rPr>
          <w:rFonts w:ascii="Verdana" w:eastAsia="Calibri" w:hAnsi="Verdana" w:cs="Arial"/>
          <w:sz w:val="24"/>
          <w:szCs w:val="24"/>
        </w:rPr>
      </w:pPr>
      <w:r w:rsidRPr="009A730B">
        <w:rPr>
          <w:rFonts w:ascii="Verdana" w:eastAsia="Calibri" w:hAnsi="Verdana" w:cs="Arial"/>
          <w:sz w:val="24"/>
          <w:szCs w:val="24"/>
        </w:rPr>
        <w:t>The Audit Committee received and considered the Speaking Up Safely Management Response, including progress against actions arising from a limited assurance internal audit. The Committee reviewed the effectiveness of arrangements in place to support staff to raise concerns safely, monitored delivery of agreed management actions, and considered assurance on the Guardian Service and wider cultural improvements. The Committee was assured that good progress was being made in strengthening Speaking Up Safely arrangements, providing assurance to the Board on the ongoing commitment to openness</w:t>
      </w:r>
      <w:r w:rsidR="0008693F" w:rsidRPr="009A730B">
        <w:rPr>
          <w:rFonts w:ascii="Verdana" w:eastAsia="Calibri" w:hAnsi="Verdana" w:cs="Arial"/>
          <w:sz w:val="24"/>
          <w:szCs w:val="24"/>
        </w:rPr>
        <w:t xml:space="preserve"> and </w:t>
      </w:r>
      <w:r w:rsidRPr="009A730B">
        <w:rPr>
          <w:rFonts w:ascii="Verdana" w:eastAsia="Calibri" w:hAnsi="Verdana" w:cs="Arial"/>
          <w:sz w:val="24"/>
          <w:szCs w:val="24"/>
        </w:rPr>
        <w:t>staff confidence</w:t>
      </w:r>
      <w:r w:rsidR="0008693F" w:rsidRPr="009A730B">
        <w:rPr>
          <w:rFonts w:ascii="Verdana" w:eastAsia="Calibri" w:hAnsi="Verdana" w:cs="Arial"/>
          <w:sz w:val="24"/>
          <w:szCs w:val="24"/>
        </w:rPr>
        <w:t>.</w:t>
      </w:r>
    </w:p>
    <w:p w14:paraId="32A04B98" w14:textId="05D8BF56" w:rsidR="4C39ED56" w:rsidRPr="009A730B" w:rsidRDefault="4C39ED56" w:rsidP="6D8E5F83">
      <w:pPr>
        <w:spacing w:after="0" w:line="240" w:lineRule="auto"/>
        <w:jc w:val="both"/>
        <w:rPr>
          <w:rFonts w:ascii="Verdana" w:eastAsia="Calibri" w:hAnsi="Verdana" w:cs="Arial"/>
          <w:sz w:val="24"/>
          <w:szCs w:val="24"/>
        </w:rPr>
      </w:pPr>
    </w:p>
    <w:p w14:paraId="07F339D3" w14:textId="1468BC28" w:rsidR="4C39ED56" w:rsidRPr="009A730B" w:rsidRDefault="34FFE932" w:rsidP="00C2615D">
      <w:pPr>
        <w:pStyle w:val="ListParagraph"/>
        <w:numPr>
          <w:ilvl w:val="2"/>
          <w:numId w:val="25"/>
        </w:numPr>
        <w:spacing w:after="0" w:line="240" w:lineRule="auto"/>
        <w:jc w:val="both"/>
        <w:rPr>
          <w:rFonts w:ascii="Verdana" w:hAnsi="Verdana" w:cs="Arial"/>
          <w:b/>
          <w:bCs/>
          <w:sz w:val="24"/>
          <w:szCs w:val="24"/>
        </w:rPr>
      </w:pPr>
      <w:r w:rsidRPr="009A730B">
        <w:rPr>
          <w:rFonts w:ascii="Verdana" w:hAnsi="Verdana" w:cs="Arial"/>
          <w:b/>
          <w:bCs/>
          <w:sz w:val="24"/>
          <w:szCs w:val="24"/>
        </w:rPr>
        <w:t>Audit (Internal and Audit Wales) Management Protocol</w:t>
      </w:r>
    </w:p>
    <w:p w14:paraId="2CD3C82E" w14:textId="32BCA390" w:rsidR="4C39ED56" w:rsidRPr="009A730B" w:rsidRDefault="3BF880DF" w:rsidP="6D8E5F83">
      <w:pPr>
        <w:spacing w:after="0" w:line="240" w:lineRule="auto"/>
        <w:jc w:val="both"/>
        <w:rPr>
          <w:rFonts w:ascii="Verdana" w:eastAsia="Calibri" w:hAnsi="Verdana" w:cs="Arial"/>
          <w:sz w:val="24"/>
          <w:szCs w:val="24"/>
        </w:rPr>
      </w:pPr>
      <w:r w:rsidRPr="009A730B">
        <w:rPr>
          <w:rFonts w:ascii="Verdana" w:eastAsia="Calibri" w:hAnsi="Verdana" w:cs="Arial"/>
          <w:sz w:val="24"/>
          <w:szCs w:val="24"/>
        </w:rPr>
        <w:t xml:space="preserve">The Committee received and reviewed the Audit (Internal and Audit Wales) Management Protocol, which sets out clear and consistent processes to support the timely and effective management of Internal Audit and Audit Wales reports. The Protocol aims to improve the quality of management responses to audit findings, strengthen accountability for the delivery of </w:t>
      </w:r>
      <w:r w:rsidRPr="009A730B">
        <w:rPr>
          <w:rFonts w:ascii="Verdana" w:eastAsia="Calibri" w:hAnsi="Verdana" w:cs="Arial"/>
          <w:sz w:val="24"/>
          <w:szCs w:val="24"/>
        </w:rPr>
        <w:lastRenderedPageBreak/>
        <w:t>agreed actions, and ensure appropriate oversight and assurance to the Committee. Key elements include strengthened arrangements for the review of draft audit responses, ongoing advice and support to Directors, and regular reporting on the progress and closure of audit actions.</w:t>
      </w:r>
    </w:p>
    <w:p w14:paraId="46F59340" w14:textId="7E329EE4" w:rsidR="4C39ED56" w:rsidRPr="009A730B" w:rsidRDefault="4C39ED56" w:rsidP="6D8E5F83">
      <w:pPr>
        <w:spacing w:after="0" w:line="240" w:lineRule="auto"/>
        <w:jc w:val="both"/>
        <w:rPr>
          <w:rFonts w:ascii="Verdana" w:eastAsia="Calibri" w:hAnsi="Verdana" w:cs="Arial"/>
          <w:sz w:val="24"/>
          <w:szCs w:val="24"/>
        </w:rPr>
      </w:pPr>
    </w:p>
    <w:p w14:paraId="32021EA2" w14:textId="54F7DCF8" w:rsidR="4C39ED56" w:rsidRPr="009A730B" w:rsidRDefault="3BF880DF" w:rsidP="00C2615D">
      <w:pPr>
        <w:pStyle w:val="ListParagraph"/>
        <w:numPr>
          <w:ilvl w:val="2"/>
          <w:numId w:val="25"/>
        </w:numPr>
        <w:spacing w:after="0" w:line="240" w:lineRule="auto"/>
        <w:jc w:val="both"/>
        <w:rPr>
          <w:rFonts w:ascii="Verdana" w:hAnsi="Verdana" w:cs="Arial"/>
          <w:b/>
          <w:bCs/>
          <w:sz w:val="24"/>
          <w:szCs w:val="24"/>
        </w:rPr>
      </w:pPr>
      <w:r w:rsidRPr="009A730B">
        <w:rPr>
          <w:rFonts w:ascii="Verdana" w:hAnsi="Verdana" w:cs="Arial"/>
          <w:b/>
          <w:bCs/>
          <w:sz w:val="24"/>
          <w:szCs w:val="24"/>
        </w:rPr>
        <w:t xml:space="preserve">Corporate Governance Policies </w:t>
      </w:r>
    </w:p>
    <w:p w14:paraId="3A79E212" w14:textId="6A9D38EE" w:rsidR="4C39ED56" w:rsidRPr="009A730B" w:rsidRDefault="092F5756" w:rsidP="6D8E5F83">
      <w:pPr>
        <w:spacing w:after="0" w:line="240" w:lineRule="auto"/>
        <w:jc w:val="both"/>
        <w:rPr>
          <w:rFonts w:ascii="Verdana" w:eastAsia="Calibri" w:hAnsi="Verdana" w:cs="Arial"/>
          <w:sz w:val="24"/>
          <w:szCs w:val="24"/>
        </w:rPr>
      </w:pPr>
      <w:r w:rsidRPr="009A730B">
        <w:rPr>
          <w:rFonts w:ascii="Verdana" w:eastAsia="Calibri" w:hAnsi="Verdana" w:cs="Arial"/>
          <w:sz w:val="24"/>
          <w:szCs w:val="24"/>
        </w:rPr>
        <w:t>The Committee received an update on key Corporate Governance policies, including the Claims Management Policy and the Standards of Business Conduct Policy. The update provided assurance that these policies remained fit for purpose, aligned with statutory and regulatory requirements, and supported consistent, transparent, and ethical decision</w:t>
      </w:r>
      <w:r w:rsidR="4C39ED56" w:rsidRPr="009A730B">
        <w:noBreakHyphen/>
      </w:r>
      <w:r w:rsidRPr="009A730B">
        <w:rPr>
          <w:rFonts w:ascii="Verdana" w:eastAsia="Calibri" w:hAnsi="Verdana" w:cs="Arial"/>
          <w:sz w:val="24"/>
          <w:szCs w:val="24"/>
        </w:rPr>
        <w:t xml:space="preserve">making across the organisation. </w:t>
      </w:r>
    </w:p>
    <w:p w14:paraId="5908740B" w14:textId="6E0A2210" w:rsidR="4C39ED56" w:rsidRPr="009A730B" w:rsidRDefault="4C39ED56" w:rsidP="6D8E5F83">
      <w:pPr>
        <w:spacing w:after="0" w:line="240" w:lineRule="auto"/>
        <w:jc w:val="both"/>
        <w:rPr>
          <w:rFonts w:ascii="Verdana" w:eastAsia="Calibri" w:hAnsi="Verdana" w:cs="Arial"/>
          <w:sz w:val="24"/>
          <w:szCs w:val="24"/>
        </w:rPr>
      </w:pPr>
    </w:p>
    <w:p w14:paraId="3BA214C0" w14:textId="44AF4E25" w:rsidR="4C39ED56" w:rsidRPr="009A730B" w:rsidRDefault="1CFCD0ED" w:rsidP="00C2615D">
      <w:pPr>
        <w:pStyle w:val="ListParagraph"/>
        <w:numPr>
          <w:ilvl w:val="2"/>
          <w:numId w:val="25"/>
        </w:numPr>
        <w:spacing w:after="0" w:line="240" w:lineRule="auto"/>
        <w:jc w:val="both"/>
        <w:rPr>
          <w:rFonts w:ascii="Verdana" w:hAnsi="Verdana" w:cs="Arial"/>
          <w:b/>
          <w:bCs/>
          <w:sz w:val="24"/>
          <w:szCs w:val="24"/>
        </w:rPr>
      </w:pPr>
      <w:r w:rsidRPr="009A730B">
        <w:rPr>
          <w:rFonts w:ascii="Verdana" w:hAnsi="Verdana" w:cs="Arial"/>
          <w:b/>
          <w:bCs/>
          <w:sz w:val="24"/>
          <w:szCs w:val="24"/>
        </w:rPr>
        <w:t>Emergency Medical Retrieval and Transfer Service (EMRTS) Annual report</w:t>
      </w:r>
    </w:p>
    <w:p w14:paraId="3802AAE3" w14:textId="5C11EC7A" w:rsidR="4C39ED56" w:rsidRPr="009A730B" w:rsidRDefault="7879B2D9" w:rsidP="6D8E5F83">
      <w:pPr>
        <w:spacing w:after="0" w:line="240" w:lineRule="auto"/>
        <w:jc w:val="both"/>
        <w:rPr>
          <w:rFonts w:ascii="Verdana" w:eastAsia="Calibri" w:hAnsi="Verdana" w:cs="Arial"/>
          <w:sz w:val="24"/>
          <w:szCs w:val="24"/>
        </w:rPr>
      </w:pPr>
      <w:r w:rsidRPr="009A730B">
        <w:rPr>
          <w:rFonts w:ascii="Verdana" w:eastAsia="Calibri" w:hAnsi="Verdana" w:cs="Arial"/>
          <w:sz w:val="24"/>
          <w:szCs w:val="24"/>
        </w:rPr>
        <w:t>In November the Committee received and reviewed the Emergency Medical Retrieval and Transfer Service (EMRTS) Annual Report, which provided assurance on the performance, clinical governance, and operation of the service. The report highlighted a successful year for both retrieval and road</w:t>
      </w:r>
      <w:r w:rsidR="4C39ED56" w:rsidRPr="009A730B">
        <w:noBreakHyphen/>
      </w:r>
      <w:r w:rsidRPr="009A730B">
        <w:rPr>
          <w:rFonts w:ascii="Verdana" w:eastAsia="Calibri" w:hAnsi="Verdana" w:cs="Arial"/>
          <w:sz w:val="24"/>
          <w:szCs w:val="24"/>
        </w:rPr>
        <w:t>based services, including improved long</w:t>
      </w:r>
      <w:r w:rsidR="4C39ED56" w:rsidRPr="009A730B">
        <w:noBreakHyphen/>
      </w:r>
      <w:r w:rsidRPr="009A730B">
        <w:rPr>
          <w:rFonts w:ascii="Verdana" w:eastAsia="Calibri" w:hAnsi="Verdana" w:cs="Arial"/>
          <w:sz w:val="24"/>
          <w:szCs w:val="24"/>
        </w:rPr>
        <w:t xml:space="preserve">distance patient transfers, advanced clinical interventions, and positive patient outcomes. Updates were also provided on education and training activity, collaborative working, and staff engagement, including communication and engagement related to the relocation of service bases following the conclusion of a judicial review. </w:t>
      </w:r>
    </w:p>
    <w:p w14:paraId="770B7220" w14:textId="65468B6C" w:rsidR="4C39ED56" w:rsidRPr="009A730B" w:rsidRDefault="4C39ED56" w:rsidP="6D8E5F83">
      <w:pPr>
        <w:spacing w:after="0" w:line="240" w:lineRule="auto"/>
        <w:jc w:val="both"/>
        <w:rPr>
          <w:rFonts w:ascii="Verdana" w:eastAsia="Calibri" w:hAnsi="Verdana" w:cs="Arial"/>
          <w:sz w:val="24"/>
          <w:szCs w:val="24"/>
        </w:rPr>
      </w:pPr>
    </w:p>
    <w:p w14:paraId="30A743E5" w14:textId="097710B3" w:rsidR="4C39ED56" w:rsidRPr="009A730B" w:rsidRDefault="7879B2D9" w:rsidP="00C2615D">
      <w:pPr>
        <w:pStyle w:val="ListParagraph"/>
        <w:numPr>
          <w:ilvl w:val="2"/>
          <w:numId w:val="25"/>
        </w:numPr>
        <w:spacing w:after="0" w:line="240" w:lineRule="auto"/>
        <w:jc w:val="both"/>
        <w:rPr>
          <w:rFonts w:ascii="Verdana" w:hAnsi="Verdana" w:cs="Arial"/>
          <w:b/>
          <w:bCs/>
          <w:sz w:val="24"/>
          <w:szCs w:val="24"/>
        </w:rPr>
      </w:pPr>
      <w:r w:rsidRPr="009A730B">
        <w:rPr>
          <w:rFonts w:ascii="Verdana" w:hAnsi="Verdana" w:cs="Arial"/>
          <w:b/>
          <w:bCs/>
          <w:sz w:val="24"/>
          <w:szCs w:val="24"/>
        </w:rPr>
        <w:t>Spinal Service Operational Delivery Network (ODN) Annual report</w:t>
      </w:r>
    </w:p>
    <w:p w14:paraId="0BAB4657" w14:textId="6C5B04C9" w:rsidR="4C39ED56" w:rsidRPr="009A730B" w:rsidRDefault="1D845E84" w:rsidP="6D8E5F83">
      <w:pPr>
        <w:spacing w:after="0" w:line="240" w:lineRule="auto"/>
        <w:jc w:val="both"/>
        <w:rPr>
          <w:rFonts w:ascii="Verdana" w:eastAsia="Calibri" w:hAnsi="Verdana" w:cs="Arial"/>
          <w:sz w:val="24"/>
          <w:szCs w:val="24"/>
        </w:rPr>
      </w:pPr>
      <w:r w:rsidRPr="009A730B">
        <w:rPr>
          <w:rFonts w:ascii="Verdana" w:eastAsia="Calibri" w:hAnsi="Verdana" w:cs="Arial"/>
          <w:sz w:val="24"/>
          <w:szCs w:val="24"/>
        </w:rPr>
        <w:t xml:space="preserve">During 2025–2026, the Audit Committee received and reviewed the Spinal Services Operational Delivery Network (ODN) Annual Report, which provided assurance on Swansea Bay University Health Board’s (SBUHB) responsibilities as host organisation for the South Wales Spinal Network (SWSN). </w:t>
      </w:r>
    </w:p>
    <w:p w14:paraId="1018335F" w14:textId="64563ECF" w:rsidR="4C39ED56" w:rsidRPr="009A730B" w:rsidRDefault="1D845E84" w:rsidP="6D8E5F83">
      <w:pPr>
        <w:spacing w:after="0" w:line="240" w:lineRule="auto"/>
        <w:jc w:val="both"/>
        <w:rPr>
          <w:rFonts w:ascii="Verdana" w:eastAsia="Calibri" w:hAnsi="Verdana" w:cs="Arial"/>
          <w:sz w:val="24"/>
          <w:szCs w:val="24"/>
        </w:rPr>
      </w:pPr>
      <w:r w:rsidRPr="009A730B">
        <w:rPr>
          <w:rFonts w:ascii="Verdana" w:eastAsia="Calibri" w:hAnsi="Verdana" w:cs="Arial"/>
          <w:sz w:val="24"/>
          <w:szCs w:val="24"/>
        </w:rPr>
        <w:t>The report confirmed that the ODN, hosted by S</w:t>
      </w:r>
      <w:r w:rsidR="6F5DE58D" w:rsidRPr="009A730B">
        <w:rPr>
          <w:rFonts w:ascii="Verdana" w:eastAsia="Calibri" w:hAnsi="Verdana" w:cs="Arial"/>
          <w:sz w:val="24"/>
          <w:szCs w:val="24"/>
        </w:rPr>
        <w:t xml:space="preserve">BUHB </w:t>
      </w:r>
      <w:r w:rsidRPr="009A730B">
        <w:rPr>
          <w:rFonts w:ascii="Verdana" w:eastAsia="Calibri" w:hAnsi="Verdana" w:cs="Arial"/>
          <w:sz w:val="24"/>
          <w:szCs w:val="24"/>
        </w:rPr>
        <w:t>and commissioned by the NHS Wales Joint Commissioning Committee, continued to mature its governance arrangements, with a formal Memorandum of Understanding in place and clear lines of accountability through the Network Board and Delivery Assurance Group</w:t>
      </w:r>
    </w:p>
    <w:p w14:paraId="04240F20" w14:textId="3A0AE994" w:rsidR="006C4858" w:rsidRPr="009A730B" w:rsidRDefault="006C4858" w:rsidP="6D8E5F83">
      <w:pPr>
        <w:spacing w:after="0" w:line="240" w:lineRule="auto"/>
        <w:jc w:val="both"/>
        <w:rPr>
          <w:rFonts w:ascii="Verdana" w:eastAsia="Calibri" w:hAnsi="Verdana" w:cs="Arial"/>
          <w:sz w:val="24"/>
          <w:szCs w:val="24"/>
        </w:rPr>
      </w:pPr>
    </w:p>
    <w:p w14:paraId="46890010" w14:textId="21A4C018" w:rsidR="006C4858" w:rsidRPr="009A730B" w:rsidRDefault="006C4858" w:rsidP="7E77A6F8">
      <w:pPr>
        <w:pStyle w:val="StyleOutlinenumberedArialOutlinenumberedArial11Outli"/>
        <w:jc w:val="both"/>
        <w:rPr>
          <w:rFonts w:ascii="Verdana" w:hAnsi="Verdana"/>
        </w:rPr>
      </w:pPr>
      <w:r w:rsidRPr="009A730B">
        <w:rPr>
          <w:rFonts w:ascii="Verdana" w:hAnsi="Verdana"/>
        </w:rPr>
        <w:t>Neonatal Annual report</w:t>
      </w:r>
    </w:p>
    <w:p w14:paraId="1A6EF832" w14:textId="0D990039" w:rsidR="006C4858" w:rsidRPr="009A730B" w:rsidRDefault="006C4858" w:rsidP="006C4858">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 xml:space="preserve">During the reporting period, the Audit Committee received and considered the Neonatal Annual Report, which provided assurance on the governance, quality, safety, and performance of Neonatal Services across SBUHB. The report outlined service activity and performance, workforce position, clinical outcomes, risk management arrangements, and progress against improvement actions. Members scrutinised the robustness of data and governance oversight, including learning from reviews and external </w:t>
      </w:r>
      <w:r w:rsidRPr="009A730B">
        <w:rPr>
          <w:rFonts w:ascii="Verdana" w:hAnsi="Verdana"/>
          <w:b w:val="0"/>
          <w:bCs w:val="0"/>
        </w:rPr>
        <w:lastRenderedPageBreak/>
        <w:t>scrutiny, and were assured that appropriate arrangements were in place to support the safe delivery of neonatal care and ongoing service improvement.</w:t>
      </w:r>
    </w:p>
    <w:p w14:paraId="6BB3D824" w14:textId="6F19F58E" w:rsidR="4C39ED56" w:rsidRPr="009A730B" w:rsidRDefault="4C39ED56" w:rsidP="6D8E5F83">
      <w:pPr>
        <w:spacing w:after="0" w:line="240" w:lineRule="auto"/>
        <w:jc w:val="both"/>
        <w:rPr>
          <w:rFonts w:ascii="Verdana" w:eastAsia="Calibri" w:hAnsi="Verdana" w:cs="Arial"/>
          <w:b/>
          <w:bCs/>
          <w:sz w:val="24"/>
          <w:szCs w:val="24"/>
        </w:rPr>
      </w:pPr>
    </w:p>
    <w:p w14:paraId="037833C4" w14:textId="12D8CD76" w:rsidR="4C39ED56" w:rsidRPr="009A730B" w:rsidRDefault="78762D58" w:rsidP="00C2615D">
      <w:pPr>
        <w:pStyle w:val="ListParagraph"/>
        <w:numPr>
          <w:ilvl w:val="2"/>
          <w:numId w:val="25"/>
        </w:numPr>
        <w:spacing w:after="0" w:line="240" w:lineRule="auto"/>
        <w:jc w:val="both"/>
        <w:rPr>
          <w:rFonts w:ascii="Verdana" w:hAnsi="Verdana" w:cs="Arial"/>
          <w:b/>
          <w:bCs/>
          <w:sz w:val="24"/>
          <w:szCs w:val="24"/>
        </w:rPr>
      </w:pPr>
      <w:r w:rsidRPr="009A730B">
        <w:rPr>
          <w:rFonts w:ascii="Verdana" w:hAnsi="Verdana" w:cs="Arial"/>
          <w:b/>
          <w:bCs/>
          <w:sz w:val="24"/>
          <w:szCs w:val="24"/>
        </w:rPr>
        <w:t>Full Standing Order Review</w:t>
      </w:r>
    </w:p>
    <w:p w14:paraId="6BC6F245" w14:textId="771798E3" w:rsidR="4C39ED56" w:rsidRPr="009A730B" w:rsidRDefault="43CF1F99" w:rsidP="6D8E5F83">
      <w:pPr>
        <w:spacing w:after="0" w:line="240" w:lineRule="auto"/>
        <w:jc w:val="both"/>
        <w:rPr>
          <w:rFonts w:ascii="Verdana" w:eastAsia="Calibri" w:hAnsi="Verdana" w:cs="Arial"/>
          <w:sz w:val="24"/>
          <w:szCs w:val="24"/>
        </w:rPr>
      </w:pPr>
      <w:r w:rsidRPr="009A730B">
        <w:rPr>
          <w:rFonts w:ascii="Verdana" w:eastAsia="Calibri" w:hAnsi="Verdana" w:cs="Arial"/>
          <w:sz w:val="24"/>
          <w:szCs w:val="24"/>
        </w:rPr>
        <w:t>During 2025–2026, the Audit Committee received and considered the full annual review of the Health Board’s Standing Orders, in line with statutory requirements and good governance principles. The review provides assurance that the Standing Orders continue to translate legislative and regulatory requirements into effective day</w:t>
      </w:r>
      <w:r w:rsidR="4C39ED56" w:rsidRPr="009A730B">
        <w:noBreakHyphen/>
      </w:r>
      <w:r w:rsidRPr="009A730B">
        <w:rPr>
          <w:rFonts w:ascii="Verdana" w:eastAsia="Calibri" w:hAnsi="Verdana" w:cs="Arial"/>
          <w:sz w:val="24"/>
          <w:szCs w:val="24"/>
        </w:rPr>
        <w:t>to</w:t>
      </w:r>
      <w:r w:rsidR="4C39ED56" w:rsidRPr="009A730B">
        <w:noBreakHyphen/>
      </w:r>
      <w:r w:rsidRPr="009A730B">
        <w:rPr>
          <w:rFonts w:ascii="Verdana" w:eastAsia="Calibri" w:hAnsi="Verdana" w:cs="Arial"/>
          <w:sz w:val="24"/>
          <w:szCs w:val="24"/>
        </w:rPr>
        <w:t>day governance arrangements, alongside the Scheme of Decisions Reserved to the Board, Scheme of Delegation, and Standing Financial Instructions.</w:t>
      </w:r>
    </w:p>
    <w:p w14:paraId="19196A11" w14:textId="33248C37" w:rsidR="4C39ED56" w:rsidRPr="009A730B" w:rsidRDefault="43CF1F99" w:rsidP="6D8E5F83">
      <w:pPr>
        <w:spacing w:after="0" w:line="240" w:lineRule="auto"/>
        <w:jc w:val="both"/>
        <w:rPr>
          <w:rFonts w:ascii="Verdana" w:eastAsia="Calibri" w:hAnsi="Verdana" w:cs="Arial"/>
          <w:sz w:val="24"/>
          <w:szCs w:val="24"/>
        </w:rPr>
      </w:pPr>
      <w:r w:rsidRPr="009A730B">
        <w:rPr>
          <w:rFonts w:ascii="Verdana" w:eastAsia="Calibri" w:hAnsi="Verdana" w:cs="Arial"/>
          <w:sz w:val="24"/>
          <w:szCs w:val="24"/>
        </w:rPr>
        <w:t>The Committee considered updates to the Standing Orders at its meetings in September 2025 and March 2026, noting that the only substantive changes during the period related to Schedule 3 – Terms of Reference for Board Committees, reflecting refinements to committee roles and responsibilities. These changes were recommended for approval by the Board to ensure an up</w:t>
      </w:r>
      <w:r w:rsidR="4C39ED56" w:rsidRPr="009A730B">
        <w:noBreakHyphen/>
      </w:r>
      <w:r w:rsidRPr="009A730B">
        <w:rPr>
          <w:rFonts w:ascii="Verdana" w:eastAsia="Calibri" w:hAnsi="Verdana" w:cs="Arial"/>
          <w:sz w:val="24"/>
          <w:szCs w:val="24"/>
        </w:rPr>
        <w:t>to</w:t>
      </w:r>
      <w:r w:rsidR="4C39ED56" w:rsidRPr="009A730B">
        <w:noBreakHyphen/>
      </w:r>
      <w:r w:rsidRPr="009A730B">
        <w:rPr>
          <w:rFonts w:ascii="Verdana" w:eastAsia="Calibri" w:hAnsi="Verdana" w:cs="Arial"/>
          <w:sz w:val="24"/>
          <w:szCs w:val="24"/>
        </w:rPr>
        <w:t>date and coherent suite of governance documents.</w:t>
      </w:r>
    </w:p>
    <w:p w14:paraId="41C07FAA" w14:textId="5378419D" w:rsidR="4C39ED56" w:rsidRPr="009A730B" w:rsidRDefault="4C39ED56" w:rsidP="4C39ED56">
      <w:pPr>
        <w:spacing w:after="0" w:line="240" w:lineRule="auto"/>
        <w:jc w:val="both"/>
        <w:rPr>
          <w:rFonts w:ascii="Verdana" w:hAnsi="Verdana" w:cs="Arial"/>
          <w:b/>
          <w:bCs/>
          <w:sz w:val="24"/>
          <w:szCs w:val="24"/>
        </w:rPr>
      </w:pPr>
    </w:p>
    <w:p w14:paraId="52E99FF1" w14:textId="7B96107C" w:rsidR="13378356" w:rsidRPr="009A730B" w:rsidRDefault="13378356" w:rsidP="00C2615D">
      <w:pPr>
        <w:pStyle w:val="ListParagraph"/>
        <w:numPr>
          <w:ilvl w:val="2"/>
          <w:numId w:val="25"/>
        </w:numPr>
        <w:spacing w:after="0" w:line="240" w:lineRule="auto"/>
        <w:jc w:val="both"/>
        <w:rPr>
          <w:rFonts w:ascii="Verdana" w:hAnsi="Verdana" w:cs="Arial"/>
          <w:b/>
          <w:bCs/>
          <w:sz w:val="24"/>
          <w:szCs w:val="24"/>
        </w:rPr>
      </w:pPr>
      <w:r w:rsidRPr="009A730B">
        <w:rPr>
          <w:rFonts w:ascii="Verdana" w:hAnsi="Verdana" w:cs="Arial"/>
          <w:b/>
          <w:bCs/>
          <w:sz w:val="24"/>
          <w:szCs w:val="24"/>
        </w:rPr>
        <w:t>Compliance with Governance Code</w:t>
      </w:r>
    </w:p>
    <w:p w14:paraId="47DE87EB" w14:textId="79598C8B" w:rsidR="336C123F" w:rsidRPr="009A730B" w:rsidRDefault="336C123F" w:rsidP="6D8E5F83">
      <w:pPr>
        <w:spacing w:after="0" w:line="240" w:lineRule="auto"/>
        <w:jc w:val="both"/>
        <w:rPr>
          <w:rFonts w:ascii="Verdana" w:eastAsia="Calibri" w:hAnsi="Verdana" w:cs="Arial"/>
          <w:sz w:val="24"/>
          <w:szCs w:val="24"/>
        </w:rPr>
      </w:pPr>
      <w:r w:rsidRPr="009A730B">
        <w:rPr>
          <w:rFonts w:ascii="Verdana" w:eastAsia="Calibri" w:hAnsi="Verdana" w:cs="Arial"/>
          <w:sz w:val="24"/>
          <w:szCs w:val="24"/>
        </w:rPr>
        <w:t xml:space="preserve">The Audit Committee reviewed the Health Board’s annual assessment of compliance with HM Treasury’s </w:t>
      </w:r>
      <w:r w:rsidRPr="009A730B">
        <w:rPr>
          <w:rFonts w:ascii="Verdana" w:eastAsia="Calibri" w:hAnsi="Verdana" w:cs="Arial"/>
          <w:i/>
          <w:iCs/>
          <w:sz w:val="24"/>
          <w:szCs w:val="24"/>
        </w:rPr>
        <w:t>Corporate governance in central departments: code of good practice</w:t>
      </w:r>
      <w:r w:rsidRPr="009A730B">
        <w:rPr>
          <w:rFonts w:ascii="Verdana" w:eastAsia="Calibri" w:hAnsi="Verdana" w:cs="Arial"/>
          <w:sz w:val="24"/>
          <w:szCs w:val="24"/>
        </w:rPr>
        <w:t xml:space="preserve"> during 2025–2026. The Committee confirmed compliance for the year, subject to a minor amendment to reflect External Audit attendance, and supported the inclusion of the final assessment within the Annual Accountability Report submitted to the Board and Welsh Government.</w:t>
      </w:r>
    </w:p>
    <w:p w14:paraId="2B6AA5F4" w14:textId="061C77EB" w:rsidR="006C4858" w:rsidRPr="009A730B" w:rsidRDefault="006C4858" w:rsidP="6D8E5F83">
      <w:pPr>
        <w:spacing w:after="0" w:line="240" w:lineRule="auto"/>
        <w:jc w:val="both"/>
        <w:rPr>
          <w:rFonts w:ascii="Verdana" w:eastAsia="Calibri" w:hAnsi="Verdana" w:cs="Arial"/>
          <w:sz w:val="24"/>
          <w:szCs w:val="24"/>
        </w:rPr>
      </w:pPr>
    </w:p>
    <w:p w14:paraId="3A286B3C" w14:textId="75D8F7CD" w:rsidR="006C4858" w:rsidRPr="009A730B" w:rsidRDefault="006C4858" w:rsidP="6D8E5F83">
      <w:pPr>
        <w:spacing w:after="0" w:line="240" w:lineRule="auto"/>
        <w:jc w:val="both"/>
        <w:rPr>
          <w:rFonts w:ascii="Verdana" w:eastAsia="Calibri" w:hAnsi="Verdana" w:cs="Arial"/>
          <w:sz w:val="24"/>
          <w:szCs w:val="24"/>
        </w:rPr>
      </w:pPr>
    </w:p>
    <w:p w14:paraId="6BF5A426" w14:textId="77777777" w:rsidR="001838BA" w:rsidRPr="009A730B" w:rsidRDefault="001838BA" w:rsidP="6F2B4365">
      <w:pPr>
        <w:spacing w:after="0" w:line="240" w:lineRule="auto"/>
        <w:ind w:right="96"/>
        <w:jc w:val="both"/>
        <w:rPr>
          <w:rFonts w:ascii="Verdana" w:hAnsi="Verdana"/>
          <w:b/>
          <w:bCs/>
          <w:color w:val="00B050"/>
          <w:sz w:val="24"/>
          <w:szCs w:val="24"/>
        </w:rPr>
      </w:pPr>
    </w:p>
    <w:p w14:paraId="0B0DAF96" w14:textId="48323031" w:rsidR="00183E08" w:rsidRPr="009A730B" w:rsidRDefault="007560A0" w:rsidP="00C2615D">
      <w:pPr>
        <w:pStyle w:val="StyleOutlinenumberedArialOutlinenumberedArial11Outli"/>
        <w:numPr>
          <w:ilvl w:val="1"/>
          <w:numId w:val="25"/>
        </w:numPr>
        <w:jc w:val="both"/>
        <w:rPr>
          <w:rFonts w:ascii="Verdana" w:hAnsi="Verdana"/>
          <w:u w:val="single"/>
        </w:rPr>
      </w:pPr>
      <w:r w:rsidRPr="009A730B">
        <w:rPr>
          <w:rFonts w:ascii="Verdana" w:hAnsi="Verdana"/>
        </w:rPr>
        <w:t xml:space="preserve"> </w:t>
      </w:r>
      <w:r w:rsidRPr="009A730B">
        <w:rPr>
          <w:rFonts w:ascii="Verdana" w:hAnsi="Verdana"/>
        </w:rPr>
        <w:tab/>
      </w:r>
      <w:r w:rsidR="4A78107C" w:rsidRPr="009A730B">
        <w:rPr>
          <w:rFonts w:ascii="Verdana" w:hAnsi="Verdana"/>
          <w:u w:val="single"/>
        </w:rPr>
        <w:t>Financial Focus</w:t>
      </w:r>
      <w:r w:rsidR="4A78107C" w:rsidRPr="009A730B">
        <w:rPr>
          <w:rFonts w:ascii="Verdana" w:hAnsi="Verdana"/>
        </w:rPr>
        <w:t xml:space="preserve"> </w:t>
      </w:r>
    </w:p>
    <w:p w14:paraId="6B11A064" w14:textId="14A4F4A5" w:rsidR="4C39ED56" w:rsidRPr="009A730B" w:rsidRDefault="4C39ED56" w:rsidP="4C39ED56">
      <w:pPr>
        <w:pStyle w:val="StyleOutlinenumberedArialOutlinenumberedArial11Outli"/>
        <w:numPr>
          <w:ilvl w:val="0"/>
          <w:numId w:val="0"/>
        </w:numPr>
        <w:ind w:left="720" w:hanging="720"/>
        <w:jc w:val="both"/>
        <w:rPr>
          <w:rFonts w:ascii="Verdana" w:hAnsi="Verdana"/>
          <w:u w:val="single"/>
        </w:rPr>
      </w:pPr>
    </w:p>
    <w:p w14:paraId="524B38FE" w14:textId="44D4C1DF" w:rsidR="00CA4028" w:rsidRPr="009A730B" w:rsidRDefault="007560A0" w:rsidP="007560A0">
      <w:pPr>
        <w:pStyle w:val="StyleOutlinenumberedArialOutlinenumberedArial11Outli"/>
        <w:numPr>
          <w:ilvl w:val="0"/>
          <w:numId w:val="0"/>
        </w:numPr>
        <w:jc w:val="both"/>
        <w:rPr>
          <w:rFonts w:ascii="Verdana" w:hAnsi="Verdana"/>
        </w:rPr>
      </w:pPr>
      <w:r w:rsidRPr="009A730B">
        <w:rPr>
          <w:rFonts w:ascii="Verdana" w:hAnsi="Verdana"/>
        </w:rPr>
        <w:t>3.3.</w:t>
      </w:r>
      <w:r w:rsidR="00504EA9" w:rsidRPr="009A730B">
        <w:rPr>
          <w:rFonts w:ascii="Verdana" w:hAnsi="Verdana"/>
        </w:rPr>
        <w:t xml:space="preserve">1 </w:t>
      </w:r>
      <w:r w:rsidR="38016E9F" w:rsidRPr="009A730B">
        <w:rPr>
          <w:rFonts w:ascii="Verdana" w:hAnsi="Verdana"/>
        </w:rPr>
        <w:t>Financial Update</w:t>
      </w:r>
    </w:p>
    <w:p w14:paraId="1D42B905" w14:textId="5C04C21A" w:rsidR="002A469A" w:rsidRPr="009A730B" w:rsidRDefault="1E2A6A2B"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Throughout 2025–2026, the Audit Committee maintained oversight of the Health Board’s financial position through regular Financial Update reports, focusing on key risks and control arrangements. The Committee considered reports on in</w:t>
      </w:r>
      <w:r w:rsidR="002A469A" w:rsidRPr="009A730B">
        <w:noBreakHyphen/>
      </w:r>
      <w:r w:rsidRPr="009A730B">
        <w:rPr>
          <w:rFonts w:ascii="Verdana" w:hAnsi="Verdana"/>
          <w:b w:val="0"/>
          <w:bCs w:val="0"/>
        </w:rPr>
        <w:t xml:space="preserve">year financial performance, cost pressures, recovery and sustainability arrangements, and emerging financial risks, and scrutinised the effectiveness of financial controls and mitigation actions. </w:t>
      </w:r>
    </w:p>
    <w:p w14:paraId="620596BE" w14:textId="5C2C7F78" w:rsidR="002A469A" w:rsidRPr="009A730B" w:rsidRDefault="002A469A" w:rsidP="6D8E5F83">
      <w:pPr>
        <w:pStyle w:val="StyleOutlinenumberedArialOutlinenumberedArial11Outli"/>
        <w:numPr>
          <w:ilvl w:val="0"/>
          <w:numId w:val="0"/>
        </w:numPr>
        <w:jc w:val="both"/>
        <w:rPr>
          <w:rFonts w:ascii="Verdana" w:hAnsi="Verdana"/>
        </w:rPr>
      </w:pPr>
    </w:p>
    <w:p w14:paraId="12174B38" w14:textId="31C04B36" w:rsidR="002A469A" w:rsidRPr="009A730B" w:rsidRDefault="1E2A6A2B" w:rsidP="00C2615D">
      <w:pPr>
        <w:pStyle w:val="StyleOutlinenumberedArialOutlinenumberedArial11Outli"/>
        <w:numPr>
          <w:ilvl w:val="2"/>
          <w:numId w:val="26"/>
        </w:numPr>
        <w:jc w:val="both"/>
        <w:rPr>
          <w:rFonts w:ascii="Verdana" w:hAnsi="Verdana"/>
        </w:rPr>
      </w:pPr>
      <w:r w:rsidRPr="009A730B">
        <w:rPr>
          <w:rFonts w:ascii="Verdana" w:hAnsi="Verdana"/>
        </w:rPr>
        <w:t xml:space="preserve">Financial Control Procedure 15 (FCP 15) </w:t>
      </w:r>
    </w:p>
    <w:p w14:paraId="48A6888C" w14:textId="7EA9D6C8" w:rsidR="002A469A" w:rsidRPr="009A730B" w:rsidRDefault="3722BD4F"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 xml:space="preserve">The Committee considered revisions to Financial Control Procedure 15 (FCP 15), which governs capital investment, asset management, and the maintenance of the Fixed Asset Register. The updated procedure was brought forward following recommendations from internal audit and included enhancements to contractor vetting arrangements, strengthened asset verification processes, clarification of fixed asset recording and </w:t>
      </w:r>
      <w:r w:rsidRPr="009A730B">
        <w:rPr>
          <w:rFonts w:ascii="Verdana" w:hAnsi="Verdana"/>
          <w:b w:val="0"/>
          <w:bCs w:val="0"/>
        </w:rPr>
        <w:lastRenderedPageBreak/>
        <w:t xml:space="preserve">verification requirements, and a move to more frequent updates to the Fixed Asset Register. The Committee reviewed the amendments and </w:t>
      </w:r>
      <w:r w:rsidRPr="009A730B">
        <w:rPr>
          <w:rFonts w:ascii="Verdana" w:hAnsi="Verdana"/>
          <w:b w:val="0"/>
          <w:bCs w:val="0"/>
          <w:i/>
          <w:iCs/>
        </w:rPr>
        <w:t xml:space="preserve">approved </w:t>
      </w:r>
      <w:r w:rsidRPr="009A730B">
        <w:rPr>
          <w:rFonts w:ascii="Verdana" w:hAnsi="Verdana"/>
          <w:b w:val="0"/>
          <w:bCs w:val="0"/>
        </w:rPr>
        <w:t>the revised FCP 15.</w:t>
      </w:r>
    </w:p>
    <w:p w14:paraId="6D039A72" w14:textId="2855582F" w:rsidR="2FF74074" w:rsidRPr="009A730B" w:rsidRDefault="2FF74074" w:rsidP="4C39ED56">
      <w:pPr>
        <w:spacing w:after="0" w:line="240" w:lineRule="auto"/>
        <w:jc w:val="both"/>
        <w:rPr>
          <w:rFonts w:ascii="Verdana" w:eastAsia="Times New Roman" w:hAnsi="Verdana" w:cs="Arial"/>
          <w:sz w:val="24"/>
          <w:szCs w:val="24"/>
          <w:lang w:val="en-US" w:eastAsia="en-GB"/>
        </w:rPr>
      </w:pPr>
    </w:p>
    <w:p w14:paraId="4F65D115" w14:textId="2AC03344" w:rsidR="571E6757" w:rsidRPr="009A730B" w:rsidRDefault="571E6757" w:rsidP="00C2615D">
      <w:pPr>
        <w:pStyle w:val="ListParagraph"/>
        <w:numPr>
          <w:ilvl w:val="2"/>
          <w:numId w:val="26"/>
        </w:numPr>
        <w:spacing w:after="0" w:line="240" w:lineRule="auto"/>
        <w:jc w:val="both"/>
        <w:rPr>
          <w:rFonts w:ascii="Verdana" w:eastAsia="Times New Roman" w:hAnsi="Verdana" w:cs="Arial"/>
          <w:b/>
          <w:bCs/>
          <w:sz w:val="24"/>
          <w:szCs w:val="24"/>
          <w:lang w:val="en-US" w:eastAsia="en-GB"/>
        </w:rPr>
      </w:pPr>
      <w:r w:rsidRPr="009A730B">
        <w:rPr>
          <w:rFonts w:ascii="Verdana" w:eastAsia="Times New Roman" w:hAnsi="Verdana" w:cs="Arial"/>
          <w:b/>
          <w:bCs/>
          <w:sz w:val="24"/>
          <w:szCs w:val="24"/>
          <w:lang w:val="en-US" w:eastAsia="en-GB"/>
        </w:rPr>
        <w:t xml:space="preserve">Analytical Review </w:t>
      </w:r>
    </w:p>
    <w:p w14:paraId="27129974" w14:textId="2DF5F4EE" w:rsidR="5532316B" w:rsidRPr="009A730B" w:rsidRDefault="5532316B" w:rsidP="6D8E5F83">
      <w:pPr>
        <w:spacing w:after="0" w:line="240" w:lineRule="auto"/>
        <w:jc w:val="both"/>
        <w:rPr>
          <w:rFonts w:ascii="Verdana" w:eastAsia="Times New Roman" w:hAnsi="Verdana" w:cs="Arial"/>
          <w:sz w:val="24"/>
          <w:szCs w:val="24"/>
          <w:lang w:val="en-US"/>
        </w:rPr>
      </w:pPr>
      <w:r w:rsidRPr="009A730B">
        <w:rPr>
          <w:rFonts w:ascii="Verdana" w:eastAsia="Times New Roman" w:hAnsi="Verdana" w:cs="Arial"/>
          <w:sz w:val="24"/>
          <w:szCs w:val="24"/>
          <w:lang w:val="en-US"/>
        </w:rPr>
        <w:t>In May 2025, the Audit Committee received and considered the Analytical Review as part of its responsibility to provide assurance to the Board on the reasonableness and consistency of the Health Board’s financial reporting. The Committee reviewed the analysis of significant movements and variances within the financial statements and was satisfied that appropriate explanations and supporting evidence were provided. This consideration contributed to the Committee’s overall assurance on the robustness and integrity of the year</w:t>
      </w:r>
      <w:r w:rsidRPr="009A730B">
        <w:noBreakHyphen/>
      </w:r>
      <w:r w:rsidRPr="009A730B">
        <w:rPr>
          <w:rFonts w:ascii="Verdana" w:eastAsia="Times New Roman" w:hAnsi="Verdana" w:cs="Arial"/>
          <w:sz w:val="24"/>
          <w:szCs w:val="24"/>
          <w:lang w:val="en-US"/>
        </w:rPr>
        <w:t>end financial reporting process.</w:t>
      </w:r>
    </w:p>
    <w:p w14:paraId="6DC2A372" w14:textId="60BDB259" w:rsidR="6D8E5F83" w:rsidRPr="009A730B" w:rsidRDefault="6D8E5F83" w:rsidP="6D8E5F83">
      <w:pPr>
        <w:spacing w:after="0" w:line="240" w:lineRule="auto"/>
        <w:jc w:val="both"/>
        <w:rPr>
          <w:rFonts w:ascii="Verdana" w:eastAsia="Times New Roman" w:hAnsi="Verdana" w:cs="Arial"/>
          <w:b/>
          <w:bCs/>
          <w:sz w:val="24"/>
          <w:szCs w:val="24"/>
          <w:lang w:val="en-US" w:eastAsia="en-GB"/>
        </w:rPr>
      </w:pPr>
    </w:p>
    <w:p w14:paraId="1DCAE1AC" w14:textId="69AEE707" w:rsidR="7BCD7CE8" w:rsidRPr="009A730B" w:rsidRDefault="7BCD7CE8" w:rsidP="00C2615D">
      <w:pPr>
        <w:pStyle w:val="ListParagraph"/>
        <w:numPr>
          <w:ilvl w:val="2"/>
          <w:numId w:val="26"/>
        </w:numPr>
        <w:spacing w:after="0" w:line="240" w:lineRule="auto"/>
        <w:jc w:val="both"/>
        <w:rPr>
          <w:rFonts w:ascii="Verdana" w:eastAsia="Times New Roman" w:hAnsi="Verdana" w:cs="Arial"/>
          <w:b/>
          <w:bCs/>
          <w:sz w:val="24"/>
          <w:szCs w:val="24"/>
          <w:lang w:val="en-US" w:eastAsia="en-GB"/>
        </w:rPr>
      </w:pPr>
      <w:r w:rsidRPr="009A730B">
        <w:rPr>
          <w:rFonts w:ascii="Verdana" w:eastAsia="Times New Roman" w:hAnsi="Verdana" w:cs="Arial"/>
          <w:b/>
          <w:bCs/>
          <w:sz w:val="24"/>
          <w:szCs w:val="24"/>
          <w:lang w:val="en-US" w:eastAsia="en-GB"/>
        </w:rPr>
        <w:t>South Wales Trauma Network Annual Report 2024-2025</w:t>
      </w:r>
    </w:p>
    <w:p w14:paraId="0D18CB17" w14:textId="3F791110" w:rsidR="6C0B185A" w:rsidRPr="009A730B" w:rsidRDefault="6C0B185A" w:rsidP="6D8E5F83">
      <w:pPr>
        <w:spacing w:after="0" w:line="240" w:lineRule="auto"/>
        <w:jc w:val="both"/>
        <w:rPr>
          <w:rFonts w:ascii="Verdana" w:eastAsia="Times New Roman" w:hAnsi="Verdana" w:cs="Arial"/>
          <w:sz w:val="24"/>
          <w:szCs w:val="24"/>
          <w:lang w:val="en-US"/>
        </w:rPr>
      </w:pPr>
      <w:r w:rsidRPr="009A730B">
        <w:rPr>
          <w:rFonts w:ascii="Verdana" w:eastAsia="Times New Roman" w:hAnsi="Verdana" w:cs="Arial"/>
          <w:sz w:val="24"/>
          <w:szCs w:val="24"/>
          <w:lang w:val="en-US"/>
        </w:rPr>
        <w:t>The Audit Committee received and reviewed the South Wales Trauma Network Annual Report 2024–2025. The Committee considered the report to gain assurance on governance structures, performance arrangements, and collaborative working across the Network. This review supported the Committee’s overall assurance on the effectiveness of partnership governance and the management of risks associated with regional service delivery.</w:t>
      </w:r>
    </w:p>
    <w:p w14:paraId="6629CDC4" w14:textId="4F0C696E" w:rsidR="6D8E5F83" w:rsidRPr="009A730B" w:rsidRDefault="6D8E5F83" w:rsidP="6D8E5F83">
      <w:pPr>
        <w:spacing w:after="0" w:line="240" w:lineRule="auto"/>
        <w:jc w:val="both"/>
        <w:rPr>
          <w:rFonts w:ascii="Verdana" w:eastAsia="Times New Roman" w:hAnsi="Verdana" w:cs="Arial"/>
          <w:b/>
          <w:bCs/>
          <w:sz w:val="24"/>
          <w:szCs w:val="24"/>
          <w:lang w:val="en-US" w:eastAsia="en-GB"/>
        </w:rPr>
      </w:pPr>
    </w:p>
    <w:p w14:paraId="6E8D4E1E" w14:textId="726E0256" w:rsidR="4C39ED56" w:rsidRPr="009A730B" w:rsidRDefault="5ABBEA55" w:rsidP="00C2615D">
      <w:pPr>
        <w:pStyle w:val="ListParagraph"/>
        <w:numPr>
          <w:ilvl w:val="2"/>
          <w:numId w:val="26"/>
        </w:numPr>
        <w:spacing w:after="0" w:line="240" w:lineRule="auto"/>
        <w:jc w:val="both"/>
        <w:rPr>
          <w:rFonts w:ascii="Verdana" w:eastAsia="Times New Roman" w:hAnsi="Verdana" w:cs="Arial"/>
          <w:b/>
          <w:bCs/>
          <w:sz w:val="24"/>
          <w:szCs w:val="24"/>
          <w:lang w:val="en-US" w:eastAsia="en-GB"/>
        </w:rPr>
      </w:pPr>
      <w:r w:rsidRPr="009A730B">
        <w:rPr>
          <w:rFonts w:ascii="Verdana" w:eastAsia="Times New Roman" w:hAnsi="Verdana" w:cs="Arial"/>
          <w:b/>
          <w:bCs/>
          <w:sz w:val="24"/>
          <w:szCs w:val="24"/>
          <w:lang w:val="en-US" w:eastAsia="en-GB"/>
        </w:rPr>
        <w:t>Value for Money / Recovery and Sustainability</w:t>
      </w:r>
    </w:p>
    <w:p w14:paraId="5D8CCE6E" w14:textId="72A793E6" w:rsidR="6D647FFA" w:rsidRPr="009A730B" w:rsidRDefault="6D647FFA" w:rsidP="6D8E5F83">
      <w:pPr>
        <w:spacing w:after="0" w:line="240" w:lineRule="auto"/>
        <w:jc w:val="both"/>
        <w:rPr>
          <w:rFonts w:ascii="Verdana" w:eastAsia="Times New Roman" w:hAnsi="Verdana" w:cs="Arial"/>
          <w:sz w:val="24"/>
          <w:szCs w:val="24"/>
          <w:lang w:val="en-US"/>
        </w:rPr>
      </w:pPr>
      <w:r w:rsidRPr="009A730B">
        <w:rPr>
          <w:rFonts w:ascii="Verdana" w:eastAsia="Times New Roman" w:hAnsi="Verdana" w:cs="Arial"/>
          <w:sz w:val="24"/>
          <w:szCs w:val="24"/>
          <w:lang w:val="en-US"/>
        </w:rPr>
        <w:t>Regular updates on the Value for Money and Recovery and Sustainability Programme were received, providing oversight of the governance arrangements, delivery of savings, and financial sustainability of the Health Board. The Committee considered reports outlining the executive</w:t>
      </w:r>
      <w:r w:rsidRPr="009A730B">
        <w:noBreakHyphen/>
      </w:r>
      <w:r w:rsidRPr="009A730B">
        <w:rPr>
          <w:rFonts w:ascii="Verdana" w:eastAsia="Times New Roman" w:hAnsi="Verdana" w:cs="Arial"/>
          <w:sz w:val="24"/>
          <w:szCs w:val="24"/>
          <w:lang w:val="en-US"/>
        </w:rPr>
        <w:t xml:space="preserve">led recovery and sustainability programme, associated governance structures, and progress against identified savings targets, noting the ongoing challenges in delivering recurrent savings and the risks posed by </w:t>
      </w:r>
      <w:r w:rsidR="00624A7D" w:rsidRPr="009A730B">
        <w:rPr>
          <w:rFonts w:ascii="Verdana" w:eastAsia="Times New Roman" w:hAnsi="Verdana" w:cs="Arial"/>
          <w:sz w:val="24"/>
          <w:szCs w:val="24"/>
          <w:lang w:val="en-US"/>
        </w:rPr>
        <w:t>non</w:t>
      </w:r>
      <w:r w:rsidR="00624A7D" w:rsidRPr="009A730B">
        <w:t>-</w:t>
      </w:r>
      <w:r w:rsidR="00624A7D" w:rsidRPr="009A730B">
        <w:rPr>
          <w:rFonts w:ascii="Verdana" w:eastAsia="Times New Roman" w:hAnsi="Verdana" w:cs="Arial"/>
          <w:sz w:val="24"/>
          <w:szCs w:val="24"/>
          <w:lang w:val="en-US"/>
        </w:rPr>
        <w:t>delivery</w:t>
      </w:r>
      <w:r w:rsidRPr="009A730B">
        <w:rPr>
          <w:rFonts w:ascii="Verdana" w:eastAsia="Times New Roman" w:hAnsi="Verdana" w:cs="Arial"/>
          <w:sz w:val="24"/>
          <w:szCs w:val="24"/>
          <w:lang w:val="en-US"/>
        </w:rPr>
        <w:t xml:space="preserve">. </w:t>
      </w:r>
    </w:p>
    <w:p w14:paraId="3839DE7F" w14:textId="41E20F54" w:rsidR="6D8E5F83" w:rsidRPr="009A730B" w:rsidRDefault="6D8E5F83" w:rsidP="6D8E5F83">
      <w:pPr>
        <w:spacing w:after="0" w:line="240" w:lineRule="auto"/>
        <w:jc w:val="both"/>
        <w:rPr>
          <w:rFonts w:ascii="Verdana" w:eastAsia="Times New Roman" w:hAnsi="Verdana" w:cs="Arial"/>
          <w:sz w:val="24"/>
          <w:szCs w:val="24"/>
          <w:lang w:val="en-US"/>
        </w:rPr>
      </w:pPr>
    </w:p>
    <w:p w14:paraId="16F13173" w14:textId="28E4A5A3" w:rsidR="604D7363" w:rsidRPr="009A730B" w:rsidRDefault="604D7363" w:rsidP="00C2615D">
      <w:pPr>
        <w:pStyle w:val="ListParagraph"/>
        <w:numPr>
          <w:ilvl w:val="2"/>
          <w:numId w:val="26"/>
        </w:numPr>
        <w:spacing w:after="0" w:line="240" w:lineRule="auto"/>
        <w:jc w:val="both"/>
        <w:rPr>
          <w:rFonts w:ascii="Verdana" w:eastAsia="Times New Roman" w:hAnsi="Verdana" w:cs="Arial"/>
          <w:b/>
          <w:bCs/>
          <w:sz w:val="24"/>
          <w:szCs w:val="24"/>
          <w:lang w:val="en-US"/>
        </w:rPr>
      </w:pPr>
      <w:r w:rsidRPr="009A730B">
        <w:rPr>
          <w:rFonts w:ascii="Verdana" w:eastAsia="Times New Roman" w:hAnsi="Verdana" w:cs="Arial"/>
          <w:b/>
          <w:bCs/>
          <w:sz w:val="24"/>
          <w:szCs w:val="24"/>
          <w:lang w:val="en-US"/>
        </w:rPr>
        <w:t>Procurement report</w:t>
      </w:r>
    </w:p>
    <w:p w14:paraId="6DA46853" w14:textId="28113113" w:rsidR="604D7363" w:rsidRPr="009A730B" w:rsidRDefault="604D7363" w:rsidP="6D8E5F83">
      <w:pPr>
        <w:spacing w:after="0" w:line="240" w:lineRule="auto"/>
        <w:jc w:val="both"/>
        <w:rPr>
          <w:rFonts w:ascii="Verdana" w:eastAsia="Times New Roman" w:hAnsi="Verdana" w:cs="Arial"/>
          <w:sz w:val="24"/>
          <w:szCs w:val="24"/>
          <w:lang w:val="en-US"/>
        </w:rPr>
      </w:pPr>
      <w:r w:rsidRPr="009A730B">
        <w:rPr>
          <w:rFonts w:ascii="Verdana" w:eastAsia="Times New Roman" w:hAnsi="Verdana" w:cs="Arial"/>
          <w:sz w:val="24"/>
          <w:szCs w:val="24"/>
          <w:lang w:val="en-US"/>
        </w:rPr>
        <w:t>Procurement Reports were received regularly, providing assurance on compliance with procurement legislation, Standing Financial Instructions, and the operation of procurement controls across the Health Board. The reports highlighted the impact of changes to procurement legislation, arrangements for the oversight of Single Tender Actions (STAs), Single Quote Actions (SQAs) and Retrospective Actions, and improvements to governance and transparency through enhanced reporting and categorisation of procurement activity. The Committee noted the increased focus on training for Executive Directors and budget holders to strengthen compliance and reduce procurement</w:t>
      </w:r>
      <w:r w:rsidRPr="009A730B">
        <w:noBreakHyphen/>
      </w:r>
      <w:r w:rsidRPr="009A730B">
        <w:rPr>
          <w:rFonts w:ascii="Verdana" w:eastAsia="Times New Roman" w:hAnsi="Verdana" w:cs="Arial"/>
          <w:sz w:val="24"/>
          <w:szCs w:val="24"/>
          <w:lang w:val="en-US"/>
        </w:rPr>
        <w:t xml:space="preserve">related risk. </w:t>
      </w:r>
    </w:p>
    <w:p w14:paraId="78E17A1B" w14:textId="4FCD31F9" w:rsidR="00C47A28" w:rsidRPr="009A730B" w:rsidRDefault="00C47A28" w:rsidP="6D8E5F83">
      <w:pPr>
        <w:spacing w:after="0" w:line="240" w:lineRule="auto"/>
        <w:jc w:val="both"/>
        <w:rPr>
          <w:rFonts w:ascii="Verdana" w:eastAsia="Times New Roman" w:hAnsi="Verdana" w:cs="Arial"/>
          <w:sz w:val="24"/>
          <w:szCs w:val="24"/>
          <w:lang w:val="en-US"/>
        </w:rPr>
      </w:pPr>
    </w:p>
    <w:p w14:paraId="28BDBFC2" w14:textId="7D13BF7C" w:rsidR="007873F2" w:rsidRDefault="007873F2" w:rsidP="6D8E5F83">
      <w:pPr>
        <w:spacing w:after="0" w:line="240" w:lineRule="auto"/>
        <w:jc w:val="both"/>
        <w:rPr>
          <w:rFonts w:ascii="Verdana" w:eastAsia="Times New Roman" w:hAnsi="Verdana" w:cs="Arial"/>
          <w:sz w:val="24"/>
          <w:szCs w:val="24"/>
          <w:lang w:val="en-US"/>
        </w:rPr>
      </w:pPr>
    </w:p>
    <w:p w14:paraId="1BF4DE58" w14:textId="77777777" w:rsidR="00E433A4" w:rsidRPr="009A730B" w:rsidRDefault="00E433A4" w:rsidP="6D8E5F83">
      <w:pPr>
        <w:spacing w:after="0" w:line="240" w:lineRule="auto"/>
        <w:jc w:val="both"/>
        <w:rPr>
          <w:rFonts w:ascii="Verdana" w:eastAsia="Times New Roman" w:hAnsi="Verdana" w:cs="Arial"/>
          <w:sz w:val="24"/>
          <w:szCs w:val="24"/>
          <w:lang w:val="en-US"/>
        </w:rPr>
      </w:pPr>
    </w:p>
    <w:p w14:paraId="6B7E0066" w14:textId="34A54E15" w:rsidR="3A81D303" w:rsidRPr="009A730B" w:rsidRDefault="3A81D303" w:rsidP="00C2615D">
      <w:pPr>
        <w:pStyle w:val="ListParagraph"/>
        <w:numPr>
          <w:ilvl w:val="2"/>
          <w:numId w:val="26"/>
        </w:numPr>
        <w:spacing w:after="0" w:line="240" w:lineRule="auto"/>
        <w:jc w:val="both"/>
        <w:rPr>
          <w:rFonts w:ascii="Verdana" w:eastAsia="Times New Roman" w:hAnsi="Verdana" w:cs="Arial"/>
          <w:b/>
          <w:bCs/>
          <w:sz w:val="24"/>
          <w:szCs w:val="24"/>
          <w:lang w:val="en-US"/>
        </w:rPr>
      </w:pPr>
      <w:r w:rsidRPr="009A730B">
        <w:rPr>
          <w:rFonts w:ascii="Verdana" w:eastAsia="Times New Roman" w:hAnsi="Verdana" w:cs="Arial"/>
          <w:b/>
          <w:bCs/>
          <w:sz w:val="24"/>
          <w:szCs w:val="24"/>
          <w:lang w:val="en-US"/>
        </w:rPr>
        <w:lastRenderedPageBreak/>
        <w:t>Annual Accounts Update and Closure Plan 2025-2026</w:t>
      </w:r>
    </w:p>
    <w:p w14:paraId="469B1493" w14:textId="4DB7AEB0" w:rsidR="4FDA8A83" w:rsidRPr="009A730B" w:rsidRDefault="4FDA8A83" w:rsidP="6D8E5F83">
      <w:pPr>
        <w:spacing w:after="0" w:line="240" w:lineRule="auto"/>
        <w:jc w:val="both"/>
        <w:rPr>
          <w:rFonts w:ascii="Verdana" w:eastAsia="Times New Roman" w:hAnsi="Verdana" w:cs="Arial"/>
          <w:sz w:val="24"/>
          <w:szCs w:val="24"/>
          <w:lang w:val="en-US"/>
        </w:rPr>
      </w:pPr>
      <w:r w:rsidRPr="009A730B">
        <w:rPr>
          <w:rFonts w:ascii="Verdana" w:eastAsia="Times New Roman" w:hAnsi="Verdana" w:cs="Arial"/>
          <w:sz w:val="24"/>
          <w:szCs w:val="24"/>
          <w:lang w:val="en-US"/>
        </w:rPr>
        <w:t>During 2025–2026, the Audit Committee received regular updates on the Annual Accounts timetable and year</w:t>
      </w:r>
      <w:r w:rsidRPr="009A730B">
        <w:noBreakHyphen/>
      </w:r>
      <w:r w:rsidRPr="009A730B">
        <w:rPr>
          <w:rFonts w:ascii="Verdana" w:eastAsia="Times New Roman" w:hAnsi="Verdana" w:cs="Arial"/>
          <w:sz w:val="24"/>
          <w:szCs w:val="24"/>
          <w:lang w:val="en-US"/>
        </w:rPr>
        <w:t>end closure plans for the financial year ending 31 March 2026, providing assurance on the robustness of the arrangements in place to support timely and accurate financial reporting. The Committee was informed of the Welsh Government timetable for the preparation and submission of the Annual Accounts, including the requirement for draft accounts to be submitted by midday on 1 May 2026 and audited accounts by 30 June 2026, in line with national deadlines.</w:t>
      </w:r>
    </w:p>
    <w:p w14:paraId="4FEAEBBA" w14:textId="71331C3A" w:rsidR="6D8E5F83" w:rsidRPr="009A730B" w:rsidRDefault="6D8E5F83" w:rsidP="6D8E5F83">
      <w:pPr>
        <w:spacing w:after="0" w:line="240" w:lineRule="auto"/>
        <w:jc w:val="both"/>
        <w:rPr>
          <w:rFonts w:ascii="Verdana" w:eastAsia="Times New Roman" w:hAnsi="Verdana" w:cs="Arial"/>
          <w:b/>
          <w:bCs/>
          <w:sz w:val="24"/>
          <w:szCs w:val="24"/>
          <w:lang w:val="en-US" w:eastAsia="en-GB"/>
        </w:rPr>
      </w:pPr>
    </w:p>
    <w:p w14:paraId="6768C00A" w14:textId="5DF71047" w:rsidR="110B90CD" w:rsidRPr="009A730B" w:rsidRDefault="17AF05A5" w:rsidP="00C2615D">
      <w:pPr>
        <w:pStyle w:val="ListParagraph"/>
        <w:numPr>
          <w:ilvl w:val="2"/>
          <w:numId w:val="26"/>
        </w:numPr>
        <w:spacing w:after="0" w:line="240" w:lineRule="auto"/>
        <w:jc w:val="both"/>
        <w:rPr>
          <w:rFonts w:ascii="Verdana" w:eastAsia="Times New Roman" w:hAnsi="Verdana" w:cs="Arial"/>
          <w:b/>
          <w:bCs/>
          <w:lang w:val="en-US" w:eastAsia="en-GB"/>
        </w:rPr>
      </w:pPr>
      <w:r w:rsidRPr="009A730B">
        <w:rPr>
          <w:rFonts w:ascii="Verdana" w:eastAsia="Times New Roman" w:hAnsi="Verdana" w:cs="Arial"/>
          <w:b/>
          <w:bCs/>
          <w:sz w:val="24"/>
          <w:szCs w:val="24"/>
          <w:lang w:val="en-US" w:eastAsia="en-GB"/>
        </w:rPr>
        <w:t xml:space="preserve">Write off </w:t>
      </w:r>
      <w:r w:rsidR="110B90CD" w:rsidRPr="009A730B">
        <w:rPr>
          <w:rFonts w:ascii="Verdana" w:eastAsia="Times New Roman" w:hAnsi="Verdana" w:cs="Arial"/>
          <w:b/>
          <w:bCs/>
          <w:sz w:val="24"/>
          <w:szCs w:val="24"/>
          <w:lang w:val="en-US" w:eastAsia="en-GB"/>
        </w:rPr>
        <w:t>Bad Debt</w:t>
      </w:r>
    </w:p>
    <w:p w14:paraId="65F9F2E7" w14:textId="0E3912C6" w:rsidR="00813B9F" w:rsidRPr="009A730B" w:rsidRDefault="702DC287" w:rsidP="6D8E5F83">
      <w:pPr>
        <w:spacing w:after="0" w:line="240" w:lineRule="auto"/>
        <w:jc w:val="both"/>
        <w:rPr>
          <w:rFonts w:ascii="Verdana" w:eastAsia="Times New Roman" w:hAnsi="Verdana" w:cs="Arial"/>
          <w:sz w:val="24"/>
          <w:szCs w:val="24"/>
          <w:lang w:val="en-US"/>
        </w:rPr>
      </w:pPr>
      <w:r w:rsidRPr="009A730B">
        <w:rPr>
          <w:rFonts w:ascii="Verdana" w:eastAsia="Times New Roman" w:hAnsi="Verdana" w:cs="Arial"/>
          <w:sz w:val="24"/>
          <w:szCs w:val="24"/>
          <w:lang w:val="en-US"/>
        </w:rPr>
        <w:t xml:space="preserve">During 2025–2026, the Audit Committee considered and </w:t>
      </w:r>
      <w:r w:rsidRPr="009A730B">
        <w:rPr>
          <w:rFonts w:ascii="Verdana" w:eastAsia="Times New Roman" w:hAnsi="Verdana" w:cs="Arial"/>
          <w:i/>
          <w:iCs/>
          <w:sz w:val="24"/>
          <w:szCs w:val="24"/>
          <w:lang w:val="en-US"/>
        </w:rPr>
        <w:t>approved</w:t>
      </w:r>
      <w:r w:rsidRPr="009A730B">
        <w:rPr>
          <w:rFonts w:ascii="Verdana" w:eastAsia="Times New Roman" w:hAnsi="Verdana" w:cs="Arial"/>
          <w:sz w:val="24"/>
          <w:szCs w:val="24"/>
          <w:lang w:val="en-US"/>
        </w:rPr>
        <w:t xml:space="preserve"> a write</w:t>
      </w:r>
      <w:r w:rsidRPr="009A730B">
        <w:noBreakHyphen/>
      </w:r>
      <w:r w:rsidRPr="009A730B">
        <w:rPr>
          <w:rFonts w:ascii="Verdana" w:eastAsia="Times New Roman" w:hAnsi="Verdana" w:cs="Arial"/>
          <w:sz w:val="24"/>
          <w:szCs w:val="24"/>
          <w:lang w:val="en-US"/>
        </w:rPr>
        <w:t>off of a bad debt in accordance with the Health Board’s Financial Control Procedures (FCP10: Income, Fees and Charges). The Committee reviewed the circumstances of the case, including the application of the All</w:t>
      </w:r>
      <w:r w:rsidRPr="009A730B">
        <w:noBreakHyphen/>
      </w:r>
      <w:r w:rsidRPr="009A730B">
        <w:rPr>
          <w:rFonts w:ascii="Verdana" w:eastAsia="Times New Roman" w:hAnsi="Verdana" w:cs="Arial"/>
          <w:sz w:val="24"/>
          <w:szCs w:val="24"/>
          <w:lang w:val="en-US"/>
        </w:rPr>
        <w:t>Wales Overpayment and Recovery Policy, and was satisfied that recovery of the debt was not possible.</w:t>
      </w:r>
    </w:p>
    <w:p w14:paraId="445CDEFD" w14:textId="12A52BD7" w:rsidR="007873F2" w:rsidRPr="009A730B" w:rsidRDefault="007873F2" w:rsidP="6D8E5F83">
      <w:pPr>
        <w:spacing w:after="0" w:line="240" w:lineRule="auto"/>
        <w:jc w:val="both"/>
        <w:rPr>
          <w:rFonts w:ascii="Verdana" w:eastAsia="Times New Roman" w:hAnsi="Verdana" w:cs="Arial"/>
          <w:sz w:val="24"/>
          <w:szCs w:val="24"/>
          <w:lang w:val="en-US"/>
        </w:rPr>
      </w:pPr>
    </w:p>
    <w:p w14:paraId="3B84CC52" w14:textId="3A7C5DA8" w:rsidR="00813B9F" w:rsidRPr="009A730B" w:rsidRDefault="702DC287" w:rsidP="6D8E5F83">
      <w:pPr>
        <w:spacing w:after="0" w:line="240" w:lineRule="auto"/>
        <w:jc w:val="both"/>
        <w:rPr>
          <w:rFonts w:ascii="Verdana" w:eastAsia="Times New Roman" w:hAnsi="Verdana" w:cs="Arial"/>
          <w:sz w:val="24"/>
          <w:szCs w:val="24"/>
          <w:lang w:val="en-US"/>
        </w:rPr>
      </w:pPr>
      <w:r w:rsidRPr="009A730B">
        <w:rPr>
          <w:rFonts w:ascii="Verdana" w:eastAsia="Times New Roman" w:hAnsi="Verdana" w:cs="Arial"/>
          <w:sz w:val="24"/>
          <w:szCs w:val="24"/>
          <w:lang w:val="en-US"/>
        </w:rPr>
        <w:t>In providing approval, the Committee also sought assurance that lessons would be learned and that systems and controls were being strengthened to prevent recurrence, referring the matter to the Workforce and Organisational Development Committee for further oversight and assurance.</w:t>
      </w:r>
    </w:p>
    <w:p w14:paraId="2C2DA0AA" w14:textId="08CA1BDB" w:rsidR="00813B9F" w:rsidRPr="009A730B" w:rsidRDefault="00813B9F" w:rsidP="6D8E5F83">
      <w:pPr>
        <w:spacing w:after="0" w:line="240" w:lineRule="auto"/>
        <w:jc w:val="both"/>
        <w:rPr>
          <w:rFonts w:ascii="Verdana" w:eastAsia="Times New Roman" w:hAnsi="Verdana" w:cs="Arial"/>
          <w:sz w:val="24"/>
          <w:szCs w:val="24"/>
          <w:lang w:val="en-US" w:eastAsia="en-GB"/>
        </w:rPr>
      </w:pPr>
    </w:p>
    <w:p w14:paraId="76E74A11" w14:textId="64B630B0" w:rsidR="00873048" w:rsidRPr="009A730B" w:rsidRDefault="4A78107C" w:rsidP="00C2615D">
      <w:pPr>
        <w:pStyle w:val="StyleOutlinenumberedArialOutlinenumberedArial11Outli"/>
        <w:numPr>
          <w:ilvl w:val="1"/>
          <w:numId w:val="26"/>
        </w:numPr>
        <w:jc w:val="both"/>
        <w:rPr>
          <w:rFonts w:ascii="Verdana" w:hAnsi="Verdana"/>
          <w:u w:val="single"/>
        </w:rPr>
      </w:pPr>
      <w:r w:rsidRPr="009A730B">
        <w:rPr>
          <w:rFonts w:ascii="Verdana" w:hAnsi="Verdana"/>
          <w:u w:val="single"/>
        </w:rPr>
        <w:t>Internal Audit</w:t>
      </w:r>
    </w:p>
    <w:p w14:paraId="711DFC7D" w14:textId="305D64DF" w:rsidR="135BA81E" w:rsidRPr="009A730B" w:rsidRDefault="135BA81E"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The Audit Committee received regular Internal Audit Progress Reports and the Head of Internal Audit’s Annual Opinion, providing assurance on the adequacy and effectiveness of the Health Board’s governance, risk management and internal control arrangements. The Committee monitored delivery against the approved Internal Audit Plan, considered individual audit reports and assurance ratings, reviewed management responses and timescales for agreed actions, and escalated matters to the Board where appropriate.</w:t>
      </w:r>
      <w:r w:rsidR="00562DF1" w:rsidRPr="009A730B">
        <w:rPr>
          <w:rFonts w:ascii="Verdana" w:hAnsi="Verdana"/>
          <w:b w:val="0"/>
          <w:bCs w:val="0"/>
        </w:rPr>
        <w:t xml:space="preserve"> </w:t>
      </w:r>
      <w:r w:rsidRPr="009A730B">
        <w:rPr>
          <w:rFonts w:ascii="Verdana" w:hAnsi="Verdana"/>
          <w:b w:val="0"/>
          <w:bCs w:val="0"/>
        </w:rPr>
        <w:t>The Committee continued to recognise the value of the internal audit function in supporting assurance and continuous improvement and maintained oversight of progress in implementing audit recommendations throughout the year.</w:t>
      </w:r>
    </w:p>
    <w:p w14:paraId="318A3581" w14:textId="4649A574" w:rsidR="6D8E5F83" w:rsidRPr="009A730B" w:rsidRDefault="6D8E5F83" w:rsidP="6D8E5F83">
      <w:pPr>
        <w:pStyle w:val="StyleOutlinenumberedArialOutlinenumberedArial11Outli"/>
        <w:numPr>
          <w:ilvl w:val="0"/>
          <w:numId w:val="0"/>
        </w:numPr>
        <w:jc w:val="both"/>
        <w:rPr>
          <w:rFonts w:ascii="Verdana" w:hAnsi="Verdana"/>
          <w:b w:val="0"/>
          <w:bCs w:val="0"/>
        </w:rPr>
      </w:pPr>
    </w:p>
    <w:p w14:paraId="176FC0E2" w14:textId="77777777" w:rsidR="00562DF1" w:rsidRPr="009A730B" w:rsidRDefault="5E6C4E8A" w:rsidP="00C2615D">
      <w:pPr>
        <w:pStyle w:val="StyleOutlinenumberedArialOutlinenumberedArial11Outli"/>
        <w:numPr>
          <w:ilvl w:val="2"/>
          <w:numId w:val="27"/>
        </w:numPr>
        <w:jc w:val="both"/>
        <w:rPr>
          <w:rFonts w:ascii="Verdana" w:hAnsi="Verdana"/>
          <w:b w:val="0"/>
          <w:bCs w:val="0"/>
        </w:rPr>
      </w:pPr>
      <w:r w:rsidRPr="009A730B">
        <w:rPr>
          <w:rFonts w:ascii="Verdana" w:hAnsi="Verdana"/>
        </w:rPr>
        <w:t>Approval of the 2026/27 Internal Audit Plan (March 2026)</w:t>
      </w:r>
    </w:p>
    <w:p w14:paraId="3749FE5B" w14:textId="0E9DEF15" w:rsidR="5E6C4E8A" w:rsidRPr="009A730B" w:rsidRDefault="5E6C4E8A" w:rsidP="00DA5469">
      <w:pPr>
        <w:pStyle w:val="StyleOutlinenumberedArialOutlinenumberedArial11Outli"/>
        <w:numPr>
          <w:ilvl w:val="0"/>
          <w:numId w:val="0"/>
        </w:numPr>
        <w:rPr>
          <w:rFonts w:ascii="Verdana" w:hAnsi="Verdana"/>
          <w:b w:val="0"/>
          <w:bCs w:val="0"/>
        </w:rPr>
      </w:pPr>
      <w:r w:rsidRPr="009A730B">
        <w:rPr>
          <w:rFonts w:ascii="Verdana" w:hAnsi="Verdana"/>
          <w:b w:val="0"/>
          <w:bCs w:val="0"/>
        </w:rPr>
        <w:t>The Audit Committee reviewed and approved the Internal Audit Plan and</w:t>
      </w:r>
      <w:r w:rsidR="00DA5469" w:rsidRPr="009A730B">
        <w:rPr>
          <w:rFonts w:ascii="Verdana" w:hAnsi="Verdana"/>
          <w:b w:val="0"/>
          <w:bCs w:val="0"/>
        </w:rPr>
        <w:t xml:space="preserve"> </w:t>
      </w:r>
      <w:r w:rsidRPr="009A730B">
        <w:rPr>
          <w:rFonts w:ascii="Verdana" w:hAnsi="Verdana"/>
          <w:b w:val="0"/>
          <w:bCs w:val="0"/>
        </w:rPr>
        <w:t>agreed to provide assurance to the Board that the plan had been appropriately considered and endorsed.</w:t>
      </w:r>
    </w:p>
    <w:p w14:paraId="043DE18D" w14:textId="68DB042B" w:rsidR="6D8E5F83" w:rsidRPr="009A730B" w:rsidRDefault="6D8E5F83" w:rsidP="6D8E5F83">
      <w:pPr>
        <w:pStyle w:val="StyleOutlinenumberedArialOutlinenumberedArial11Outli"/>
        <w:numPr>
          <w:ilvl w:val="0"/>
          <w:numId w:val="0"/>
        </w:numPr>
        <w:jc w:val="both"/>
        <w:rPr>
          <w:rFonts w:ascii="Verdana" w:hAnsi="Verdana"/>
          <w:b w:val="0"/>
          <w:bCs w:val="0"/>
        </w:rPr>
      </w:pPr>
    </w:p>
    <w:p w14:paraId="6EBAB592" w14:textId="36B3BE2E" w:rsidR="1656A6C4" w:rsidRPr="009A730B" w:rsidRDefault="1656A6C4" w:rsidP="00C2615D">
      <w:pPr>
        <w:pStyle w:val="StyleOutlinenumberedArialOutlinenumberedArial11Outli"/>
        <w:numPr>
          <w:ilvl w:val="2"/>
          <w:numId w:val="27"/>
        </w:numPr>
        <w:jc w:val="both"/>
        <w:rPr>
          <w:rFonts w:ascii="Verdana" w:hAnsi="Verdana"/>
        </w:rPr>
      </w:pPr>
      <w:r w:rsidRPr="009A730B">
        <w:rPr>
          <w:rFonts w:ascii="Verdana" w:hAnsi="Verdana"/>
        </w:rPr>
        <w:t>Draft Head of Internal Audit Opinion and Annual Report 2024-2025</w:t>
      </w:r>
    </w:p>
    <w:p w14:paraId="2670352F" w14:textId="229A8D5A" w:rsidR="70FA51AE" w:rsidRPr="009A730B" w:rsidRDefault="70FA51AE"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 xml:space="preserve">The Audit Committee received and considered the Draft Head of Internal Audit Opinion and Annual Report 2024–2025, which provided an independent assessment of the adequacy and effectiveness of the Health </w:t>
      </w:r>
      <w:r w:rsidRPr="009A730B">
        <w:rPr>
          <w:rFonts w:ascii="Verdana" w:hAnsi="Verdana"/>
          <w:b w:val="0"/>
          <w:bCs w:val="0"/>
        </w:rPr>
        <w:lastRenderedPageBreak/>
        <w:t>Board’s governance, risk management and internal control arrangements. The report concluded with a Limited Assurance opinion and confirmed that Internal Audit activity had been delivered in conformance with the Public Sector Internal Audit Standards.</w:t>
      </w:r>
    </w:p>
    <w:p w14:paraId="112967A7" w14:textId="543897F2" w:rsidR="6D8E5F83" w:rsidRPr="009A730B" w:rsidRDefault="6D8E5F83" w:rsidP="6D8E5F83">
      <w:pPr>
        <w:pStyle w:val="StyleOutlinenumberedArialOutlinenumberedArial11Outli"/>
        <w:numPr>
          <w:ilvl w:val="0"/>
          <w:numId w:val="0"/>
        </w:numPr>
        <w:jc w:val="both"/>
        <w:rPr>
          <w:rFonts w:ascii="Verdana" w:hAnsi="Verdana"/>
          <w:b w:val="0"/>
          <w:bCs w:val="0"/>
        </w:rPr>
      </w:pPr>
    </w:p>
    <w:p w14:paraId="560EE27C" w14:textId="4FF9A85F" w:rsidR="206A537B" w:rsidRPr="009A730B" w:rsidRDefault="206A537B" w:rsidP="00C2615D">
      <w:pPr>
        <w:pStyle w:val="StyleOutlinenumberedArialOutlinenumberedArial11Outli"/>
        <w:numPr>
          <w:ilvl w:val="2"/>
          <w:numId w:val="27"/>
        </w:numPr>
        <w:ind w:left="720" w:hanging="720"/>
        <w:jc w:val="both"/>
        <w:rPr>
          <w:rFonts w:ascii="Verdana" w:hAnsi="Verdana"/>
        </w:rPr>
      </w:pPr>
      <w:r w:rsidRPr="009A730B">
        <w:rPr>
          <w:rFonts w:ascii="Verdana" w:hAnsi="Verdana"/>
        </w:rPr>
        <w:t>Risk Management and Assurance</w:t>
      </w:r>
    </w:p>
    <w:p w14:paraId="210F66A9" w14:textId="5BE9C342" w:rsidR="3D317051" w:rsidRPr="009A730B" w:rsidRDefault="3D317051"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 xml:space="preserve">During the year, the Audit Committee received risk management and assurance reports from Internal Audit, providing oversight of the Health Board’s approach to identifying, managing, and mitigating key strategic and operational risks. </w:t>
      </w:r>
    </w:p>
    <w:p w14:paraId="6DDE554B" w14:textId="15AF11AD" w:rsidR="6D8E5F83" w:rsidRPr="009A730B" w:rsidRDefault="6D8E5F83" w:rsidP="6D8E5F83">
      <w:pPr>
        <w:pStyle w:val="StyleOutlinenumberedArialOutlinenumberedArial11Outli"/>
        <w:numPr>
          <w:ilvl w:val="0"/>
          <w:numId w:val="0"/>
        </w:numPr>
        <w:jc w:val="both"/>
        <w:rPr>
          <w:rFonts w:ascii="Verdana" w:hAnsi="Verdana"/>
          <w:b w:val="0"/>
          <w:bCs w:val="0"/>
        </w:rPr>
      </w:pPr>
    </w:p>
    <w:p w14:paraId="3FC088DD" w14:textId="0C11D452" w:rsidR="206A537B" w:rsidRPr="009A730B" w:rsidRDefault="206A537B" w:rsidP="00C2615D">
      <w:pPr>
        <w:pStyle w:val="StyleOutlinenumberedArialOutlinenumberedArial11Outli"/>
        <w:numPr>
          <w:ilvl w:val="2"/>
          <w:numId w:val="27"/>
        </w:numPr>
        <w:ind w:left="720" w:hanging="720"/>
        <w:jc w:val="both"/>
        <w:rPr>
          <w:rFonts w:ascii="Verdana" w:hAnsi="Verdana"/>
        </w:rPr>
      </w:pPr>
      <w:r w:rsidRPr="009A730B">
        <w:rPr>
          <w:rFonts w:ascii="Verdana" w:hAnsi="Verdana"/>
        </w:rPr>
        <w:t>Budget Setting</w:t>
      </w:r>
    </w:p>
    <w:p w14:paraId="6FF8EE43" w14:textId="32F7A87C" w:rsidR="1E8ACC92" w:rsidRPr="009A730B" w:rsidRDefault="1E8ACC92"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The Audit Committee reviewed Internal Audit’s work on budget setting, focusing on the robustness of financial planning, governance, and controls supporting the annual budget process. The Committee received assurance that appropriate arrangements were in place to support budget setting, while noting areas for continued management focus to strengthen financial sustainability and compliance.</w:t>
      </w:r>
    </w:p>
    <w:p w14:paraId="5A8F64EF" w14:textId="6F7DA3E4" w:rsidR="6D8E5F83" w:rsidRPr="009A730B" w:rsidRDefault="6D8E5F83" w:rsidP="6D8E5F83">
      <w:pPr>
        <w:pStyle w:val="StyleOutlinenumberedArialOutlinenumberedArial11Outli"/>
        <w:numPr>
          <w:ilvl w:val="0"/>
          <w:numId w:val="0"/>
        </w:numPr>
        <w:jc w:val="both"/>
        <w:rPr>
          <w:rFonts w:ascii="Verdana" w:hAnsi="Verdana"/>
          <w:b w:val="0"/>
          <w:bCs w:val="0"/>
        </w:rPr>
      </w:pPr>
    </w:p>
    <w:p w14:paraId="7D690C30" w14:textId="19EC9666" w:rsidR="206A537B" w:rsidRPr="009A730B" w:rsidRDefault="206A537B" w:rsidP="00C2615D">
      <w:pPr>
        <w:pStyle w:val="StyleOutlinenumberedArialOutlinenumberedArial11Outli"/>
        <w:numPr>
          <w:ilvl w:val="2"/>
          <w:numId w:val="27"/>
        </w:numPr>
        <w:ind w:left="720" w:hanging="720"/>
        <w:jc w:val="both"/>
        <w:rPr>
          <w:rFonts w:ascii="Verdana" w:hAnsi="Verdana"/>
        </w:rPr>
      </w:pPr>
      <w:r w:rsidRPr="009A730B">
        <w:rPr>
          <w:rFonts w:ascii="Verdana" w:hAnsi="Verdana"/>
        </w:rPr>
        <w:t>Escalation Status Action (Limited Assurance)</w:t>
      </w:r>
    </w:p>
    <w:p w14:paraId="116FB0A8" w14:textId="4D560490" w:rsidR="6D8E4A8B" w:rsidRPr="009A730B" w:rsidRDefault="6D8E4A8B"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The Committee considered the Escalation Status Action report, which received a Limited Assurance rating. Members scrutinised the findings and agreed management actions, seeking assurance that weaknesses identified around escalation processes were being addressed, with progress monitored through follow</w:t>
      </w:r>
      <w:r w:rsidRPr="009A730B">
        <w:noBreakHyphen/>
      </w:r>
      <w:r w:rsidRPr="009A730B">
        <w:rPr>
          <w:rFonts w:ascii="Verdana" w:hAnsi="Verdana"/>
          <w:b w:val="0"/>
          <w:bCs w:val="0"/>
        </w:rPr>
        <w:t>up reporting and the Audit Committee action log.</w:t>
      </w:r>
    </w:p>
    <w:p w14:paraId="5ED2FDA7" w14:textId="7F54E34C" w:rsidR="6D8E5F83" w:rsidRPr="009A730B" w:rsidRDefault="6D8E5F83" w:rsidP="6D8E5F83">
      <w:pPr>
        <w:pStyle w:val="StyleOutlinenumberedArialOutlinenumberedArial11Outli"/>
        <w:numPr>
          <w:ilvl w:val="0"/>
          <w:numId w:val="0"/>
        </w:numPr>
        <w:jc w:val="both"/>
        <w:rPr>
          <w:rFonts w:ascii="Verdana" w:hAnsi="Verdana"/>
          <w:b w:val="0"/>
          <w:bCs w:val="0"/>
        </w:rPr>
      </w:pPr>
    </w:p>
    <w:p w14:paraId="0A105201" w14:textId="2EB3F932" w:rsidR="206A537B" w:rsidRPr="009A730B" w:rsidRDefault="206A537B" w:rsidP="00C2615D">
      <w:pPr>
        <w:pStyle w:val="StyleOutlinenumberedArialOutlinenumberedArial11Outli"/>
        <w:numPr>
          <w:ilvl w:val="2"/>
          <w:numId w:val="27"/>
        </w:numPr>
        <w:ind w:left="720" w:hanging="720"/>
        <w:jc w:val="both"/>
        <w:rPr>
          <w:rFonts w:ascii="Verdana" w:hAnsi="Verdana"/>
        </w:rPr>
      </w:pPr>
      <w:r w:rsidRPr="009A730B">
        <w:rPr>
          <w:rFonts w:ascii="Verdana" w:hAnsi="Verdana"/>
        </w:rPr>
        <w:t>Management of National Reportable Incidents (Reasonable Assurance)</w:t>
      </w:r>
    </w:p>
    <w:p w14:paraId="566958CA" w14:textId="1FCCC3ED" w:rsidR="2F59D2A7" w:rsidRPr="009A730B" w:rsidRDefault="2F59D2A7"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The Audit Committee received a Reasonable Assurance Internal Audit report on the management of national reportable incidents. The Committee noted that appropriate systems and controls were largely in place to identify, manage, and report incidents in line with national requirements, while recognising recommendations aimed at further strengthening consistency and oversight.</w:t>
      </w:r>
    </w:p>
    <w:p w14:paraId="4B2E089E" w14:textId="46457FCF" w:rsidR="6D8E5F83" w:rsidRPr="009A730B" w:rsidRDefault="6D8E5F83" w:rsidP="6D8E5F83">
      <w:pPr>
        <w:pStyle w:val="StyleOutlinenumberedArialOutlinenumberedArial11Outli"/>
        <w:numPr>
          <w:ilvl w:val="0"/>
          <w:numId w:val="0"/>
        </w:numPr>
        <w:jc w:val="both"/>
        <w:rPr>
          <w:rFonts w:ascii="Verdana" w:hAnsi="Verdana"/>
          <w:b w:val="0"/>
          <w:bCs w:val="0"/>
        </w:rPr>
      </w:pPr>
    </w:p>
    <w:p w14:paraId="488D26BE" w14:textId="4AEEE342" w:rsidR="206A537B" w:rsidRPr="009A730B" w:rsidRDefault="206A537B" w:rsidP="00C2615D">
      <w:pPr>
        <w:pStyle w:val="StyleOutlinenumberedArialOutlinenumberedArial11Outli"/>
        <w:numPr>
          <w:ilvl w:val="2"/>
          <w:numId w:val="27"/>
        </w:numPr>
        <w:ind w:left="720" w:hanging="720"/>
        <w:jc w:val="both"/>
        <w:rPr>
          <w:rFonts w:ascii="Verdana" w:hAnsi="Verdana"/>
        </w:rPr>
      </w:pPr>
      <w:r w:rsidRPr="009A730B">
        <w:rPr>
          <w:rFonts w:ascii="Verdana" w:hAnsi="Verdana"/>
        </w:rPr>
        <w:t>Controlled Drugs (Reasonable Assurance)</w:t>
      </w:r>
    </w:p>
    <w:p w14:paraId="072D3F22" w14:textId="2E5DEEE7" w:rsidR="008692FA" w:rsidRPr="009A730B" w:rsidRDefault="008692FA"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The Committee reviewed the Internal Audit report on Controlled Drugs, which provided Reasonable Assurance. The Audit Committee was satisfied that governance arrangements, controls, and monitoring processes were generally effective, whilst noting agreed actions to enhance compliance and assurance across clinical settings.</w:t>
      </w:r>
    </w:p>
    <w:p w14:paraId="55CF3EF2" w14:textId="1BB7FB4F" w:rsidR="6D8E5F83" w:rsidRPr="009A730B" w:rsidRDefault="6D8E5F83" w:rsidP="6D8E5F83">
      <w:pPr>
        <w:pStyle w:val="StyleOutlinenumberedArialOutlinenumberedArial11Outli"/>
        <w:numPr>
          <w:ilvl w:val="0"/>
          <w:numId w:val="0"/>
        </w:numPr>
        <w:jc w:val="both"/>
        <w:rPr>
          <w:rFonts w:ascii="Verdana" w:hAnsi="Verdana"/>
          <w:b w:val="0"/>
          <w:bCs w:val="0"/>
        </w:rPr>
      </w:pPr>
    </w:p>
    <w:p w14:paraId="0A4581C4" w14:textId="3D4BD990" w:rsidR="206A537B" w:rsidRPr="009A730B" w:rsidRDefault="206A537B" w:rsidP="00C2615D">
      <w:pPr>
        <w:pStyle w:val="StyleOutlinenumberedArialOutlinenumberedArial11Outli"/>
        <w:numPr>
          <w:ilvl w:val="2"/>
          <w:numId w:val="27"/>
        </w:numPr>
        <w:ind w:left="720" w:hanging="720"/>
        <w:jc w:val="both"/>
        <w:rPr>
          <w:rFonts w:ascii="Verdana" w:hAnsi="Verdana"/>
        </w:rPr>
      </w:pPr>
      <w:r w:rsidRPr="009A730B">
        <w:rPr>
          <w:rFonts w:ascii="Verdana" w:hAnsi="Verdana"/>
        </w:rPr>
        <w:t xml:space="preserve">Asbestos Management (Reasonable Assurance) </w:t>
      </w:r>
    </w:p>
    <w:p w14:paraId="7E9F4F53" w14:textId="36366BEB" w:rsidR="57DD1ED6" w:rsidRPr="009A730B" w:rsidRDefault="57DD1ED6"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The Audit Committee considered the Internal Audit report on Asbestos Management, receiving Reasonable Assurance that controls were in place to manage asbestos</w:t>
      </w:r>
      <w:r w:rsidRPr="009A730B">
        <w:noBreakHyphen/>
      </w:r>
      <w:r w:rsidRPr="009A730B">
        <w:rPr>
          <w:rFonts w:ascii="Verdana" w:hAnsi="Verdana"/>
          <w:b w:val="0"/>
          <w:bCs w:val="0"/>
        </w:rPr>
        <w:t xml:space="preserve">related risks. </w:t>
      </w:r>
    </w:p>
    <w:p w14:paraId="0FE5D11A" w14:textId="756CB37C" w:rsidR="6D8E5F83" w:rsidRPr="009A730B" w:rsidRDefault="6D8E5F83" w:rsidP="6D8E5F83">
      <w:pPr>
        <w:pStyle w:val="StyleOutlinenumberedArialOutlinenumberedArial11Outli"/>
        <w:numPr>
          <w:ilvl w:val="0"/>
          <w:numId w:val="0"/>
        </w:numPr>
        <w:ind w:left="720"/>
        <w:jc w:val="both"/>
        <w:rPr>
          <w:rFonts w:ascii="Verdana" w:hAnsi="Verdana"/>
        </w:rPr>
      </w:pPr>
    </w:p>
    <w:p w14:paraId="116765F0" w14:textId="58639585" w:rsidR="2EAF8C98" w:rsidRPr="009A730B" w:rsidRDefault="2EAF8C98" w:rsidP="00C2615D">
      <w:pPr>
        <w:pStyle w:val="StyleOutlinenumberedArialOutlinenumberedArial11Outli"/>
        <w:numPr>
          <w:ilvl w:val="1"/>
          <w:numId w:val="27"/>
        </w:numPr>
        <w:jc w:val="both"/>
        <w:rPr>
          <w:rFonts w:ascii="Verdana" w:hAnsi="Verdana"/>
          <w:u w:val="single"/>
        </w:rPr>
      </w:pPr>
      <w:r w:rsidRPr="009A730B">
        <w:rPr>
          <w:rFonts w:ascii="Verdana" w:hAnsi="Verdana"/>
          <w:u w:val="single"/>
        </w:rPr>
        <w:lastRenderedPageBreak/>
        <w:t xml:space="preserve">Clinical Audit </w:t>
      </w:r>
    </w:p>
    <w:p w14:paraId="5C486183" w14:textId="338C6D7F" w:rsidR="4C39ED56" w:rsidRPr="009A730B" w:rsidRDefault="4C39ED56" w:rsidP="4C39ED56">
      <w:pPr>
        <w:pStyle w:val="StyleOutlinenumberedArialOutlinenumberedArial11Outli"/>
        <w:numPr>
          <w:ilvl w:val="0"/>
          <w:numId w:val="0"/>
        </w:numPr>
        <w:ind w:left="720" w:hanging="720"/>
        <w:jc w:val="both"/>
        <w:rPr>
          <w:rFonts w:ascii="Verdana" w:hAnsi="Verdana"/>
          <w:b w:val="0"/>
          <w:bCs w:val="0"/>
        </w:rPr>
      </w:pPr>
    </w:p>
    <w:p w14:paraId="77CCF379" w14:textId="0CA55169" w:rsidR="00945344" w:rsidRPr="009A730B" w:rsidRDefault="00945344" w:rsidP="00C2615D">
      <w:pPr>
        <w:pStyle w:val="StyleOutlinenumberedArialOutlinenumberedArial11Outli"/>
        <w:numPr>
          <w:ilvl w:val="2"/>
          <w:numId w:val="27"/>
        </w:numPr>
        <w:jc w:val="both"/>
        <w:rPr>
          <w:rFonts w:ascii="Verdana" w:hAnsi="Verdana"/>
        </w:rPr>
      </w:pPr>
      <w:r w:rsidRPr="009A730B">
        <w:rPr>
          <w:rFonts w:ascii="Verdana" w:hAnsi="Verdana"/>
        </w:rPr>
        <w:t xml:space="preserve">Clinical Audit Outcome Review Plan </w:t>
      </w:r>
    </w:p>
    <w:p w14:paraId="438F222F" w14:textId="17C5B0E3" w:rsidR="4C39ED56" w:rsidRPr="009A730B" w:rsidRDefault="7395FA53" w:rsidP="00945344">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During 2025–2026, the Health Board’s clinical audit activity was aligned with the NHS Wales National Clinical Audit and Outcome Review Plan (NCAORP), as mandated by Welsh Government. The NCAORP set out the national clinical audits and outcome reviews that Health Boards and Trusts were required to participate in where relevant services were provided. Compliance with the Plan supported a consistent, Wales</w:t>
      </w:r>
      <w:r w:rsidR="4C39ED56" w:rsidRPr="009A730B">
        <w:noBreakHyphen/>
      </w:r>
      <w:r w:rsidRPr="009A730B">
        <w:rPr>
          <w:rFonts w:ascii="Verdana" w:hAnsi="Verdana"/>
          <w:b w:val="0"/>
          <w:bCs w:val="0"/>
        </w:rPr>
        <w:t>wide approach to clinical audit and outcome review, ensuring that learning from national programmes informed local quality improvement, clinical governance, and assurance arrangements.</w:t>
      </w:r>
    </w:p>
    <w:p w14:paraId="5ABF01D7" w14:textId="259D27BE" w:rsidR="4C39ED56" w:rsidRPr="009A730B" w:rsidRDefault="4C39ED56" w:rsidP="6D8E5F83">
      <w:pPr>
        <w:pStyle w:val="StyleOutlinenumberedArialOutlinenumberedArial11Outli"/>
        <w:numPr>
          <w:ilvl w:val="0"/>
          <w:numId w:val="0"/>
        </w:numPr>
        <w:ind w:left="720"/>
        <w:jc w:val="both"/>
        <w:rPr>
          <w:rFonts w:ascii="Verdana" w:hAnsi="Verdana"/>
          <w:b w:val="0"/>
          <w:bCs w:val="0"/>
        </w:rPr>
      </w:pPr>
    </w:p>
    <w:p w14:paraId="3501938E" w14:textId="17D6AF75" w:rsidR="00E044D2" w:rsidRPr="009A730B" w:rsidRDefault="6E4CF0D8" w:rsidP="00945344">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The 2025–2026 Plan reaffirmed the Health Board’s commitment to:</w:t>
      </w:r>
    </w:p>
    <w:p w14:paraId="6DDEBDA9" w14:textId="6FDA145B" w:rsidR="00E044D2" w:rsidRPr="009A730B" w:rsidRDefault="6E4CF0D8" w:rsidP="00C2615D">
      <w:pPr>
        <w:pStyle w:val="StyleOutlinenumberedArialOutlinenumberedArial11Outli"/>
        <w:numPr>
          <w:ilvl w:val="0"/>
          <w:numId w:val="46"/>
        </w:numPr>
        <w:jc w:val="both"/>
        <w:rPr>
          <w:rFonts w:ascii="Verdana" w:hAnsi="Verdana"/>
          <w:b w:val="0"/>
          <w:bCs w:val="0"/>
        </w:rPr>
      </w:pPr>
      <w:r w:rsidRPr="009A730B">
        <w:rPr>
          <w:rFonts w:ascii="Verdana" w:hAnsi="Verdana"/>
          <w:b w:val="0"/>
          <w:bCs w:val="0"/>
        </w:rPr>
        <w:t>Improving the quality and safety of healthcare services, through systematic</w:t>
      </w:r>
      <w:r w:rsidR="00945344" w:rsidRPr="009A730B">
        <w:rPr>
          <w:rFonts w:ascii="Verdana" w:hAnsi="Verdana"/>
          <w:b w:val="0"/>
          <w:bCs w:val="0"/>
        </w:rPr>
        <w:t xml:space="preserve"> </w:t>
      </w:r>
      <w:r w:rsidRPr="009A730B">
        <w:rPr>
          <w:rFonts w:ascii="Verdana" w:hAnsi="Verdana"/>
          <w:b w:val="0"/>
          <w:bCs w:val="0"/>
        </w:rPr>
        <w:t>review and learning from clinical audit and outcome reviews;</w:t>
      </w:r>
    </w:p>
    <w:p w14:paraId="7BE03AC8" w14:textId="77EABF77" w:rsidR="00E044D2" w:rsidRPr="009A730B" w:rsidRDefault="6E4CF0D8" w:rsidP="00C2615D">
      <w:pPr>
        <w:pStyle w:val="StyleOutlinenumberedArialOutlinenumberedArial11Outli"/>
        <w:numPr>
          <w:ilvl w:val="0"/>
          <w:numId w:val="46"/>
        </w:numPr>
        <w:jc w:val="both"/>
        <w:rPr>
          <w:rFonts w:ascii="Verdana" w:hAnsi="Verdana"/>
          <w:b w:val="0"/>
          <w:bCs w:val="0"/>
        </w:rPr>
      </w:pPr>
      <w:r w:rsidRPr="009A730B">
        <w:rPr>
          <w:rFonts w:ascii="Verdana" w:hAnsi="Verdana"/>
          <w:b w:val="0"/>
          <w:bCs w:val="0"/>
        </w:rPr>
        <w:t>Supporting value</w:t>
      </w:r>
      <w:r w:rsidR="00E044D2" w:rsidRPr="009A730B">
        <w:noBreakHyphen/>
      </w:r>
      <w:r w:rsidRPr="009A730B">
        <w:rPr>
          <w:rFonts w:ascii="Verdana" w:hAnsi="Verdana"/>
          <w:b w:val="0"/>
          <w:bCs w:val="0"/>
        </w:rPr>
        <w:t>based healthcare, by identifying best practice,</w:t>
      </w:r>
      <w:r w:rsidR="00945344" w:rsidRPr="009A730B">
        <w:rPr>
          <w:rFonts w:ascii="Verdana" w:hAnsi="Verdana"/>
          <w:b w:val="0"/>
          <w:bCs w:val="0"/>
        </w:rPr>
        <w:t xml:space="preserve"> </w:t>
      </w:r>
      <w:r w:rsidRPr="009A730B">
        <w:rPr>
          <w:rFonts w:ascii="Verdana" w:hAnsi="Verdana"/>
          <w:b w:val="0"/>
          <w:bCs w:val="0"/>
        </w:rPr>
        <w:t>unwarranted variation, and opportunities for improvement; and</w:t>
      </w:r>
    </w:p>
    <w:p w14:paraId="78353EE4" w14:textId="4009138D" w:rsidR="00E044D2" w:rsidRPr="009A730B" w:rsidRDefault="6E4CF0D8" w:rsidP="00C2615D">
      <w:pPr>
        <w:pStyle w:val="StyleOutlinenumberedArialOutlinenumberedArial11Outli"/>
        <w:numPr>
          <w:ilvl w:val="0"/>
          <w:numId w:val="46"/>
        </w:numPr>
        <w:jc w:val="both"/>
        <w:rPr>
          <w:rFonts w:ascii="Verdana" w:hAnsi="Verdana"/>
          <w:b w:val="0"/>
          <w:bCs w:val="0"/>
        </w:rPr>
      </w:pPr>
      <w:r w:rsidRPr="009A730B">
        <w:rPr>
          <w:rFonts w:ascii="Verdana" w:hAnsi="Verdana"/>
          <w:b w:val="0"/>
          <w:bCs w:val="0"/>
        </w:rPr>
        <w:t>Ensuring compliance with national standards, including benchmarking performance against NHS Wales and wider UK comparators where appropriate.</w:t>
      </w:r>
    </w:p>
    <w:p w14:paraId="7E5040EF" w14:textId="3C3F3C14" w:rsidR="00E044D2" w:rsidRPr="009A730B" w:rsidRDefault="00E044D2" w:rsidP="6D8E5F83">
      <w:pPr>
        <w:pStyle w:val="StyleOutlinenumberedArialOutlinenumberedArial11Outli"/>
        <w:numPr>
          <w:ilvl w:val="0"/>
          <w:numId w:val="0"/>
        </w:numPr>
        <w:jc w:val="both"/>
        <w:rPr>
          <w:rFonts w:ascii="Verdana" w:hAnsi="Verdana"/>
          <w:b w:val="0"/>
          <w:bCs w:val="0"/>
        </w:rPr>
      </w:pPr>
    </w:p>
    <w:p w14:paraId="6A5CC1E9" w14:textId="2DB6C056" w:rsidR="00E044D2" w:rsidRPr="009A730B" w:rsidRDefault="00945344" w:rsidP="00C2615D">
      <w:pPr>
        <w:pStyle w:val="StyleOutlinenumberedArialOutlinenumberedArial11Outli"/>
        <w:numPr>
          <w:ilvl w:val="2"/>
          <w:numId w:val="27"/>
        </w:numPr>
        <w:ind w:left="720" w:hanging="720"/>
        <w:jc w:val="both"/>
        <w:rPr>
          <w:rFonts w:ascii="Verdana" w:hAnsi="Verdana"/>
          <w:b w:val="0"/>
          <w:bCs w:val="0"/>
        </w:rPr>
      </w:pPr>
      <w:r w:rsidRPr="009A730B">
        <w:rPr>
          <w:rFonts w:ascii="Verdana" w:hAnsi="Verdana"/>
        </w:rPr>
        <w:t xml:space="preserve">Clinical </w:t>
      </w:r>
      <w:r w:rsidR="6E4CF0D8" w:rsidRPr="009A730B">
        <w:rPr>
          <w:rFonts w:ascii="Verdana" w:hAnsi="Verdana"/>
        </w:rPr>
        <w:t>Annual Report</w:t>
      </w:r>
      <w:r w:rsidR="6E4CF0D8" w:rsidRPr="009A730B">
        <w:rPr>
          <w:rFonts w:ascii="Verdana" w:hAnsi="Verdana"/>
          <w:b w:val="0"/>
          <w:bCs w:val="0"/>
        </w:rPr>
        <w:t xml:space="preserve"> </w:t>
      </w:r>
    </w:p>
    <w:p w14:paraId="508A2E1E" w14:textId="586A3EAB" w:rsidR="00581325" w:rsidRPr="009A730B" w:rsidRDefault="16C5EFD2"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The Audit Committee received the</w:t>
      </w:r>
      <w:r w:rsidRPr="009A730B">
        <w:rPr>
          <w:rFonts w:ascii="Verdana" w:hAnsi="Verdana"/>
        </w:rPr>
        <w:t xml:space="preserve"> </w:t>
      </w:r>
      <w:r w:rsidRPr="009A730B">
        <w:rPr>
          <w:rFonts w:ascii="Verdana" w:hAnsi="Verdana"/>
          <w:b w:val="0"/>
          <w:bCs w:val="0"/>
        </w:rPr>
        <w:t>Clinical Audit Annual Report,</w:t>
      </w:r>
      <w:r w:rsidRPr="009A730B">
        <w:rPr>
          <w:rFonts w:ascii="Verdana" w:hAnsi="Verdana"/>
        </w:rPr>
        <w:t xml:space="preserve"> </w:t>
      </w:r>
      <w:r w:rsidRPr="009A730B">
        <w:rPr>
          <w:rFonts w:ascii="Verdana" w:hAnsi="Verdana"/>
          <w:b w:val="0"/>
          <w:bCs w:val="0"/>
        </w:rPr>
        <w:t xml:space="preserve">which provided an overview of clinical audit activity, participation in national audits and outcome reviews, and progress against the Clinical Audit and Outcome Review Plan. </w:t>
      </w:r>
    </w:p>
    <w:p w14:paraId="113BC105" w14:textId="74CFCF32" w:rsidR="00581325" w:rsidRPr="009A730B" w:rsidRDefault="00581325" w:rsidP="6D8E5F83">
      <w:pPr>
        <w:pStyle w:val="StyleOutlinenumberedArialOutlinenumberedArial11Outli"/>
        <w:numPr>
          <w:ilvl w:val="0"/>
          <w:numId w:val="0"/>
        </w:numPr>
        <w:jc w:val="both"/>
        <w:rPr>
          <w:rFonts w:ascii="Verdana" w:hAnsi="Verdana"/>
        </w:rPr>
      </w:pPr>
    </w:p>
    <w:p w14:paraId="791B2DEF" w14:textId="7205AF1F" w:rsidR="00581325" w:rsidRPr="009A730B" w:rsidRDefault="00581325" w:rsidP="6D8E5F83">
      <w:pPr>
        <w:pStyle w:val="StyleOutlinenumberedArialOutlinenumberedArial11Outli"/>
        <w:numPr>
          <w:ilvl w:val="0"/>
          <w:numId w:val="0"/>
        </w:numPr>
        <w:ind w:left="720"/>
        <w:jc w:val="both"/>
        <w:rPr>
          <w:rFonts w:ascii="Verdana" w:hAnsi="Verdana"/>
          <w:b w:val="0"/>
          <w:bCs w:val="0"/>
        </w:rPr>
      </w:pPr>
    </w:p>
    <w:p w14:paraId="3CDE1BC3" w14:textId="5D97B056" w:rsidR="00FA2D72" w:rsidRPr="009A730B" w:rsidRDefault="007873F2" w:rsidP="00C2615D">
      <w:pPr>
        <w:pStyle w:val="StyleOutlinenumberedArialOutlinenumberedArial11Outli"/>
        <w:numPr>
          <w:ilvl w:val="1"/>
          <w:numId w:val="27"/>
        </w:numPr>
        <w:jc w:val="both"/>
        <w:rPr>
          <w:rFonts w:ascii="Verdana" w:hAnsi="Verdana"/>
          <w:u w:val="single"/>
        </w:rPr>
      </w:pPr>
      <w:r w:rsidRPr="009A730B">
        <w:rPr>
          <w:rFonts w:ascii="Verdana" w:hAnsi="Verdana"/>
          <w:u w:val="single"/>
        </w:rPr>
        <w:t xml:space="preserve"> </w:t>
      </w:r>
      <w:r w:rsidR="4513D45F" w:rsidRPr="009A730B">
        <w:rPr>
          <w:rFonts w:ascii="Verdana" w:hAnsi="Verdana"/>
          <w:u w:val="single"/>
        </w:rPr>
        <w:t>External Audit</w:t>
      </w:r>
    </w:p>
    <w:p w14:paraId="22EAB36A" w14:textId="651AD2C6" w:rsidR="4C39ED56" w:rsidRPr="009A730B" w:rsidRDefault="4C39ED56" w:rsidP="007873F2">
      <w:pPr>
        <w:pStyle w:val="StyleOutlinenumberedArialOutlinenumberedArial11Outli"/>
        <w:numPr>
          <w:ilvl w:val="0"/>
          <w:numId w:val="0"/>
        </w:numPr>
        <w:jc w:val="both"/>
        <w:rPr>
          <w:rFonts w:ascii="Verdana" w:hAnsi="Verdana"/>
          <w:u w:val="single"/>
        </w:rPr>
      </w:pPr>
    </w:p>
    <w:p w14:paraId="06151B0A" w14:textId="7377FDF0" w:rsidR="007873F2" w:rsidRPr="009A730B" w:rsidRDefault="007873F2" w:rsidP="004968DC">
      <w:pPr>
        <w:pStyle w:val="StyleOutlinenumberedArialOutlinenumberedArial11Outli"/>
        <w:numPr>
          <w:ilvl w:val="0"/>
          <w:numId w:val="0"/>
        </w:numPr>
        <w:jc w:val="both"/>
        <w:rPr>
          <w:rFonts w:ascii="Verdana" w:hAnsi="Verdana"/>
        </w:rPr>
      </w:pPr>
      <w:r w:rsidRPr="009A730B">
        <w:rPr>
          <w:rFonts w:ascii="Verdana" w:hAnsi="Verdana"/>
        </w:rPr>
        <w:t xml:space="preserve">3.6.1 </w:t>
      </w:r>
      <w:r w:rsidR="3D713FFB" w:rsidRPr="009A730B">
        <w:rPr>
          <w:rFonts w:ascii="Verdana" w:hAnsi="Verdana"/>
        </w:rPr>
        <w:t xml:space="preserve">Audit Wales – Performance and Progress Reports </w:t>
      </w:r>
    </w:p>
    <w:p w14:paraId="08C7CC7F" w14:textId="190FDCA7" w:rsidR="007873F2" w:rsidRPr="009A730B" w:rsidRDefault="007873F2" w:rsidP="004968DC">
      <w:pPr>
        <w:pStyle w:val="StyleOutlinenumberedArialOutlinenumberedArial11Outli"/>
        <w:numPr>
          <w:ilvl w:val="0"/>
          <w:numId w:val="0"/>
        </w:numPr>
        <w:jc w:val="both"/>
        <w:rPr>
          <w:rFonts w:ascii="Verdana" w:hAnsi="Verdana"/>
        </w:rPr>
      </w:pPr>
    </w:p>
    <w:p w14:paraId="31EE079C" w14:textId="1F28D3A5" w:rsidR="4C39ED56" w:rsidRPr="009A730B" w:rsidRDefault="3D713FFB" w:rsidP="004968DC">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During 2025–2026, the Audit Committee received regular Performance and Progress Reports from Audit Wales, providing external audit assurance on the Health Board’s financial management, governance, performance, and delivery of improvement actions. The Committee considered updates covering both accounts audit and performance audit work, including progress against the Audit Wales Annual Audit Plan and national thematic reviews relevant to NHS Wales.</w:t>
      </w:r>
    </w:p>
    <w:p w14:paraId="5347DED4" w14:textId="742AC28E" w:rsidR="007873F2" w:rsidRPr="009A730B" w:rsidRDefault="007873F2" w:rsidP="004968DC">
      <w:pPr>
        <w:pStyle w:val="StyleOutlinenumberedArialOutlinenumberedArial11Outli"/>
        <w:numPr>
          <w:ilvl w:val="0"/>
          <w:numId w:val="0"/>
        </w:numPr>
        <w:jc w:val="both"/>
        <w:rPr>
          <w:rFonts w:ascii="Verdana" w:hAnsi="Verdana"/>
          <w:b w:val="0"/>
          <w:bCs w:val="0"/>
        </w:rPr>
      </w:pPr>
    </w:p>
    <w:p w14:paraId="3BBBA1B5" w14:textId="03791338" w:rsidR="4C39ED56" w:rsidRPr="009A730B" w:rsidRDefault="3D713FFB"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 xml:space="preserve">The performance audit updates informed the Committee of ongoing and planned reviews in areas such as planned care, unscheduled care, cancer services, digital transformation, and structured assessment work, with clear reporting on the scope, status, and anticipated timescales for completion. The Committee tracked progress against recommendations </w:t>
      </w:r>
      <w:r w:rsidRPr="009A730B">
        <w:rPr>
          <w:rFonts w:ascii="Verdana" w:hAnsi="Verdana"/>
          <w:b w:val="0"/>
          <w:bCs w:val="0"/>
        </w:rPr>
        <w:lastRenderedPageBreak/>
        <w:t xml:space="preserve">and sought assurance on management responses where reviews identified areas requiring further action or improvement. </w:t>
      </w:r>
    </w:p>
    <w:p w14:paraId="4EC89C8D" w14:textId="4E5B2BA7" w:rsidR="007873F2" w:rsidRPr="009A730B" w:rsidRDefault="007873F2" w:rsidP="6D8E5F83">
      <w:pPr>
        <w:pStyle w:val="StyleOutlinenumberedArialOutlinenumberedArial11Outli"/>
        <w:numPr>
          <w:ilvl w:val="0"/>
          <w:numId w:val="0"/>
        </w:numPr>
        <w:jc w:val="both"/>
        <w:rPr>
          <w:rFonts w:ascii="Verdana" w:hAnsi="Verdana"/>
          <w:b w:val="0"/>
          <w:bCs w:val="0"/>
        </w:rPr>
      </w:pPr>
    </w:p>
    <w:p w14:paraId="53BE8AD2" w14:textId="23A78174" w:rsidR="4C39ED56" w:rsidRPr="009A730B" w:rsidRDefault="3D713FFB"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 xml:space="preserve">Audit Wales updates also supported the Committee’s oversight of the Structured Assessment, offering an independent view of the effectiveness of the Health Board’s arrangements for governance, financial management, risk management, and use of resources. These reports enabled the Committee to assess progress made, identify residual risks, and ensure that relevant actions were reflected within the corporate and strategic risk frameworks. </w:t>
      </w:r>
    </w:p>
    <w:p w14:paraId="645F9C4A" w14:textId="5470BBF9" w:rsidR="007873F2" w:rsidRPr="009A730B" w:rsidRDefault="007873F2" w:rsidP="6D8E5F83">
      <w:pPr>
        <w:pStyle w:val="StyleOutlinenumberedArialOutlinenumberedArial11Outli"/>
        <w:numPr>
          <w:ilvl w:val="0"/>
          <w:numId w:val="0"/>
        </w:numPr>
        <w:jc w:val="both"/>
        <w:rPr>
          <w:rFonts w:ascii="Verdana" w:hAnsi="Verdana"/>
          <w:b w:val="0"/>
          <w:bCs w:val="0"/>
        </w:rPr>
      </w:pPr>
    </w:p>
    <w:p w14:paraId="5907887D" w14:textId="42CAD07E" w:rsidR="4C39ED56" w:rsidRPr="009A730B" w:rsidRDefault="3D713FFB"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Throughout the year, the Audit Committee used the Audit Wales Performance and Progress Reports to inform its assurance to the Board, challenge areas of limited progress, and ensure alignment between external audit findings, internal audit activity, and executive management responses.</w:t>
      </w:r>
    </w:p>
    <w:p w14:paraId="4B342107" w14:textId="751C2458" w:rsidR="4C39ED56" w:rsidRPr="009A730B" w:rsidRDefault="4C39ED56" w:rsidP="6D8E5F83">
      <w:pPr>
        <w:pStyle w:val="StyleOutlinenumberedArialOutlinenumberedArial11Outli"/>
        <w:numPr>
          <w:ilvl w:val="0"/>
          <w:numId w:val="0"/>
        </w:numPr>
        <w:jc w:val="both"/>
        <w:rPr>
          <w:rFonts w:ascii="Verdana" w:hAnsi="Verdana"/>
          <w:b w:val="0"/>
          <w:bCs w:val="0"/>
        </w:rPr>
      </w:pPr>
    </w:p>
    <w:p w14:paraId="0DC046E8" w14:textId="1AA8AA99" w:rsidR="4C39ED56" w:rsidRPr="009A730B" w:rsidRDefault="6CCDD1B5" w:rsidP="00C2615D">
      <w:pPr>
        <w:pStyle w:val="StyleOutlinenumberedArialOutlinenumberedArial11Outli"/>
        <w:numPr>
          <w:ilvl w:val="2"/>
          <w:numId w:val="28"/>
        </w:numPr>
        <w:jc w:val="both"/>
        <w:rPr>
          <w:rFonts w:ascii="Verdana" w:hAnsi="Verdana"/>
        </w:rPr>
      </w:pPr>
      <w:r w:rsidRPr="009A730B">
        <w:rPr>
          <w:rFonts w:ascii="Verdana" w:hAnsi="Verdana"/>
        </w:rPr>
        <w:t>Audit General Report on Cancer Services in Wales</w:t>
      </w:r>
    </w:p>
    <w:p w14:paraId="12A71751" w14:textId="1E91988B" w:rsidR="4C39ED56" w:rsidRPr="009A730B" w:rsidRDefault="74103067"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Over the course of the 2025–2026 reporting period, the Audit Committee received and reviewed the Auditor General for Wales’ national report on Cancer Services in Wales, considering both the national findings and the Health Board’s management response. The Committee scrutinised the implications for Swansea Bay University Health Board (SBUHB), including issues relating to waiting times, workforce capacity, service sustainability, and governance arrangements, and sought assurance that appropriate and prioritised actions were in place. The report supported the Committee’s oversight of how cancer service risks and improvement actions were being identified, escalated, and monitored, and informed the assurance provided to the Board on progress in addressing nationally identified challenges.</w:t>
      </w:r>
    </w:p>
    <w:p w14:paraId="39900E85" w14:textId="14725877" w:rsidR="4C39ED56" w:rsidRPr="009A730B" w:rsidRDefault="4C39ED56" w:rsidP="6D8E5F83">
      <w:pPr>
        <w:pStyle w:val="StyleOutlinenumberedArialOutlinenumberedArial11Outli"/>
        <w:numPr>
          <w:ilvl w:val="0"/>
          <w:numId w:val="0"/>
        </w:numPr>
        <w:ind w:left="720" w:hanging="720"/>
        <w:jc w:val="both"/>
        <w:rPr>
          <w:rFonts w:ascii="Verdana" w:eastAsia="Verdana" w:hAnsi="Verdana" w:cs="Verdana"/>
          <w:b w:val="0"/>
          <w:bCs w:val="0"/>
        </w:rPr>
      </w:pPr>
    </w:p>
    <w:p w14:paraId="65BCCAC4" w14:textId="72C3F99B" w:rsidR="4C39ED56" w:rsidRPr="009A730B" w:rsidRDefault="007873F2" w:rsidP="00C2615D">
      <w:pPr>
        <w:pStyle w:val="StyleOutlinenumberedArialOutlinenumberedArial11Outli"/>
        <w:numPr>
          <w:ilvl w:val="2"/>
          <w:numId w:val="28"/>
        </w:numPr>
        <w:ind w:left="720" w:hanging="720"/>
        <w:jc w:val="both"/>
        <w:rPr>
          <w:rFonts w:ascii="Verdana" w:eastAsia="Verdana" w:hAnsi="Verdana" w:cs="Verdana"/>
        </w:rPr>
      </w:pPr>
      <w:r w:rsidRPr="009A730B">
        <w:rPr>
          <w:rFonts w:ascii="Verdana" w:eastAsia="Verdana" w:hAnsi="Verdana" w:cs="Verdana"/>
        </w:rPr>
        <w:t xml:space="preserve"> </w:t>
      </w:r>
      <w:r w:rsidR="3FE9375D" w:rsidRPr="009A730B">
        <w:rPr>
          <w:rFonts w:ascii="Verdana" w:eastAsia="Verdana" w:hAnsi="Verdana" w:cs="Verdana"/>
        </w:rPr>
        <w:t>Audit Wales - Unscheduled Care Report</w:t>
      </w:r>
    </w:p>
    <w:p w14:paraId="6D2A6AB9" w14:textId="7169FC05" w:rsidR="4C39ED56" w:rsidRPr="009A730B" w:rsidRDefault="3FE9375D" w:rsidP="6D8E5F83">
      <w:pPr>
        <w:pStyle w:val="StyleOutlinenumberedArialOutlinenumberedArial11Outli"/>
        <w:numPr>
          <w:ilvl w:val="0"/>
          <w:numId w:val="0"/>
        </w:numPr>
        <w:jc w:val="both"/>
        <w:rPr>
          <w:rFonts w:ascii="Verdana" w:eastAsia="Verdana" w:hAnsi="Verdana" w:cs="Verdana"/>
          <w:b w:val="0"/>
          <w:bCs w:val="0"/>
        </w:rPr>
      </w:pPr>
      <w:r w:rsidRPr="009A730B">
        <w:rPr>
          <w:rFonts w:ascii="Verdana" w:eastAsia="Verdana" w:hAnsi="Verdana" w:cs="Verdana"/>
          <w:b w:val="0"/>
          <w:bCs w:val="0"/>
        </w:rPr>
        <w:t>The Committee received and considered the Audit Wales Unscheduled Care Report. The report provided independent external assurance on arrangements for the planning, delivery, and governance of unscheduled care services.</w:t>
      </w:r>
    </w:p>
    <w:p w14:paraId="11BAF111" w14:textId="2679DF98" w:rsidR="4C39ED56" w:rsidRPr="009A730B" w:rsidRDefault="4C39ED56" w:rsidP="6D8E5F83">
      <w:pPr>
        <w:pStyle w:val="StyleOutlinenumberedArialOutlinenumberedArial11Outli"/>
        <w:numPr>
          <w:ilvl w:val="0"/>
          <w:numId w:val="0"/>
        </w:numPr>
        <w:jc w:val="both"/>
        <w:rPr>
          <w:rFonts w:ascii="Verdana" w:eastAsia="Verdana" w:hAnsi="Verdana" w:cs="Verdana"/>
          <w:b w:val="0"/>
          <w:bCs w:val="0"/>
        </w:rPr>
      </w:pPr>
    </w:p>
    <w:p w14:paraId="5AE852EF" w14:textId="634B99A1" w:rsidR="4C39ED56" w:rsidRPr="009A730B" w:rsidRDefault="007873F2" w:rsidP="00C2615D">
      <w:pPr>
        <w:pStyle w:val="StyleOutlinenumberedArialOutlinenumberedArial11Outli"/>
        <w:numPr>
          <w:ilvl w:val="2"/>
          <w:numId w:val="28"/>
        </w:numPr>
        <w:ind w:left="720" w:hanging="720"/>
        <w:jc w:val="both"/>
        <w:rPr>
          <w:rFonts w:ascii="Verdana" w:eastAsia="Verdana" w:hAnsi="Verdana" w:cs="Verdana"/>
        </w:rPr>
      </w:pPr>
      <w:r w:rsidRPr="009A730B">
        <w:rPr>
          <w:rFonts w:ascii="Verdana" w:eastAsia="Verdana" w:hAnsi="Verdana" w:cs="Verdana"/>
        </w:rPr>
        <w:t xml:space="preserve"> </w:t>
      </w:r>
      <w:r w:rsidR="3FE9375D" w:rsidRPr="009A730B">
        <w:rPr>
          <w:rFonts w:ascii="Verdana" w:eastAsia="Verdana" w:hAnsi="Verdana" w:cs="Verdana"/>
        </w:rPr>
        <w:t>Audit Wales National Fraud Initiative (NFI) Briefing</w:t>
      </w:r>
    </w:p>
    <w:p w14:paraId="4350B454" w14:textId="79BFB18D" w:rsidR="4C39ED56" w:rsidRPr="009A730B" w:rsidRDefault="0EC91676" w:rsidP="6D8E5F83">
      <w:pPr>
        <w:pStyle w:val="StyleOutlinenumberedArialOutlinenumberedArial11Outli"/>
        <w:numPr>
          <w:ilvl w:val="0"/>
          <w:numId w:val="0"/>
        </w:numPr>
        <w:jc w:val="both"/>
        <w:rPr>
          <w:rFonts w:ascii="Verdana" w:eastAsia="Verdana" w:hAnsi="Verdana" w:cs="Verdana"/>
          <w:b w:val="0"/>
          <w:bCs w:val="0"/>
        </w:rPr>
      </w:pPr>
      <w:r w:rsidRPr="009A730B">
        <w:rPr>
          <w:rFonts w:ascii="Verdana" w:eastAsia="Verdana" w:hAnsi="Verdana" w:cs="Verdana"/>
          <w:b w:val="0"/>
          <w:bCs w:val="0"/>
        </w:rPr>
        <w:t>A</w:t>
      </w:r>
      <w:r w:rsidR="314F7AEF" w:rsidRPr="009A730B">
        <w:rPr>
          <w:rFonts w:ascii="Verdana" w:eastAsia="Verdana" w:hAnsi="Verdana" w:cs="Verdana"/>
          <w:b w:val="0"/>
          <w:bCs w:val="0"/>
        </w:rPr>
        <w:t xml:space="preserve"> briefing from Audit Wales on the National Fraud Initiative (NFI)</w:t>
      </w:r>
      <w:r w:rsidR="536C045B" w:rsidRPr="009A730B">
        <w:rPr>
          <w:rFonts w:ascii="Verdana" w:eastAsia="Verdana" w:hAnsi="Verdana" w:cs="Verdana"/>
          <w:b w:val="0"/>
          <w:bCs w:val="0"/>
        </w:rPr>
        <w:t xml:space="preserve"> was </w:t>
      </w:r>
      <w:r w:rsidR="00EFEE9A" w:rsidRPr="009A730B">
        <w:rPr>
          <w:rFonts w:ascii="Verdana" w:eastAsia="Verdana" w:hAnsi="Verdana" w:cs="Verdana"/>
          <w:b w:val="0"/>
          <w:bCs w:val="0"/>
        </w:rPr>
        <w:t>received</w:t>
      </w:r>
      <w:r w:rsidR="314F7AEF" w:rsidRPr="009A730B">
        <w:rPr>
          <w:rFonts w:ascii="Verdana" w:eastAsia="Verdana" w:hAnsi="Verdana" w:cs="Verdana"/>
          <w:b w:val="0"/>
          <w:bCs w:val="0"/>
        </w:rPr>
        <w:t>, a UK</w:t>
      </w:r>
      <w:r w:rsidRPr="009A730B">
        <w:noBreakHyphen/>
      </w:r>
      <w:r w:rsidR="314F7AEF" w:rsidRPr="009A730B">
        <w:rPr>
          <w:rFonts w:ascii="Verdana" w:eastAsia="Verdana" w:hAnsi="Verdana" w:cs="Verdana"/>
          <w:b w:val="0"/>
          <w:bCs w:val="0"/>
        </w:rPr>
        <w:t>wide data</w:t>
      </w:r>
      <w:r w:rsidRPr="009A730B">
        <w:noBreakHyphen/>
      </w:r>
      <w:r w:rsidR="314F7AEF" w:rsidRPr="009A730B">
        <w:rPr>
          <w:rFonts w:ascii="Verdana" w:eastAsia="Verdana" w:hAnsi="Verdana" w:cs="Verdana"/>
          <w:b w:val="0"/>
          <w:bCs w:val="0"/>
        </w:rPr>
        <w:t xml:space="preserve">matching exercise aimed at preventing and detecting fraud across public sector bodies. The briefing provided an update on the 2024–25 NFI exercise at both national and local levels, including the Health Board’s participation, emerging data matches, and areas requiring further review. </w:t>
      </w:r>
    </w:p>
    <w:p w14:paraId="7E1E146D" w14:textId="495929D5" w:rsidR="4C39ED56" w:rsidRPr="009A730B" w:rsidRDefault="4C39ED56" w:rsidP="6D8E5F83">
      <w:pPr>
        <w:pStyle w:val="StyleOutlinenumberedArialOutlinenumberedArial11Outli"/>
        <w:numPr>
          <w:ilvl w:val="0"/>
          <w:numId w:val="0"/>
        </w:numPr>
        <w:jc w:val="both"/>
        <w:rPr>
          <w:rFonts w:ascii="Verdana" w:eastAsia="Verdana" w:hAnsi="Verdana" w:cs="Verdana"/>
          <w:b w:val="0"/>
          <w:bCs w:val="0"/>
        </w:rPr>
      </w:pPr>
    </w:p>
    <w:p w14:paraId="0316458A" w14:textId="40D8291E" w:rsidR="4C39ED56" w:rsidRPr="009A730B" w:rsidRDefault="4DA78424" w:rsidP="00C2615D">
      <w:pPr>
        <w:pStyle w:val="StyleOutlinenumberedArialOutlinenumberedArial11Outli"/>
        <w:numPr>
          <w:ilvl w:val="2"/>
          <w:numId w:val="28"/>
        </w:numPr>
        <w:ind w:left="720" w:hanging="720"/>
        <w:jc w:val="both"/>
        <w:rPr>
          <w:rFonts w:ascii="Verdana" w:eastAsia="Verdana" w:hAnsi="Verdana" w:cs="Verdana"/>
        </w:rPr>
      </w:pPr>
      <w:r w:rsidRPr="009A730B">
        <w:rPr>
          <w:rFonts w:ascii="Verdana" w:eastAsia="Verdana" w:hAnsi="Verdana" w:cs="Verdana"/>
        </w:rPr>
        <w:t>Quality Governance Follow-up report</w:t>
      </w:r>
    </w:p>
    <w:p w14:paraId="57CA465D" w14:textId="513E92A0" w:rsidR="4C39ED56" w:rsidRPr="009A730B" w:rsidRDefault="4DA78424" w:rsidP="6D8E5F83">
      <w:pPr>
        <w:pStyle w:val="StyleOutlinenumberedArialOutlinenumberedArial11Outli"/>
        <w:numPr>
          <w:ilvl w:val="0"/>
          <w:numId w:val="0"/>
        </w:numPr>
        <w:jc w:val="both"/>
        <w:rPr>
          <w:rFonts w:ascii="Verdana" w:eastAsia="Verdana" w:hAnsi="Verdana" w:cs="Verdana"/>
          <w:b w:val="0"/>
          <w:bCs w:val="0"/>
        </w:rPr>
      </w:pPr>
      <w:r w:rsidRPr="009A730B">
        <w:rPr>
          <w:rFonts w:ascii="Verdana" w:eastAsia="Verdana" w:hAnsi="Verdana" w:cs="Verdana"/>
          <w:b w:val="0"/>
          <w:bCs w:val="0"/>
        </w:rPr>
        <w:t>The Audit Committee reviewed the Quality Governance Follow</w:t>
      </w:r>
      <w:r w:rsidR="4C39ED56" w:rsidRPr="009A730B">
        <w:noBreakHyphen/>
      </w:r>
      <w:r w:rsidRPr="009A730B">
        <w:rPr>
          <w:rFonts w:ascii="Verdana" w:eastAsia="Verdana" w:hAnsi="Verdana" w:cs="Verdana"/>
          <w:b w:val="0"/>
          <w:bCs w:val="0"/>
        </w:rPr>
        <w:t xml:space="preserve">up report, which provided assurance on progress against previously identified </w:t>
      </w:r>
      <w:r w:rsidRPr="009A730B">
        <w:rPr>
          <w:rFonts w:ascii="Verdana" w:eastAsia="Verdana" w:hAnsi="Verdana" w:cs="Verdana"/>
          <w:b w:val="0"/>
          <w:bCs w:val="0"/>
        </w:rPr>
        <w:lastRenderedPageBreak/>
        <w:t>recommendations. Members noted strong progress in addressing the 2022 recommendations and received assurance that statutory duties relating to quality and candour were being embedded, with sufficient capacity in place to deliver remaining actions.</w:t>
      </w:r>
    </w:p>
    <w:p w14:paraId="7E7E269F" w14:textId="1B16EAF3" w:rsidR="4C39ED56" w:rsidRPr="009A730B" w:rsidRDefault="4C39ED56" w:rsidP="6D8E5F83">
      <w:pPr>
        <w:pStyle w:val="StyleOutlinenumberedArialOutlinenumberedArial11Outli"/>
        <w:numPr>
          <w:ilvl w:val="0"/>
          <w:numId w:val="0"/>
        </w:numPr>
        <w:jc w:val="both"/>
        <w:rPr>
          <w:rFonts w:ascii="Verdana" w:eastAsia="Verdana" w:hAnsi="Verdana" w:cs="Verdana"/>
          <w:b w:val="0"/>
          <w:bCs w:val="0"/>
        </w:rPr>
      </w:pPr>
    </w:p>
    <w:p w14:paraId="1DEF9FF1" w14:textId="4384B94F" w:rsidR="4C39ED56" w:rsidRPr="009A730B" w:rsidRDefault="4DA78424" w:rsidP="00C2615D">
      <w:pPr>
        <w:pStyle w:val="StyleOutlinenumberedArialOutlinenumberedArial11Outli"/>
        <w:numPr>
          <w:ilvl w:val="2"/>
          <w:numId w:val="28"/>
        </w:numPr>
        <w:ind w:left="720" w:hanging="720"/>
        <w:jc w:val="both"/>
        <w:rPr>
          <w:rFonts w:ascii="Verdana" w:eastAsia="Verdana" w:hAnsi="Verdana" w:cs="Verdana"/>
        </w:rPr>
      </w:pPr>
      <w:r w:rsidRPr="009A730B">
        <w:rPr>
          <w:rFonts w:ascii="Verdana" w:eastAsia="Verdana" w:hAnsi="Verdana" w:cs="Verdana"/>
        </w:rPr>
        <w:t>Audit Plan</w:t>
      </w:r>
    </w:p>
    <w:p w14:paraId="41EB9437" w14:textId="46B69634" w:rsidR="4C39ED56" w:rsidRPr="009A730B" w:rsidRDefault="4DA78424" w:rsidP="6D8E5F83">
      <w:pPr>
        <w:pStyle w:val="StyleOutlinenumberedArialOutlinenumberedArial11Outli"/>
        <w:numPr>
          <w:ilvl w:val="0"/>
          <w:numId w:val="0"/>
        </w:numPr>
        <w:jc w:val="both"/>
        <w:rPr>
          <w:rFonts w:ascii="Verdana" w:eastAsia="Verdana" w:hAnsi="Verdana" w:cs="Verdana"/>
          <w:b w:val="0"/>
          <w:bCs w:val="0"/>
        </w:rPr>
      </w:pPr>
      <w:r w:rsidRPr="009A730B">
        <w:rPr>
          <w:rFonts w:ascii="Verdana" w:eastAsia="Verdana" w:hAnsi="Verdana" w:cs="Verdana"/>
          <w:b w:val="0"/>
          <w:bCs w:val="0"/>
        </w:rPr>
        <w:t>The Committee reviewed and approved the Audit Plan, receiving assurance that it aligned with areas of organisational risk and national priorities. Members were briefed on the key themes arising from the planned work and confirmed that the programme provided appropriate coverage to support the Board’s assurance framework</w:t>
      </w:r>
    </w:p>
    <w:p w14:paraId="2C04A320" w14:textId="09B2D33E" w:rsidR="17E063F3" w:rsidRPr="009A730B" w:rsidRDefault="17E063F3" w:rsidP="17E063F3">
      <w:pPr>
        <w:pStyle w:val="StyleOutlinenumberedArialOutlinenumberedArial11Outli"/>
        <w:numPr>
          <w:ilvl w:val="0"/>
          <w:numId w:val="0"/>
        </w:numPr>
        <w:jc w:val="both"/>
        <w:rPr>
          <w:rFonts w:ascii="Verdana" w:hAnsi="Verdana"/>
        </w:rPr>
      </w:pPr>
    </w:p>
    <w:p w14:paraId="62811C87" w14:textId="549BB1D8" w:rsidR="007553D9" w:rsidRPr="009A730B" w:rsidRDefault="007873F2" w:rsidP="6D8E5F83">
      <w:pPr>
        <w:pStyle w:val="StyleOutlinenumberedArialOutlinenumberedArial11Outli"/>
        <w:numPr>
          <w:ilvl w:val="0"/>
          <w:numId w:val="0"/>
        </w:numPr>
        <w:ind w:left="720" w:hanging="720"/>
        <w:jc w:val="both"/>
        <w:rPr>
          <w:rFonts w:ascii="Verdana" w:hAnsi="Verdana"/>
          <w:u w:val="single"/>
        </w:rPr>
      </w:pPr>
      <w:r w:rsidRPr="009A730B">
        <w:rPr>
          <w:rFonts w:ascii="Verdana" w:hAnsi="Verdana"/>
          <w:u w:val="single"/>
        </w:rPr>
        <w:t xml:space="preserve">3.7 </w:t>
      </w:r>
      <w:r w:rsidR="4A78107C" w:rsidRPr="009A730B">
        <w:rPr>
          <w:rFonts w:ascii="Verdana" w:hAnsi="Verdana"/>
          <w:u w:val="single"/>
        </w:rPr>
        <w:t>Counter Fraud</w:t>
      </w:r>
      <w:r w:rsidR="4A78107C" w:rsidRPr="009A730B">
        <w:rPr>
          <w:rFonts w:ascii="Verdana" w:hAnsi="Verdana"/>
        </w:rPr>
        <w:t xml:space="preserve"> </w:t>
      </w:r>
    </w:p>
    <w:p w14:paraId="426271D4" w14:textId="59BB0019" w:rsidR="4C39ED56" w:rsidRPr="009A730B" w:rsidRDefault="4C39ED56" w:rsidP="00B959A5">
      <w:pPr>
        <w:pStyle w:val="StyleOutlinenumberedArialOutlinenumberedArial11Outli"/>
        <w:numPr>
          <w:ilvl w:val="0"/>
          <w:numId w:val="0"/>
        </w:numPr>
        <w:jc w:val="both"/>
        <w:rPr>
          <w:rFonts w:ascii="Verdana" w:hAnsi="Verdana"/>
        </w:rPr>
      </w:pPr>
    </w:p>
    <w:p w14:paraId="076659D1" w14:textId="787248D6" w:rsidR="16B2C37F" w:rsidRPr="009A730B" w:rsidRDefault="282C29B6" w:rsidP="6D8E5F83">
      <w:pPr>
        <w:pStyle w:val="StyleOutlinenumberedArialOutlinenumberedArial11Outli"/>
        <w:numPr>
          <w:ilvl w:val="0"/>
          <w:numId w:val="0"/>
        </w:numPr>
        <w:jc w:val="both"/>
        <w:rPr>
          <w:rFonts w:ascii="Verdana" w:hAnsi="Verdana"/>
        </w:rPr>
      </w:pPr>
      <w:r w:rsidRPr="009A730B">
        <w:rPr>
          <w:rFonts w:ascii="Verdana" w:hAnsi="Verdana"/>
          <w:b w:val="0"/>
          <w:bCs w:val="0"/>
        </w:rPr>
        <w:t>The Audit Committee maintained oversight of the Health Board’s counter fraud arrangements through regular reports from Local Counter Fraud Services and Audit Wales. The Committee scrutinised the effectiveness of counter fraud controls, the management of investigations, and progress against identified fraud risks, and sought assurance that appropriate preventive and responsive measures were in place to protect public funds and support good governance.</w:t>
      </w:r>
      <w:r w:rsidR="488657AB" w:rsidRPr="009A730B">
        <w:rPr>
          <w:rFonts w:ascii="Verdana" w:hAnsi="Verdana"/>
          <w:b w:val="0"/>
          <w:bCs w:val="0"/>
        </w:rPr>
        <w:t xml:space="preserve"> </w:t>
      </w:r>
    </w:p>
    <w:p w14:paraId="23562B1B" w14:textId="3BFDA7CD" w:rsidR="4C39ED56" w:rsidRPr="009A730B" w:rsidRDefault="4C39ED56" w:rsidP="4C39ED56">
      <w:pPr>
        <w:pStyle w:val="StyleOutlinenumberedArialOutlinenumberedArial11Outli"/>
        <w:numPr>
          <w:ilvl w:val="0"/>
          <w:numId w:val="0"/>
        </w:numPr>
        <w:jc w:val="both"/>
        <w:rPr>
          <w:rFonts w:ascii="Verdana" w:hAnsi="Verdana"/>
        </w:rPr>
      </w:pPr>
    </w:p>
    <w:p w14:paraId="342BB359" w14:textId="5BB7197F" w:rsidR="3E4CFE39" w:rsidRPr="009A730B" w:rsidRDefault="3E4CFE39" w:rsidP="00C2615D">
      <w:pPr>
        <w:pStyle w:val="StyleOutlinenumberedArialOutlinenumberedArial11Outli"/>
        <w:numPr>
          <w:ilvl w:val="2"/>
          <w:numId w:val="28"/>
        </w:numPr>
        <w:ind w:left="720" w:hanging="720"/>
        <w:jc w:val="both"/>
        <w:rPr>
          <w:rFonts w:ascii="Verdana" w:hAnsi="Verdana"/>
        </w:rPr>
      </w:pPr>
      <w:r w:rsidRPr="009A730B">
        <w:rPr>
          <w:rFonts w:ascii="Verdana" w:hAnsi="Verdana"/>
        </w:rPr>
        <w:t>Counter Fraud Progress report</w:t>
      </w:r>
    </w:p>
    <w:p w14:paraId="7F7D6A11" w14:textId="7CB7D652" w:rsidR="339950EB" w:rsidRPr="009A730B" w:rsidRDefault="339950EB" w:rsidP="6D8E5F83">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During 2025–2026, the Audit Committee received regular Counter Fraud Progress Reports and took assurance that appropriate governance, controls, and resources were in place to prevent, deter, and respond to fraud, bribery, and corruption in line with NHS Counter Fraud Standards and Welsh Government requirements. The Committee was assured that good progress was being made against the Counter Fraud Work Plan, including preventative activity, investigation arrangements, and compliance with national expectations. Emerging risks, including workforce</w:t>
      </w:r>
      <w:r w:rsidRPr="009A730B">
        <w:noBreakHyphen/>
      </w:r>
      <w:r w:rsidRPr="009A730B">
        <w:rPr>
          <w:rFonts w:ascii="Verdana" w:hAnsi="Verdana"/>
          <w:b w:val="0"/>
          <w:bCs w:val="0"/>
        </w:rPr>
        <w:t>related fraud and evolving legislative and digital considerations, were discussed, with National Fraud Initiative activity incorporated into routine reporting to ensure ongoing oversight and transparency.</w:t>
      </w:r>
    </w:p>
    <w:p w14:paraId="3E58FC07" w14:textId="3AA0102D" w:rsidR="6D8E5F83" w:rsidRPr="009A730B" w:rsidRDefault="6D8E5F83" w:rsidP="6D8E5F83">
      <w:pPr>
        <w:pStyle w:val="StyleOutlinenumberedArialOutlinenumberedArial11Outli"/>
        <w:numPr>
          <w:ilvl w:val="0"/>
          <w:numId w:val="0"/>
        </w:numPr>
        <w:jc w:val="both"/>
        <w:rPr>
          <w:rFonts w:ascii="Verdana" w:hAnsi="Verdana"/>
          <w:b w:val="0"/>
          <w:bCs w:val="0"/>
        </w:rPr>
      </w:pPr>
    </w:p>
    <w:p w14:paraId="4BF93199" w14:textId="6A3BAA81" w:rsidR="6D8E5F83" w:rsidRPr="009A730B" w:rsidRDefault="6D8E5F83" w:rsidP="6D8E5F83">
      <w:pPr>
        <w:pStyle w:val="StyleOutlinenumberedArialOutlinenumberedArial11Outli"/>
        <w:numPr>
          <w:ilvl w:val="0"/>
          <w:numId w:val="0"/>
        </w:numPr>
        <w:jc w:val="both"/>
        <w:rPr>
          <w:rFonts w:ascii="Verdana" w:hAnsi="Verdana"/>
          <w:b w:val="0"/>
          <w:bCs w:val="0"/>
        </w:rPr>
      </w:pPr>
    </w:p>
    <w:p w14:paraId="133862D1" w14:textId="22C0F505" w:rsidR="6D8E5F83" w:rsidRPr="009A730B" w:rsidRDefault="6D8E5F83" w:rsidP="6D8E5F83">
      <w:pPr>
        <w:pStyle w:val="StyleOutlinenumberedArialOutlinenumberedArial11Outli"/>
        <w:numPr>
          <w:ilvl w:val="0"/>
          <w:numId w:val="0"/>
        </w:numPr>
        <w:jc w:val="both"/>
        <w:rPr>
          <w:rFonts w:ascii="Verdana" w:hAnsi="Verdana"/>
          <w:b w:val="0"/>
          <w:bCs w:val="0"/>
        </w:rPr>
      </w:pPr>
    </w:p>
    <w:p w14:paraId="788A2550" w14:textId="198C14A4" w:rsidR="6D8E5F83" w:rsidRPr="009A730B" w:rsidRDefault="6D8E5F83" w:rsidP="6D8E5F83">
      <w:pPr>
        <w:pStyle w:val="StyleOutlinenumberedArialOutlinenumberedArial11Outli"/>
        <w:numPr>
          <w:ilvl w:val="0"/>
          <w:numId w:val="0"/>
        </w:numPr>
        <w:jc w:val="both"/>
        <w:rPr>
          <w:rFonts w:ascii="Verdana" w:hAnsi="Verdana"/>
          <w:b w:val="0"/>
          <w:bCs w:val="0"/>
        </w:rPr>
      </w:pPr>
    </w:p>
    <w:p w14:paraId="6922DB16" w14:textId="6EBA2D15" w:rsidR="6D8E5F83" w:rsidRPr="009A730B" w:rsidRDefault="6D8E5F83" w:rsidP="6D8E5F83">
      <w:pPr>
        <w:pStyle w:val="StyleOutlinenumberedArialOutlinenumberedArial11Outli"/>
        <w:numPr>
          <w:ilvl w:val="0"/>
          <w:numId w:val="0"/>
        </w:numPr>
        <w:jc w:val="both"/>
        <w:rPr>
          <w:rFonts w:ascii="Verdana" w:hAnsi="Verdana"/>
          <w:b w:val="0"/>
          <w:bCs w:val="0"/>
        </w:rPr>
      </w:pPr>
    </w:p>
    <w:p w14:paraId="68039320" w14:textId="6AADA0A5" w:rsidR="6D8E5F83" w:rsidRPr="009A730B" w:rsidRDefault="6D8E5F83" w:rsidP="6D8E5F83">
      <w:pPr>
        <w:pStyle w:val="StyleOutlinenumberedArialOutlinenumberedArial11Outli"/>
        <w:numPr>
          <w:ilvl w:val="0"/>
          <w:numId w:val="0"/>
        </w:numPr>
        <w:jc w:val="both"/>
        <w:rPr>
          <w:rFonts w:ascii="Verdana" w:hAnsi="Verdana"/>
          <w:b w:val="0"/>
          <w:bCs w:val="0"/>
        </w:rPr>
      </w:pPr>
    </w:p>
    <w:p w14:paraId="2D404018" w14:textId="3E52B0C9" w:rsidR="6D8E5F83" w:rsidRPr="009A730B" w:rsidRDefault="6D8E5F83" w:rsidP="6D8E5F83">
      <w:pPr>
        <w:pStyle w:val="StyleOutlinenumberedArialOutlinenumberedArial11Outli"/>
        <w:numPr>
          <w:ilvl w:val="0"/>
          <w:numId w:val="0"/>
        </w:numPr>
        <w:jc w:val="both"/>
        <w:rPr>
          <w:rFonts w:ascii="Verdana" w:hAnsi="Verdana"/>
          <w:b w:val="0"/>
          <w:bCs w:val="0"/>
        </w:rPr>
      </w:pPr>
    </w:p>
    <w:p w14:paraId="3BD28D4D" w14:textId="186723B9" w:rsidR="49220B0B" w:rsidRPr="009A730B" w:rsidRDefault="49220B0B" w:rsidP="49220B0B">
      <w:pPr>
        <w:pStyle w:val="StyleOutlinenumberedArialOutlinenumberedArial11Outli"/>
        <w:numPr>
          <w:ilvl w:val="0"/>
          <w:numId w:val="0"/>
        </w:numPr>
        <w:jc w:val="both"/>
        <w:rPr>
          <w:rFonts w:ascii="Verdana" w:hAnsi="Verdana"/>
          <w:b w:val="0"/>
          <w:bCs w:val="0"/>
        </w:rPr>
      </w:pPr>
    </w:p>
    <w:p w14:paraId="0B46C7BB" w14:textId="6EA5517D" w:rsidR="49220B0B" w:rsidRPr="009A730B" w:rsidRDefault="49220B0B" w:rsidP="49220B0B">
      <w:pPr>
        <w:pStyle w:val="StyleOutlinenumberedArialOutlinenumberedArial11Outli"/>
        <w:numPr>
          <w:ilvl w:val="0"/>
          <w:numId w:val="0"/>
        </w:numPr>
        <w:jc w:val="both"/>
        <w:rPr>
          <w:rFonts w:ascii="Verdana" w:hAnsi="Verdana"/>
          <w:b w:val="0"/>
          <w:bCs w:val="0"/>
        </w:rPr>
      </w:pPr>
    </w:p>
    <w:p w14:paraId="42F4DE77" w14:textId="0BB6C449" w:rsidR="49220B0B" w:rsidRPr="009A730B" w:rsidRDefault="49220B0B" w:rsidP="49220B0B">
      <w:pPr>
        <w:pStyle w:val="StyleOutlinenumberedArialOutlinenumberedArial11Outli"/>
        <w:numPr>
          <w:ilvl w:val="0"/>
          <w:numId w:val="0"/>
        </w:numPr>
        <w:jc w:val="both"/>
        <w:rPr>
          <w:rFonts w:ascii="Verdana" w:hAnsi="Verdana"/>
          <w:b w:val="0"/>
          <w:bCs w:val="0"/>
        </w:rPr>
      </w:pPr>
    </w:p>
    <w:p w14:paraId="66CD330A" w14:textId="3DE0C1B8" w:rsidR="00E001A8" w:rsidRPr="009A730B" w:rsidRDefault="00E001A8" w:rsidP="49220B0B">
      <w:pPr>
        <w:pStyle w:val="StyleOutlinenumberedArialOutlinenumberedArial11Outli"/>
        <w:numPr>
          <w:ilvl w:val="0"/>
          <w:numId w:val="0"/>
        </w:numPr>
        <w:jc w:val="both"/>
        <w:rPr>
          <w:rFonts w:ascii="Verdana" w:hAnsi="Verdana"/>
          <w:b w:val="0"/>
          <w:bCs w:val="0"/>
        </w:rPr>
      </w:pPr>
    </w:p>
    <w:p w14:paraId="20AD60E8" w14:textId="668107E9" w:rsidR="621F23EC" w:rsidRDefault="621F23EC" w:rsidP="621F23EC">
      <w:pPr>
        <w:pStyle w:val="StyleOutlinenumberedArialOutlinenumberedArial11Outli"/>
        <w:numPr>
          <w:ilvl w:val="0"/>
          <w:numId w:val="0"/>
        </w:numPr>
        <w:jc w:val="both"/>
        <w:rPr>
          <w:rFonts w:ascii="Verdana" w:hAnsi="Verdana"/>
          <w:b w:val="0"/>
          <w:bCs w:val="0"/>
        </w:rPr>
      </w:pPr>
    </w:p>
    <w:p w14:paraId="5F8D3DDB" w14:textId="464B5AA2" w:rsidR="621F23EC" w:rsidRDefault="621F23EC" w:rsidP="621F23EC">
      <w:pPr>
        <w:pStyle w:val="StyleOutlinenumberedArialOutlinenumberedArial11Outli"/>
        <w:numPr>
          <w:ilvl w:val="0"/>
          <w:numId w:val="0"/>
        </w:numPr>
        <w:jc w:val="both"/>
        <w:rPr>
          <w:rFonts w:ascii="Verdana" w:hAnsi="Verdana"/>
          <w:b w:val="0"/>
          <w:bCs w:val="0"/>
        </w:rPr>
      </w:pPr>
    </w:p>
    <w:p w14:paraId="6F337482" w14:textId="304B1E29" w:rsidR="6F2B4365" w:rsidRPr="009A730B" w:rsidRDefault="6F2B4365" w:rsidP="17E063F3">
      <w:pPr>
        <w:spacing w:after="0" w:line="240" w:lineRule="auto"/>
        <w:jc w:val="both"/>
        <w:rPr>
          <w:rFonts w:ascii="Verdana" w:hAnsi="Verdana"/>
        </w:rPr>
      </w:pPr>
    </w:p>
    <w:p w14:paraId="17BAD25B" w14:textId="1274DBF5" w:rsidR="00E606D5" w:rsidRPr="009A730B" w:rsidRDefault="6BAA041A" w:rsidP="4C39ED56">
      <w:pPr>
        <w:pStyle w:val="ListParagraph"/>
        <w:spacing w:after="0" w:line="240" w:lineRule="auto"/>
        <w:ind w:left="0"/>
        <w:jc w:val="center"/>
        <w:rPr>
          <w:rFonts w:ascii="Verdana" w:hAnsi="Verdana" w:cs="Arial"/>
          <w:b/>
          <w:bCs/>
          <w:sz w:val="24"/>
          <w:szCs w:val="24"/>
          <w:u w:val="single"/>
        </w:rPr>
      </w:pPr>
      <w:r w:rsidRPr="009A730B">
        <w:rPr>
          <w:rFonts w:ascii="Verdana" w:hAnsi="Verdana" w:cs="Arial"/>
          <w:b/>
          <w:bCs/>
          <w:sz w:val="24"/>
          <w:szCs w:val="24"/>
          <w:u w:val="single"/>
        </w:rPr>
        <w:t xml:space="preserve">Section </w:t>
      </w:r>
      <w:r w:rsidR="002A7D3A">
        <w:rPr>
          <w:rFonts w:ascii="Verdana" w:hAnsi="Verdana" w:cs="Arial"/>
          <w:b/>
          <w:bCs/>
          <w:sz w:val="24"/>
          <w:szCs w:val="24"/>
          <w:u w:val="single"/>
        </w:rPr>
        <w:t>4</w:t>
      </w:r>
    </w:p>
    <w:p w14:paraId="5650349B" w14:textId="59D70B51" w:rsidR="008B1CFE" w:rsidRPr="009A730B" w:rsidRDefault="3DED6C06" w:rsidP="6F2B4365">
      <w:pPr>
        <w:pStyle w:val="ListParagraph"/>
        <w:spacing w:after="0" w:line="240" w:lineRule="auto"/>
        <w:ind w:left="0"/>
        <w:jc w:val="center"/>
        <w:rPr>
          <w:rFonts w:ascii="Verdana" w:hAnsi="Verdana" w:cs="Arial"/>
          <w:b/>
          <w:bCs/>
          <w:sz w:val="24"/>
          <w:szCs w:val="24"/>
          <w:u w:val="single"/>
        </w:rPr>
      </w:pPr>
      <w:r w:rsidRPr="009A730B">
        <w:rPr>
          <w:rFonts w:ascii="Verdana" w:hAnsi="Verdana" w:cs="Arial"/>
          <w:b/>
          <w:bCs/>
          <w:sz w:val="24"/>
          <w:szCs w:val="24"/>
          <w:u w:val="single"/>
        </w:rPr>
        <w:t>Quality and Safety Committee</w:t>
      </w:r>
    </w:p>
    <w:p w14:paraId="2F3F4BAD" w14:textId="0D234532" w:rsidR="008B1CFE" w:rsidRPr="009A730B" w:rsidRDefault="008B1CFE" w:rsidP="6F2B4365">
      <w:pPr>
        <w:pStyle w:val="ListParagraph"/>
        <w:spacing w:after="0" w:line="240" w:lineRule="auto"/>
        <w:ind w:left="0"/>
        <w:jc w:val="center"/>
        <w:rPr>
          <w:rFonts w:ascii="Verdana" w:eastAsia="Verdana" w:hAnsi="Verdana" w:cs="Verdana"/>
          <w:sz w:val="24"/>
          <w:szCs w:val="24"/>
        </w:rPr>
      </w:pPr>
    </w:p>
    <w:p w14:paraId="4DBB092F" w14:textId="25CFF8E2" w:rsidR="6692F907" w:rsidRPr="009A730B" w:rsidRDefault="6692F907" w:rsidP="4C39ED56">
      <w:pPr>
        <w:pStyle w:val="ListParagraph"/>
        <w:spacing w:after="0" w:line="240" w:lineRule="auto"/>
        <w:ind w:left="0"/>
        <w:jc w:val="both"/>
        <w:rPr>
          <w:rFonts w:ascii="Verdana" w:hAnsi="Verdana" w:cs="Arial"/>
          <w:b/>
          <w:bCs/>
          <w:sz w:val="24"/>
          <w:szCs w:val="24"/>
          <w:u w:val="single"/>
        </w:rPr>
      </w:pPr>
      <w:r w:rsidRPr="009A730B">
        <w:rPr>
          <w:rFonts w:ascii="Verdana" w:eastAsia="Verdana" w:hAnsi="Verdana" w:cs="Verdana"/>
          <w:sz w:val="24"/>
          <w:szCs w:val="24"/>
        </w:rPr>
        <w:t xml:space="preserve">The Quality and Safety Committee is a statutory Committee of the Board, established in line with the Health Board’s Standing Orders and Scheme of Delegation. Its primary purpose is to provide evidence-based and timely advice to the Board to support it in discharging its responsibilities for the Quality and Safety of healthcare; and assurance on the effectiveness of the Health Board’s arrangements for safeguarding and improving the </w:t>
      </w:r>
      <w:r w:rsidR="60A1DAD5" w:rsidRPr="009A730B">
        <w:rPr>
          <w:rFonts w:ascii="Verdana" w:eastAsia="Verdana" w:hAnsi="Verdana" w:cs="Verdana"/>
          <w:sz w:val="24"/>
          <w:szCs w:val="24"/>
        </w:rPr>
        <w:t>Q</w:t>
      </w:r>
      <w:r w:rsidRPr="009A730B">
        <w:rPr>
          <w:rFonts w:ascii="Verdana" w:eastAsia="Verdana" w:hAnsi="Verdana" w:cs="Verdana"/>
          <w:sz w:val="24"/>
          <w:szCs w:val="24"/>
        </w:rPr>
        <w:t xml:space="preserve">uality and </w:t>
      </w:r>
      <w:r w:rsidR="4288B056" w:rsidRPr="009A730B">
        <w:rPr>
          <w:rFonts w:ascii="Verdana" w:eastAsia="Verdana" w:hAnsi="Verdana" w:cs="Verdana"/>
          <w:sz w:val="24"/>
          <w:szCs w:val="24"/>
        </w:rPr>
        <w:t>S</w:t>
      </w:r>
      <w:r w:rsidRPr="009A730B">
        <w:rPr>
          <w:rFonts w:ascii="Verdana" w:eastAsia="Verdana" w:hAnsi="Verdana" w:cs="Verdana"/>
          <w:sz w:val="24"/>
          <w:szCs w:val="24"/>
        </w:rPr>
        <w:t>afety of patient-centred care, in line with national standards and the Health Board’s strategic objectives</w:t>
      </w:r>
      <w:r w:rsidR="772007C9" w:rsidRPr="009A730B">
        <w:rPr>
          <w:rFonts w:ascii="Verdana" w:eastAsia="Verdana" w:hAnsi="Verdana" w:cs="Verdana"/>
          <w:sz w:val="24"/>
          <w:szCs w:val="24"/>
        </w:rPr>
        <w:t xml:space="preserve">. </w:t>
      </w:r>
      <w:r w:rsidRPr="009A730B">
        <w:rPr>
          <w:rFonts w:ascii="Verdana" w:eastAsia="Verdana" w:hAnsi="Verdana" w:cs="Verdana"/>
          <w:sz w:val="24"/>
          <w:szCs w:val="24"/>
        </w:rPr>
        <w:t xml:space="preserve">The Committee’s remit encompasses all aspects of clinical governance and quality assurance, including the effectiveness of </w:t>
      </w:r>
      <w:r w:rsidR="4E58527F" w:rsidRPr="009A730B">
        <w:rPr>
          <w:rFonts w:ascii="Verdana" w:eastAsia="Verdana" w:hAnsi="Verdana" w:cs="Verdana"/>
          <w:sz w:val="24"/>
          <w:szCs w:val="24"/>
        </w:rPr>
        <w:t>P</w:t>
      </w:r>
      <w:r w:rsidRPr="009A730B">
        <w:rPr>
          <w:rFonts w:ascii="Verdana" w:eastAsia="Verdana" w:hAnsi="Verdana" w:cs="Verdana"/>
          <w:sz w:val="24"/>
          <w:szCs w:val="24"/>
        </w:rPr>
        <w:t xml:space="preserve">opulation </w:t>
      </w:r>
      <w:r w:rsidR="539FA90C" w:rsidRPr="009A730B">
        <w:rPr>
          <w:rFonts w:ascii="Verdana" w:eastAsia="Verdana" w:hAnsi="Verdana" w:cs="Verdana"/>
          <w:sz w:val="24"/>
          <w:szCs w:val="24"/>
        </w:rPr>
        <w:t>H</w:t>
      </w:r>
      <w:r w:rsidRPr="009A730B">
        <w:rPr>
          <w:rFonts w:ascii="Verdana" w:eastAsia="Verdana" w:hAnsi="Verdana" w:cs="Verdana"/>
          <w:sz w:val="24"/>
          <w:szCs w:val="24"/>
        </w:rPr>
        <w:t>ealth interventions, access to and quality of services across the care continuum, patient outcomes, and the experiences of patients and their families. It plays a critical role in overseeing the development and delivery of strategies that ensure high-quality, safe, and equitable healthcare services</w:t>
      </w:r>
      <w:r w:rsidR="71E6CDD9" w:rsidRPr="009A730B">
        <w:rPr>
          <w:rFonts w:ascii="Verdana" w:eastAsia="Verdana" w:hAnsi="Verdana" w:cs="Verdana"/>
          <w:sz w:val="24"/>
          <w:szCs w:val="24"/>
        </w:rPr>
        <w:t>.</w:t>
      </w:r>
    </w:p>
    <w:p w14:paraId="509F60DD" w14:textId="2C4C9EE8" w:rsidR="4C39ED56" w:rsidRPr="009A730B" w:rsidRDefault="4C39ED56" w:rsidP="4C39ED56">
      <w:pPr>
        <w:pStyle w:val="ListParagraph"/>
        <w:spacing w:after="0" w:line="240" w:lineRule="auto"/>
        <w:ind w:left="0"/>
        <w:jc w:val="both"/>
        <w:rPr>
          <w:rFonts w:ascii="Verdana" w:eastAsia="Verdana" w:hAnsi="Verdana" w:cs="Verdana"/>
          <w:sz w:val="24"/>
          <w:szCs w:val="24"/>
        </w:rPr>
      </w:pPr>
    </w:p>
    <w:p w14:paraId="3E1FEA44" w14:textId="77A721B7" w:rsidR="2AB6CD94" w:rsidRPr="009A730B" w:rsidRDefault="110C3ADB" w:rsidP="621F23EC">
      <w:pPr>
        <w:spacing w:after="0" w:line="240" w:lineRule="auto"/>
        <w:jc w:val="both"/>
        <w:rPr>
          <w:rFonts w:ascii="Verdana" w:eastAsia="Verdana" w:hAnsi="Verdana" w:cs="Verdana"/>
          <w:sz w:val="24"/>
          <w:szCs w:val="24"/>
        </w:rPr>
      </w:pPr>
      <w:r w:rsidRPr="621F23EC">
        <w:rPr>
          <w:rFonts w:ascii="Verdana" w:eastAsia="Verdana" w:hAnsi="Verdana" w:cs="Verdana"/>
          <w:sz w:val="24"/>
          <w:szCs w:val="24"/>
        </w:rPr>
        <w:t xml:space="preserve">Since February 2026 each meeting begins </w:t>
      </w:r>
      <w:r w:rsidR="2AB6CD94" w:rsidRPr="621F23EC">
        <w:rPr>
          <w:rFonts w:ascii="Verdana" w:eastAsia="Verdana" w:hAnsi="Verdana" w:cs="Verdana"/>
          <w:sz w:val="24"/>
          <w:szCs w:val="24"/>
        </w:rPr>
        <w:t>with a patient story to emphasise the importance of patient experience and outcomes. The Committee also receives updates from internal and external regulators, ensuring that any concerns raised are addressed through robust, monitored action plans to drive improvement and uphold accountability.</w:t>
      </w:r>
    </w:p>
    <w:p w14:paraId="2CC4DA99" w14:textId="77777777" w:rsidR="008B1CFE" w:rsidRPr="009A730B" w:rsidRDefault="008B1CFE" w:rsidP="008B1CFE">
      <w:pPr>
        <w:spacing w:after="0" w:line="240" w:lineRule="auto"/>
        <w:jc w:val="both"/>
        <w:rPr>
          <w:rFonts w:ascii="Verdana" w:hAnsi="Verdana" w:cs="Arial"/>
          <w:sz w:val="24"/>
          <w:szCs w:val="24"/>
        </w:rPr>
      </w:pPr>
    </w:p>
    <w:p w14:paraId="1702DA7A" w14:textId="0AD74DAE" w:rsidR="008B1CFE" w:rsidRPr="009A730B" w:rsidRDefault="4CA71605" w:rsidP="5A1F697D">
      <w:pPr>
        <w:spacing w:after="0" w:line="240" w:lineRule="auto"/>
        <w:jc w:val="both"/>
        <w:rPr>
          <w:rFonts w:ascii="Verdana" w:hAnsi="Verdana" w:cs="Arial"/>
          <w:sz w:val="24"/>
          <w:szCs w:val="24"/>
        </w:rPr>
      </w:pPr>
      <w:r w:rsidRPr="009A730B">
        <w:rPr>
          <w:rFonts w:ascii="Verdana" w:hAnsi="Verdana" w:cs="Arial"/>
          <w:sz w:val="24"/>
          <w:szCs w:val="24"/>
        </w:rPr>
        <w:t>During 202</w:t>
      </w:r>
      <w:r w:rsidR="6DD796D0" w:rsidRPr="009A730B">
        <w:rPr>
          <w:rFonts w:ascii="Verdana" w:hAnsi="Verdana" w:cs="Arial"/>
          <w:sz w:val="24"/>
          <w:szCs w:val="24"/>
        </w:rPr>
        <w:t>5</w:t>
      </w:r>
      <w:r w:rsidRPr="009A730B">
        <w:rPr>
          <w:rFonts w:ascii="Verdana" w:hAnsi="Verdana" w:cs="Arial"/>
          <w:sz w:val="24"/>
          <w:szCs w:val="24"/>
        </w:rPr>
        <w:t>/2</w:t>
      </w:r>
      <w:r w:rsidR="0208333B" w:rsidRPr="009A730B">
        <w:rPr>
          <w:rFonts w:ascii="Verdana" w:hAnsi="Verdana" w:cs="Arial"/>
          <w:sz w:val="24"/>
          <w:szCs w:val="24"/>
        </w:rPr>
        <w:t>6</w:t>
      </w:r>
      <w:r w:rsidRPr="009A730B">
        <w:rPr>
          <w:rFonts w:ascii="Verdana" w:hAnsi="Verdana" w:cs="Arial"/>
          <w:sz w:val="24"/>
          <w:szCs w:val="24"/>
        </w:rPr>
        <w:t xml:space="preserve">, the following reports were received by the </w:t>
      </w:r>
      <w:r w:rsidR="7C7C4AFB" w:rsidRPr="009A730B">
        <w:rPr>
          <w:rFonts w:ascii="Verdana" w:hAnsi="Verdana" w:cs="Arial"/>
          <w:sz w:val="24"/>
          <w:szCs w:val="24"/>
        </w:rPr>
        <w:t>C</w:t>
      </w:r>
      <w:r w:rsidRPr="009A730B">
        <w:rPr>
          <w:rFonts w:ascii="Verdana" w:hAnsi="Verdana" w:cs="Arial"/>
          <w:sz w:val="24"/>
          <w:szCs w:val="24"/>
        </w:rPr>
        <w:t>ommittee</w:t>
      </w:r>
      <w:r w:rsidR="37BC59C9" w:rsidRPr="009A730B">
        <w:rPr>
          <w:rFonts w:ascii="Verdana" w:hAnsi="Verdana" w:cs="Arial"/>
          <w:sz w:val="24"/>
          <w:szCs w:val="24"/>
        </w:rPr>
        <w:t>:</w:t>
      </w:r>
      <w:r w:rsidR="20A76C04" w:rsidRPr="009A730B">
        <w:rPr>
          <w:rFonts w:ascii="Verdana" w:hAnsi="Verdana" w:cs="Arial"/>
          <w:sz w:val="24"/>
          <w:szCs w:val="24"/>
        </w:rPr>
        <w:t xml:space="preserve"> </w:t>
      </w:r>
    </w:p>
    <w:p w14:paraId="63844B51" w14:textId="374BD85F" w:rsidR="008B1CFE" w:rsidRPr="009A730B" w:rsidRDefault="008B1CFE" w:rsidP="008B1CFE">
      <w:pPr>
        <w:spacing w:after="0" w:line="240" w:lineRule="auto"/>
        <w:jc w:val="both"/>
        <w:rPr>
          <w:rFonts w:ascii="Verdana" w:hAnsi="Verdana" w:cs="Arial"/>
          <w:sz w:val="24"/>
          <w:szCs w:val="24"/>
        </w:rPr>
      </w:pPr>
    </w:p>
    <w:p w14:paraId="1E7CCD42" w14:textId="2366AAE6" w:rsidR="1F484A4C" w:rsidRPr="009A730B" w:rsidRDefault="1F484A4C" w:rsidP="19EAB6BE">
      <w:pPr>
        <w:pStyle w:val="ListParagraph"/>
        <w:spacing w:after="0" w:line="240" w:lineRule="auto"/>
        <w:ind w:left="0"/>
        <w:jc w:val="both"/>
        <w:rPr>
          <w:rFonts w:ascii="Verdana" w:hAnsi="Verdana" w:cs="Arial"/>
          <w:sz w:val="24"/>
          <w:szCs w:val="24"/>
        </w:rPr>
      </w:pPr>
      <w:r w:rsidRPr="009A730B">
        <w:rPr>
          <w:rFonts w:ascii="Verdana" w:hAnsi="Verdana" w:cs="Arial"/>
          <w:sz w:val="24"/>
          <w:szCs w:val="24"/>
        </w:rPr>
        <w:t>Patient Stories were presented at Committee meetings, coordinated by the Patient Experience Team to ensure the patient voice remained central to discussions.</w:t>
      </w:r>
      <w:r w:rsidR="495E37C6" w:rsidRPr="009A730B">
        <w:rPr>
          <w:rFonts w:ascii="Verdana" w:hAnsi="Verdana" w:cs="Arial"/>
          <w:sz w:val="24"/>
          <w:szCs w:val="24"/>
        </w:rPr>
        <w:t xml:space="preserve"> </w:t>
      </w:r>
      <w:r w:rsidRPr="009A730B">
        <w:rPr>
          <w:rFonts w:ascii="Verdana" w:hAnsi="Verdana" w:cs="Arial"/>
          <w:sz w:val="24"/>
          <w:szCs w:val="24"/>
        </w:rPr>
        <w:t>Where provided, these stories highlighted learning from incidents, including never events and patient experiences, supporting reflection and improvement. Service Groups were invited to present stories aligned to their key risks and priorities, enabling wider organisational learning.</w:t>
      </w:r>
    </w:p>
    <w:p w14:paraId="6E20F079" w14:textId="77777777" w:rsidR="008B1CFE" w:rsidRPr="009A730B" w:rsidRDefault="008B1CFE" w:rsidP="6F2B4365">
      <w:pPr>
        <w:pStyle w:val="ListParagraph"/>
        <w:spacing w:after="0" w:line="240" w:lineRule="auto"/>
        <w:ind w:left="0"/>
        <w:jc w:val="both"/>
        <w:rPr>
          <w:rFonts w:ascii="Verdana" w:hAnsi="Verdana" w:cs="Arial"/>
          <w:sz w:val="24"/>
          <w:szCs w:val="24"/>
        </w:rPr>
      </w:pPr>
    </w:p>
    <w:p w14:paraId="00B63DC8" w14:textId="22E4CEB7" w:rsidR="008B1CFE" w:rsidRPr="009A730B" w:rsidRDefault="4CA71605" w:rsidP="1CE8256A">
      <w:pPr>
        <w:pStyle w:val="ListParagraph"/>
        <w:spacing w:after="0" w:line="240" w:lineRule="auto"/>
        <w:ind w:left="0"/>
        <w:jc w:val="both"/>
        <w:rPr>
          <w:rFonts w:ascii="Verdana" w:hAnsi="Verdana" w:cs="Arial"/>
          <w:sz w:val="24"/>
          <w:szCs w:val="24"/>
        </w:rPr>
      </w:pPr>
      <w:r w:rsidRPr="009A730B">
        <w:rPr>
          <w:rFonts w:ascii="Verdana" w:hAnsi="Verdana" w:cs="Arial"/>
          <w:sz w:val="24"/>
          <w:szCs w:val="24"/>
        </w:rPr>
        <w:t xml:space="preserve">The following stories were received by the </w:t>
      </w:r>
      <w:r w:rsidR="6FBA3539" w:rsidRPr="009A730B">
        <w:rPr>
          <w:rFonts w:ascii="Verdana" w:hAnsi="Verdana" w:cs="Arial"/>
          <w:sz w:val="24"/>
          <w:szCs w:val="24"/>
        </w:rPr>
        <w:t>C</w:t>
      </w:r>
      <w:r w:rsidRPr="009A730B">
        <w:rPr>
          <w:rFonts w:ascii="Verdana" w:hAnsi="Verdana" w:cs="Arial"/>
          <w:sz w:val="24"/>
          <w:szCs w:val="24"/>
        </w:rPr>
        <w:t>ommittee:</w:t>
      </w:r>
    </w:p>
    <w:p w14:paraId="11153974" w14:textId="36038DC7" w:rsidR="4C39ED56" w:rsidRPr="009A730B" w:rsidRDefault="4C39ED56" w:rsidP="4C39ED56">
      <w:pPr>
        <w:pStyle w:val="ListParagraph"/>
        <w:spacing w:after="0" w:line="240" w:lineRule="auto"/>
        <w:ind w:left="0"/>
        <w:jc w:val="both"/>
        <w:rPr>
          <w:rFonts w:ascii="Verdana" w:hAnsi="Verdana" w:cs="Arial"/>
          <w:sz w:val="24"/>
          <w:szCs w:val="24"/>
        </w:rPr>
      </w:pPr>
    </w:p>
    <w:p w14:paraId="6A6CE3D1" w14:textId="42BC9F3A" w:rsidR="008B1CFE" w:rsidRPr="009A730B" w:rsidRDefault="4CA71605" w:rsidP="00C2615D">
      <w:pPr>
        <w:pStyle w:val="ListParagraph"/>
        <w:numPr>
          <w:ilvl w:val="0"/>
          <w:numId w:val="57"/>
        </w:numPr>
        <w:spacing w:before="120" w:after="120" w:line="240" w:lineRule="auto"/>
        <w:jc w:val="both"/>
        <w:rPr>
          <w:sz w:val="24"/>
          <w:szCs w:val="24"/>
        </w:rPr>
      </w:pPr>
      <w:r w:rsidRPr="009A730B">
        <w:rPr>
          <w:rFonts w:ascii="Verdana" w:hAnsi="Verdana" w:cs="Arial"/>
          <w:sz w:val="24"/>
          <w:szCs w:val="24"/>
        </w:rPr>
        <w:t>Patient</w:t>
      </w:r>
      <w:r w:rsidR="7DBDC242" w:rsidRPr="009A730B">
        <w:rPr>
          <w:rFonts w:ascii="Verdana" w:hAnsi="Verdana" w:cs="Arial"/>
          <w:sz w:val="24"/>
          <w:szCs w:val="24"/>
        </w:rPr>
        <w:t xml:space="preserve"> Story, </w:t>
      </w:r>
      <w:r w:rsidR="4B4504C4" w:rsidRPr="009A730B">
        <w:rPr>
          <w:rFonts w:ascii="Verdana" w:hAnsi="Verdana" w:cs="Arial"/>
          <w:sz w:val="24"/>
          <w:szCs w:val="24"/>
        </w:rPr>
        <w:t>15</w:t>
      </w:r>
      <w:r w:rsidR="7DBDC242" w:rsidRPr="009A730B">
        <w:rPr>
          <w:rFonts w:ascii="Verdana" w:hAnsi="Verdana" w:cs="Arial"/>
          <w:sz w:val="24"/>
          <w:szCs w:val="24"/>
        </w:rPr>
        <w:t xml:space="preserve"> May 202</w:t>
      </w:r>
      <w:r w:rsidR="18BFC0B7" w:rsidRPr="009A730B">
        <w:rPr>
          <w:rFonts w:ascii="Verdana" w:hAnsi="Verdana" w:cs="Arial"/>
          <w:sz w:val="24"/>
          <w:szCs w:val="24"/>
        </w:rPr>
        <w:t>5</w:t>
      </w:r>
      <w:r w:rsidR="7DBDC242" w:rsidRPr="009A730B">
        <w:rPr>
          <w:rFonts w:ascii="Verdana" w:hAnsi="Verdana" w:cs="Arial"/>
          <w:sz w:val="24"/>
          <w:szCs w:val="24"/>
        </w:rPr>
        <w:t xml:space="preserve"> -</w:t>
      </w:r>
      <w:r w:rsidR="150C3C55" w:rsidRPr="009A730B">
        <w:rPr>
          <w:rFonts w:ascii="Verdana" w:hAnsi="Verdana" w:cs="Arial"/>
          <w:sz w:val="24"/>
          <w:szCs w:val="24"/>
        </w:rPr>
        <w:t xml:space="preserve"> </w:t>
      </w:r>
      <w:r w:rsidR="150C3C55" w:rsidRPr="009A730B">
        <w:rPr>
          <w:rFonts w:ascii="Verdana" w:eastAsia="Verdana" w:hAnsi="Verdana" w:cs="Verdana"/>
          <w:color w:val="000000" w:themeColor="text1"/>
          <w:sz w:val="24"/>
          <w:szCs w:val="24"/>
        </w:rPr>
        <w:t>Neath Port Talbot Hospital/ Singleton Hospital</w:t>
      </w:r>
    </w:p>
    <w:p w14:paraId="0A82701A" w14:textId="67538943" w:rsidR="6824C8F8" w:rsidRPr="009A730B" w:rsidRDefault="6824C8F8" w:rsidP="00C2615D">
      <w:pPr>
        <w:pStyle w:val="ListParagraph"/>
        <w:numPr>
          <w:ilvl w:val="0"/>
          <w:numId w:val="57"/>
        </w:numPr>
        <w:spacing w:before="120" w:after="120" w:line="240" w:lineRule="auto"/>
        <w:jc w:val="both"/>
        <w:rPr>
          <w:rFonts w:ascii="Verdana" w:hAnsi="Verdana" w:cs="Arial"/>
          <w:sz w:val="24"/>
          <w:szCs w:val="24"/>
        </w:rPr>
      </w:pPr>
      <w:r w:rsidRPr="009A730B">
        <w:rPr>
          <w:rFonts w:ascii="Verdana" w:hAnsi="Verdana" w:cs="Arial"/>
          <w:sz w:val="24"/>
          <w:szCs w:val="24"/>
        </w:rPr>
        <w:t xml:space="preserve">Patient Story, </w:t>
      </w:r>
      <w:r w:rsidR="0F1929F0" w:rsidRPr="009A730B">
        <w:rPr>
          <w:rFonts w:ascii="Verdana" w:hAnsi="Verdana" w:cs="Arial"/>
          <w:sz w:val="24"/>
          <w:szCs w:val="24"/>
        </w:rPr>
        <w:t>3 July</w:t>
      </w:r>
      <w:r w:rsidRPr="009A730B">
        <w:rPr>
          <w:rFonts w:ascii="Verdana" w:hAnsi="Verdana" w:cs="Arial"/>
          <w:sz w:val="24"/>
          <w:szCs w:val="24"/>
        </w:rPr>
        <w:t xml:space="preserve"> 202</w:t>
      </w:r>
      <w:r w:rsidR="32962A9C" w:rsidRPr="009A730B">
        <w:rPr>
          <w:rFonts w:ascii="Verdana" w:hAnsi="Verdana" w:cs="Arial"/>
          <w:sz w:val="24"/>
          <w:szCs w:val="24"/>
        </w:rPr>
        <w:t>5</w:t>
      </w:r>
      <w:r w:rsidRPr="009A730B">
        <w:rPr>
          <w:rFonts w:ascii="Verdana" w:hAnsi="Verdana" w:cs="Arial"/>
          <w:sz w:val="24"/>
          <w:szCs w:val="24"/>
        </w:rPr>
        <w:t xml:space="preserve"> </w:t>
      </w:r>
      <w:r w:rsidR="6FD55764" w:rsidRPr="009A730B">
        <w:rPr>
          <w:rFonts w:ascii="Verdana" w:hAnsi="Verdana" w:cs="Arial"/>
          <w:sz w:val="24"/>
          <w:szCs w:val="24"/>
        </w:rPr>
        <w:t>no story received</w:t>
      </w:r>
      <w:r w:rsidR="6CF9BDD8" w:rsidRPr="009A730B">
        <w:rPr>
          <w:rFonts w:ascii="Verdana" w:hAnsi="Verdana" w:cs="Arial"/>
          <w:sz w:val="24"/>
          <w:szCs w:val="24"/>
        </w:rPr>
        <w:t>;</w:t>
      </w:r>
      <w:r w:rsidRPr="009A730B">
        <w:rPr>
          <w:rFonts w:ascii="Verdana" w:hAnsi="Verdana" w:cs="Arial"/>
          <w:sz w:val="24"/>
          <w:szCs w:val="24"/>
        </w:rPr>
        <w:t xml:space="preserve">  </w:t>
      </w:r>
    </w:p>
    <w:p w14:paraId="32A448A0" w14:textId="19B72862" w:rsidR="14E7EFC5" w:rsidRPr="009A730B" w:rsidRDefault="14E7EFC5" w:rsidP="00C2615D">
      <w:pPr>
        <w:pStyle w:val="ListParagraph"/>
        <w:numPr>
          <w:ilvl w:val="0"/>
          <w:numId w:val="57"/>
        </w:numPr>
        <w:spacing w:before="120" w:after="120" w:line="240" w:lineRule="auto"/>
        <w:jc w:val="both"/>
        <w:rPr>
          <w:rFonts w:ascii="Verdana" w:hAnsi="Verdana" w:cs="Arial"/>
          <w:sz w:val="24"/>
          <w:szCs w:val="24"/>
        </w:rPr>
      </w:pPr>
      <w:r w:rsidRPr="009A730B">
        <w:rPr>
          <w:rFonts w:ascii="Verdana" w:hAnsi="Verdana" w:cs="Arial"/>
          <w:sz w:val="24"/>
          <w:szCs w:val="24"/>
        </w:rPr>
        <w:t xml:space="preserve">Patient Story, </w:t>
      </w:r>
      <w:r w:rsidR="2BA9F8BA" w:rsidRPr="009A730B">
        <w:rPr>
          <w:rFonts w:ascii="Verdana" w:hAnsi="Verdana" w:cs="Arial"/>
          <w:sz w:val="24"/>
          <w:szCs w:val="24"/>
        </w:rPr>
        <w:t>11 September</w:t>
      </w:r>
      <w:r w:rsidRPr="009A730B">
        <w:rPr>
          <w:rFonts w:ascii="Verdana" w:hAnsi="Verdana" w:cs="Arial"/>
          <w:sz w:val="24"/>
          <w:szCs w:val="24"/>
        </w:rPr>
        <w:t xml:space="preserve"> 202</w:t>
      </w:r>
      <w:r w:rsidR="0811055D" w:rsidRPr="009A730B">
        <w:rPr>
          <w:rFonts w:ascii="Verdana" w:hAnsi="Verdana" w:cs="Arial"/>
          <w:sz w:val="24"/>
          <w:szCs w:val="24"/>
        </w:rPr>
        <w:t>5</w:t>
      </w:r>
      <w:r w:rsidRPr="009A730B">
        <w:rPr>
          <w:rFonts w:ascii="Verdana" w:hAnsi="Verdana" w:cs="Arial"/>
          <w:sz w:val="24"/>
          <w:szCs w:val="24"/>
        </w:rPr>
        <w:t xml:space="preserve"> - </w:t>
      </w:r>
      <w:r w:rsidR="5607FC90" w:rsidRPr="009A730B">
        <w:rPr>
          <w:rFonts w:ascii="Verdana" w:hAnsi="Verdana" w:cs="Arial"/>
          <w:sz w:val="24"/>
          <w:szCs w:val="24"/>
        </w:rPr>
        <w:t>no story received;</w:t>
      </w:r>
    </w:p>
    <w:p w14:paraId="4067606B" w14:textId="0E00E1B5" w:rsidR="5E2AA1DF" w:rsidRPr="009A730B" w:rsidRDefault="5E2AA1DF" w:rsidP="00C2615D">
      <w:pPr>
        <w:pStyle w:val="ListParagraph"/>
        <w:numPr>
          <w:ilvl w:val="0"/>
          <w:numId w:val="57"/>
        </w:numPr>
        <w:spacing w:before="120" w:after="120" w:line="240" w:lineRule="auto"/>
        <w:jc w:val="both"/>
        <w:rPr>
          <w:rFonts w:ascii="Verdana" w:hAnsi="Verdana" w:cs="Arial"/>
          <w:sz w:val="24"/>
          <w:szCs w:val="24"/>
        </w:rPr>
      </w:pPr>
      <w:r w:rsidRPr="009A730B">
        <w:rPr>
          <w:rFonts w:ascii="Verdana" w:hAnsi="Verdana" w:cs="Arial"/>
          <w:sz w:val="24"/>
          <w:szCs w:val="24"/>
        </w:rPr>
        <w:t xml:space="preserve">Patient Story, </w:t>
      </w:r>
      <w:r w:rsidR="1B72A066" w:rsidRPr="009A730B">
        <w:rPr>
          <w:rFonts w:ascii="Verdana" w:hAnsi="Verdana" w:cs="Arial"/>
          <w:sz w:val="24"/>
          <w:szCs w:val="24"/>
        </w:rPr>
        <w:t>26 November 202</w:t>
      </w:r>
      <w:r w:rsidR="3394726F" w:rsidRPr="009A730B">
        <w:rPr>
          <w:rFonts w:ascii="Verdana" w:hAnsi="Verdana" w:cs="Arial"/>
          <w:sz w:val="24"/>
          <w:szCs w:val="24"/>
        </w:rPr>
        <w:t>5</w:t>
      </w:r>
      <w:r w:rsidR="1B72A066" w:rsidRPr="009A730B">
        <w:rPr>
          <w:rFonts w:ascii="Verdana" w:hAnsi="Verdana" w:cs="Arial"/>
          <w:sz w:val="24"/>
          <w:szCs w:val="24"/>
        </w:rPr>
        <w:t xml:space="preserve"> – </w:t>
      </w:r>
      <w:r w:rsidR="78B7674C" w:rsidRPr="009A730B">
        <w:rPr>
          <w:rFonts w:ascii="Verdana" w:hAnsi="Verdana" w:cs="Arial"/>
          <w:sz w:val="24"/>
          <w:szCs w:val="24"/>
        </w:rPr>
        <w:t>no story received;</w:t>
      </w:r>
    </w:p>
    <w:p w14:paraId="775AA168" w14:textId="115A2888" w:rsidR="74545EE5" w:rsidRPr="009A730B" w:rsidRDefault="74545EE5" w:rsidP="00C2615D">
      <w:pPr>
        <w:pStyle w:val="ListParagraph"/>
        <w:numPr>
          <w:ilvl w:val="0"/>
          <w:numId w:val="57"/>
        </w:numPr>
        <w:spacing w:before="120" w:after="120" w:line="240" w:lineRule="auto"/>
        <w:jc w:val="both"/>
        <w:rPr>
          <w:rFonts w:ascii="Verdana" w:hAnsi="Verdana" w:cs="Arial"/>
          <w:sz w:val="24"/>
          <w:szCs w:val="24"/>
        </w:rPr>
      </w:pPr>
      <w:r w:rsidRPr="009A730B">
        <w:rPr>
          <w:rFonts w:ascii="Verdana" w:eastAsia="Verdana" w:hAnsi="Verdana" w:cs="Verdana"/>
          <w:color w:val="000000" w:themeColor="text1"/>
          <w:sz w:val="24"/>
          <w:szCs w:val="24"/>
        </w:rPr>
        <w:t>Patient Story, 2</w:t>
      </w:r>
      <w:r w:rsidR="7199C092" w:rsidRPr="009A730B">
        <w:rPr>
          <w:rFonts w:ascii="Verdana" w:eastAsia="Verdana" w:hAnsi="Verdana" w:cs="Verdana"/>
          <w:color w:val="000000" w:themeColor="text1"/>
          <w:sz w:val="24"/>
          <w:szCs w:val="24"/>
        </w:rPr>
        <w:t>8</w:t>
      </w:r>
      <w:r w:rsidRPr="009A730B">
        <w:rPr>
          <w:rFonts w:ascii="Verdana" w:eastAsia="Verdana" w:hAnsi="Verdana" w:cs="Verdana"/>
          <w:color w:val="000000" w:themeColor="text1"/>
          <w:sz w:val="24"/>
          <w:szCs w:val="24"/>
        </w:rPr>
        <w:t xml:space="preserve"> January 2025 - </w:t>
      </w:r>
      <w:r w:rsidR="1BDB7A1A" w:rsidRPr="009A730B">
        <w:rPr>
          <w:rFonts w:ascii="Verdana" w:hAnsi="Verdana" w:cs="Arial"/>
          <w:sz w:val="24"/>
          <w:szCs w:val="24"/>
        </w:rPr>
        <w:t>Primary Care and Community Services</w:t>
      </w:r>
      <w:r w:rsidR="2939AD96" w:rsidRPr="009A730B">
        <w:rPr>
          <w:rFonts w:ascii="Verdana" w:hAnsi="Verdana" w:cs="Arial"/>
          <w:sz w:val="24"/>
          <w:szCs w:val="24"/>
        </w:rPr>
        <w:t>;</w:t>
      </w:r>
    </w:p>
    <w:p w14:paraId="5FBAA368" w14:textId="36857A90" w:rsidR="008B1CFE" w:rsidRPr="009A730B" w:rsidRDefault="2F25D270" w:rsidP="00C2615D">
      <w:pPr>
        <w:pStyle w:val="ListParagraph"/>
        <w:numPr>
          <w:ilvl w:val="0"/>
          <w:numId w:val="57"/>
        </w:numPr>
        <w:spacing w:before="120" w:after="120" w:line="240" w:lineRule="auto"/>
        <w:jc w:val="both"/>
        <w:rPr>
          <w:rFonts w:ascii="Verdana" w:hAnsi="Verdana" w:cs="Arial"/>
          <w:sz w:val="24"/>
          <w:szCs w:val="24"/>
        </w:rPr>
      </w:pPr>
      <w:r w:rsidRPr="009A730B">
        <w:rPr>
          <w:rFonts w:ascii="Verdana" w:hAnsi="Verdana" w:cs="Arial"/>
          <w:sz w:val="24"/>
          <w:szCs w:val="24"/>
        </w:rPr>
        <w:t xml:space="preserve">Patient Story, </w:t>
      </w:r>
      <w:r w:rsidR="04EB997B" w:rsidRPr="009A730B">
        <w:rPr>
          <w:rFonts w:ascii="Verdana" w:hAnsi="Verdana" w:cs="Arial"/>
          <w:sz w:val="24"/>
          <w:szCs w:val="24"/>
        </w:rPr>
        <w:t>5 February 2026</w:t>
      </w:r>
      <w:r w:rsidR="2F28E150" w:rsidRPr="009A730B">
        <w:rPr>
          <w:rFonts w:ascii="Verdana" w:hAnsi="Verdana" w:cs="Arial"/>
          <w:sz w:val="24"/>
          <w:szCs w:val="24"/>
        </w:rPr>
        <w:t xml:space="preserve"> – </w:t>
      </w:r>
      <w:r w:rsidRPr="009A730B">
        <w:rPr>
          <w:rFonts w:ascii="Verdana" w:hAnsi="Verdana" w:cs="Arial"/>
          <w:sz w:val="24"/>
          <w:szCs w:val="24"/>
        </w:rPr>
        <w:t>M</w:t>
      </w:r>
      <w:r w:rsidR="3CB63603" w:rsidRPr="009A730B">
        <w:rPr>
          <w:rFonts w:ascii="Verdana" w:hAnsi="Verdana" w:cs="Arial"/>
          <w:sz w:val="24"/>
          <w:szCs w:val="24"/>
        </w:rPr>
        <w:t>ortuary</w:t>
      </w:r>
    </w:p>
    <w:p w14:paraId="536F66BB" w14:textId="5BAE30F4" w:rsidR="14C3F490" w:rsidRPr="009A730B" w:rsidRDefault="14C3F490" w:rsidP="14C3F490">
      <w:pPr>
        <w:spacing w:before="120" w:after="120" w:line="240" w:lineRule="auto"/>
        <w:jc w:val="both"/>
        <w:rPr>
          <w:rFonts w:ascii="Verdana" w:hAnsi="Verdana" w:cs="Arial"/>
          <w:sz w:val="24"/>
          <w:szCs w:val="24"/>
        </w:rPr>
      </w:pPr>
    </w:p>
    <w:p w14:paraId="39CB554B" w14:textId="4190C841" w:rsidR="14C3F490" w:rsidRPr="009A730B" w:rsidRDefault="14C3F490" w:rsidP="14C3F490">
      <w:pPr>
        <w:spacing w:before="120" w:after="120" w:line="240" w:lineRule="auto"/>
        <w:jc w:val="both"/>
        <w:rPr>
          <w:rFonts w:ascii="Verdana" w:hAnsi="Verdana" w:cs="Arial"/>
          <w:sz w:val="24"/>
          <w:szCs w:val="24"/>
        </w:rPr>
      </w:pPr>
    </w:p>
    <w:p w14:paraId="7E0AA3CF" w14:textId="6070124E" w:rsidR="008B1CFE" w:rsidRPr="009A730B" w:rsidRDefault="008B1CFE" w:rsidP="4C39ED56">
      <w:pPr>
        <w:spacing w:after="0" w:line="240" w:lineRule="auto"/>
        <w:rPr>
          <w:rFonts w:ascii="Verdana" w:hAnsi="Verdana" w:cs="Arial"/>
          <w:b/>
          <w:bCs/>
          <w:sz w:val="24"/>
          <w:szCs w:val="24"/>
        </w:rPr>
      </w:pPr>
    </w:p>
    <w:p w14:paraId="1A1157B4" w14:textId="400F40ED" w:rsidR="008B1CFE" w:rsidRPr="007C425B" w:rsidRDefault="6A346972" w:rsidP="00C2615D">
      <w:pPr>
        <w:pStyle w:val="ListParagraph"/>
        <w:numPr>
          <w:ilvl w:val="1"/>
          <w:numId w:val="29"/>
        </w:numPr>
        <w:spacing w:after="0" w:line="240" w:lineRule="auto"/>
        <w:rPr>
          <w:rFonts w:ascii="Verdana" w:hAnsi="Verdana" w:cs="Arial"/>
          <w:b/>
          <w:bCs/>
          <w:sz w:val="24"/>
          <w:szCs w:val="24"/>
          <w:u w:val="single"/>
        </w:rPr>
      </w:pPr>
      <w:bookmarkStart w:id="0" w:name="_Hlk180577509"/>
      <w:r w:rsidRPr="007C425B">
        <w:rPr>
          <w:rFonts w:ascii="Verdana" w:hAnsi="Verdana" w:cs="Arial"/>
          <w:b/>
          <w:bCs/>
          <w:sz w:val="24"/>
          <w:szCs w:val="24"/>
          <w:u w:val="single"/>
        </w:rPr>
        <w:t xml:space="preserve">Clinical and Service Quality Compliance and Performance </w:t>
      </w:r>
    </w:p>
    <w:p w14:paraId="07CB58DF" w14:textId="6B7D4E26" w:rsidR="008B1CFE" w:rsidRPr="009A730B" w:rsidRDefault="008B1CFE" w:rsidP="4C39ED56">
      <w:pPr>
        <w:spacing w:after="0" w:line="240" w:lineRule="auto"/>
        <w:jc w:val="both"/>
        <w:rPr>
          <w:rFonts w:ascii="Verdana" w:hAnsi="Verdana" w:cs="Arial"/>
          <w:sz w:val="24"/>
          <w:szCs w:val="24"/>
        </w:rPr>
      </w:pPr>
    </w:p>
    <w:p w14:paraId="7A1EC58E" w14:textId="77976290" w:rsidR="008B1CFE" w:rsidRPr="007C425B" w:rsidRDefault="007C425B" w:rsidP="007C425B">
      <w:pPr>
        <w:spacing w:after="0" w:line="240" w:lineRule="auto"/>
        <w:jc w:val="both"/>
        <w:rPr>
          <w:rFonts w:ascii="Verdana" w:hAnsi="Verdana" w:cs="Arial"/>
          <w:b/>
        </w:rPr>
      </w:pPr>
      <w:r w:rsidRPr="621F23EC">
        <w:rPr>
          <w:rFonts w:ascii="Verdana" w:hAnsi="Verdana" w:cs="Arial"/>
          <w:b/>
          <w:bCs/>
          <w:sz w:val="24"/>
          <w:szCs w:val="24"/>
        </w:rPr>
        <w:t xml:space="preserve">4.1.1 </w:t>
      </w:r>
      <w:r w:rsidR="1378C67E" w:rsidRPr="621F23EC">
        <w:rPr>
          <w:rFonts w:ascii="Verdana" w:hAnsi="Verdana" w:cs="Arial"/>
          <w:b/>
          <w:bCs/>
          <w:sz w:val="24"/>
          <w:szCs w:val="24"/>
        </w:rPr>
        <w:t>External Inspections</w:t>
      </w:r>
    </w:p>
    <w:p w14:paraId="43B483A0" w14:textId="7355E0E0" w:rsidR="27C3BD41" w:rsidRDefault="27C3BD41" w:rsidP="621F23EC">
      <w:pPr>
        <w:spacing w:after="0" w:line="240" w:lineRule="auto"/>
        <w:jc w:val="both"/>
        <w:rPr>
          <w:rFonts w:ascii="Verdana" w:eastAsia="Calibri" w:hAnsi="Verdana" w:cs="Arial"/>
          <w:sz w:val="24"/>
          <w:szCs w:val="24"/>
        </w:rPr>
      </w:pPr>
      <w:r w:rsidRPr="621F23EC">
        <w:rPr>
          <w:rFonts w:ascii="Verdana" w:eastAsia="Calibri" w:hAnsi="Verdana" w:cs="Arial"/>
          <w:sz w:val="24"/>
          <w:szCs w:val="24"/>
        </w:rPr>
        <w:t>Regular External Inspection updates were received, providing oversight of findings from regulatory bodies and external reviews. These reports highlighted a range of issues requiring action, including areas of non-compliance, governance concerns, and the need for improvement within specific services, particularly in pharmacy, mental health, acute hospital settings, and maternity and neonatal services. The Committee monitored progress against required actions, including those arising from inspection findings, national reviews, and the independent maternity and neonatal review, and ensured appropriate escalation where risks to patient safety and service quality were identified. The Committee also noted evidence of improvement in some areas, alongside the strengthening of governance arrangements to support sustained compliance and assurance across the organisation.</w:t>
      </w:r>
    </w:p>
    <w:p w14:paraId="173921E4" w14:textId="3072937B" w:rsidR="008B1CFE" w:rsidRPr="009A730B" w:rsidRDefault="008B1CFE" w:rsidP="14C3F490">
      <w:pPr>
        <w:spacing w:after="0" w:line="240" w:lineRule="auto"/>
        <w:jc w:val="both"/>
        <w:rPr>
          <w:rFonts w:ascii="Verdana" w:hAnsi="Verdana" w:cs="Arial"/>
          <w:sz w:val="24"/>
          <w:szCs w:val="24"/>
        </w:rPr>
      </w:pPr>
    </w:p>
    <w:p w14:paraId="4B04045F" w14:textId="7E6B5DCD" w:rsidR="008B1CFE" w:rsidRPr="007C425B" w:rsidRDefault="1D21810D" w:rsidP="00C2615D">
      <w:pPr>
        <w:pStyle w:val="ListParagraph"/>
        <w:numPr>
          <w:ilvl w:val="2"/>
          <w:numId w:val="30"/>
        </w:numPr>
        <w:spacing w:after="0" w:line="240" w:lineRule="auto"/>
        <w:jc w:val="both"/>
        <w:rPr>
          <w:rFonts w:ascii="Verdana" w:hAnsi="Verdana" w:cs="Arial"/>
          <w:b/>
        </w:rPr>
      </w:pPr>
      <w:r w:rsidRPr="007C425B">
        <w:rPr>
          <w:rFonts w:ascii="Verdana" w:hAnsi="Verdana" w:cs="Arial"/>
          <w:b/>
          <w:sz w:val="24"/>
          <w:szCs w:val="24"/>
        </w:rPr>
        <w:t>Quality and Safety Performance Report</w:t>
      </w:r>
    </w:p>
    <w:p w14:paraId="6B63A7B0" w14:textId="5429D9BD" w:rsidR="095F1702" w:rsidRPr="009A730B" w:rsidRDefault="095F1702" w:rsidP="621F23EC">
      <w:pPr>
        <w:spacing w:after="0" w:line="240" w:lineRule="auto"/>
        <w:jc w:val="both"/>
        <w:rPr>
          <w:rFonts w:ascii="Verdana" w:eastAsia="Calibri" w:hAnsi="Verdana" w:cs="Arial"/>
          <w:sz w:val="24"/>
          <w:szCs w:val="24"/>
        </w:rPr>
      </w:pPr>
      <w:r w:rsidRPr="621F23EC">
        <w:rPr>
          <w:rFonts w:ascii="Verdana" w:eastAsia="Calibri" w:hAnsi="Verdana" w:cs="Arial"/>
          <w:sz w:val="24"/>
          <w:szCs w:val="24"/>
        </w:rPr>
        <w:t>Throughout 2025/26, the Quality and Safety Committee received regular Performance Reports, which highlighted ongoing system pressures impacting key areas including diagnostics, pathology, cancer pathways, and endoscopy capacity. The Committee monitored a range of patient safety indicators, including incidents, healthcare-acquired infections, falls, and pressure ulcers, with particular concern regarding Infection Prevention and Control and variability in compliance with core standards. While some improvements were noted, including reductions in certain harm incidents and strong patient satisfaction levels, the Committee emphasised the need for clearer analysis of trends, improved visibility of harm data, and stronger evidence of the impact of improvement actions to support sustained improvement across the organisation</w:t>
      </w:r>
      <w:r w:rsidR="1CB93D66" w:rsidRPr="621F23EC">
        <w:rPr>
          <w:rFonts w:ascii="Verdana" w:eastAsia="Calibri" w:hAnsi="Verdana" w:cs="Arial"/>
          <w:sz w:val="24"/>
          <w:szCs w:val="24"/>
        </w:rPr>
        <w:t>.</w:t>
      </w:r>
      <w:r w:rsidR="499D4AAF" w:rsidRPr="621F23EC">
        <w:rPr>
          <w:rFonts w:ascii="Verdana" w:eastAsia="Calibri" w:hAnsi="Verdana" w:cs="Arial"/>
          <w:sz w:val="24"/>
          <w:szCs w:val="24"/>
        </w:rPr>
        <w:t xml:space="preserve"> The Committee also introduced national and international benchmarking comparisons in order to provide more robust Quality &amp; Safety analyses.</w:t>
      </w:r>
    </w:p>
    <w:p w14:paraId="18462DE3" w14:textId="7FD34A28" w:rsidR="7ECAFBA8" w:rsidRPr="009A730B" w:rsidRDefault="7ECAFBA8" w:rsidP="7ECAFBA8">
      <w:pPr>
        <w:spacing w:after="0" w:line="240" w:lineRule="auto"/>
        <w:jc w:val="both"/>
        <w:rPr>
          <w:rFonts w:ascii="Verdana" w:hAnsi="Verdana" w:cs="Arial"/>
          <w:sz w:val="24"/>
          <w:szCs w:val="24"/>
        </w:rPr>
      </w:pPr>
    </w:p>
    <w:p w14:paraId="564BD5A2" w14:textId="35D7B76A" w:rsidR="008B1CFE" w:rsidRPr="009A730B" w:rsidRDefault="008B1CFE" w:rsidP="4C39ED56">
      <w:pPr>
        <w:spacing w:after="0" w:line="240" w:lineRule="auto"/>
        <w:jc w:val="both"/>
        <w:rPr>
          <w:rFonts w:ascii="Verdana" w:hAnsi="Verdana" w:cs="Arial"/>
          <w:sz w:val="24"/>
          <w:szCs w:val="24"/>
        </w:rPr>
      </w:pPr>
    </w:p>
    <w:p w14:paraId="2195DF19" w14:textId="7D060F39" w:rsidR="01970E95" w:rsidRPr="007C425B" w:rsidRDefault="01970E95" w:rsidP="00C2615D">
      <w:pPr>
        <w:pStyle w:val="ListParagraph"/>
        <w:numPr>
          <w:ilvl w:val="2"/>
          <w:numId w:val="30"/>
        </w:numPr>
        <w:spacing w:after="0" w:line="240" w:lineRule="auto"/>
        <w:jc w:val="both"/>
        <w:rPr>
          <w:rFonts w:ascii="Verdana" w:hAnsi="Verdana" w:cs="Arial"/>
          <w:b/>
          <w:bCs/>
          <w:sz w:val="24"/>
          <w:szCs w:val="24"/>
        </w:rPr>
      </w:pPr>
      <w:r w:rsidRPr="007C425B">
        <w:rPr>
          <w:rFonts w:ascii="Verdana" w:hAnsi="Verdana" w:cs="Arial"/>
          <w:b/>
          <w:bCs/>
          <w:sz w:val="24"/>
          <w:szCs w:val="24"/>
        </w:rPr>
        <w:t>Quality and Safety Group Executive Summary</w:t>
      </w:r>
    </w:p>
    <w:p w14:paraId="55E23CDF" w14:textId="01B314FF" w:rsidR="647AC358" w:rsidRPr="009A730B" w:rsidRDefault="647AC358" w:rsidP="2BF8A567">
      <w:pPr>
        <w:spacing w:after="0" w:line="240" w:lineRule="auto"/>
        <w:jc w:val="both"/>
        <w:rPr>
          <w:rFonts w:ascii="Verdana" w:eastAsia="Calibri" w:hAnsi="Verdana" w:cs="Arial"/>
          <w:sz w:val="24"/>
          <w:szCs w:val="24"/>
        </w:rPr>
      </w:pPr>
      <w:r w:rsidRPr="009A730B">
        <w:rPr>
          <w:rFonts w:ascii="Verdana" w:eastAsia="Calibri" w:hAnsi="Verdana" w:cs="Arial"/>
          <w:sz w:val="24"/>
          <w:szCs w:val="24"/>
        </w:rPr>
        <w:t xml:space="preserve">Regular updates were </w:t>
      </w:r>
      <w:r w:rsidR="4E7E2A8C" w:rsidRPr="009A730B">
        <w:rPr>
          <w:rFonts w:ascii="Verdana" w:eastAsia="Calibri" w:hAnsi="Verdana" w:cs="Arial"/>
          <w:sz w:val="24"/>
          <w:szCs w:val="24"/>
        </w:rPr>
        <w:t>received</w:t>
      </w:r>
      <w:r w:rsidRPr="009A730B">
        <w:rPr>
          <w:rFonts w:ascii="Verdana" w:eastAsia="Calibri" w:hAnsi="Verdana" w:cs="Arial"/>
          <w:sz w:val="24"/>
          <w:szCs w:val="24"/>
        </w:rPr>
        <w:t xml:space="preserve"> through the Group Executive Summary, which provided visibility of key risks, service challenges, and areas requiring escalation.</w:t>
      </w:r>
      <w:r w:rsidR="1EC5FBE7" w:rsidRPr="009A730B">
        <w:rPr>
          <w:rFonts w:ascii="Verdana" w:eastAsia="Calibri" w:hAnsi="Verdana" w:cs="Arial"/>
          <w:sz w:val="24"/>
          <w:szCs w:val="24"/>
        </w:rPr>
        <w:t xml:space="preserve"> </w:t>
      </w:r>
      <w:r w:rsidRPr="009A730B">
        <w:rPr>
          <w:rFonts w:ascii="Verdana" w:eastAsia="Calibri" w:hAnsi="Verdana" w:cs="Arial"/>
          <w:sz w:val="24"/>
          <w:szCs w:val="24"/>
        </w:rPr>
        <w:t xml:space="preserve">Across the reporting period, recurring themes included concerns in Infection Prevention and Control, particularly ongoing challenges in reducing healthcare-acquired infections and improving compliance with basic standards. The Committee also reviewed a range of operational and governance issues, including incomplete ligature risk assessments, variation in the completion of unannounced assurance audits across Service Groups, and workforce-related pressures impacting service delivery. System-wide performance challenges were highlighted, including </w:t>
      </w:r>
      <w:r w:rsidRPr="009A730B">
        <w:rPr>
          <w:rFonts w:ascii="Verdana" w:eastAsia="Calibri" w:hAnsi="Verdana" w:cs="Arial"/>
          <w:sz w:val="24"/>
          <w:szCs w:val="24"/>
        </w:rPr>
        <w:lastRenderedPageBreak/>
        <w:t xml:space="preserve">delays in diagnostics and pathology, pressures within cancer pathways, and ongoing issues within specific services such as stroke and mental health. </w:t>
      </w:r>
    </w:p>
    <w:p w14:paraId="3C658E5E" w14:textId="1BC76FF8" w:rsidR="647AC358" w:rsidRPr="009A730B" w:rsidRDefault="647AC358" w:rsidP="2BF8A567">
      <w:pPr>
        <w:spacing w:after="0" w:line="240" w:lineRule="auto"/>
        <w:jc w:val="both"/>
        <w:rPr>
          <w:rFonts w:ascii="Verdana" w:eastAsia="Calibri" w:hAnsi="Verdana" w:cs="Arial"/>
          <w:sz w:val="24"/>
          <w:szCs w:val="24"/>
        </w:rPr>
      </w:pPr>
      <w:r w:rsidRPr="009A730B">
        <w:rPr>
          <w:rFonts w:ascii="Verdana" w:eastAsia="Calibri" w:hAnsi="Verdana" w:cs="Arial"/>
          <w:sz w:val="24"/>
          <w:szCs w:val="24"/>
        </w:rPr>
        <w:t>In addition, the Committee considered developments in service improvements and governance arrangements, including the strengthening of reporting frameworks through the “Alert, Advise, Assure” model, enhanced oversight of key programmes (e.g. mental health transformation), and actions arising from external inspections and national reviews.</w:t>
      </w:r>
    </w:p>
    <w:p w14:paraId="718701FF" w14:textId="3A211C56" w:rsidR="647AC358" w:rsidRPr="009A730B" w:rsidRDefault="647AC358" w:rsidP="2BF8A567">
      <w:pPr>
        <w:spacing w:after="0" w:line="240" w:lineRule="auto"/>
        <w:jc w:val="both"/>
        <w:rPr>
          <w:rFonts w:ascii="Verdana" w:eastAsia="Calibri" w:hAnsi="Verdana" w:cs="Arial"/>
          <w:sz w:val="24"/>
          <w:szCs w:val="24"/>
        </w:rPr>
      </w:pPr>
      <w:r w:rsidRPr="009A730B">
        <w:rPr>
          <w:rFonts w:ascii="Verdana" w:eastAsia="Calibri" w:hAnsi="Verdana" w:cs="Arial"/>
          <w:sz w:val="24"/>
          <w:szCs w:val="24"/>
        </w:rPr>
        <w:t xml:space="preserve">In the latter part of the year, further focus was placed on strengthening governance and oversight of patient flow initiatives (such as the ‘Your Next Patient’ policy) and improving risk visibility and reporting across the organisation. </w:t>
      </w:r>
    </w:p>
    <w:p w14:paraId="7D7162F1" w14:textId="0466CE8A" w:rsidR="2BF8A567" w:rsidRPr="009A730B" w:rsidRDefault="2BF8A567" w:rsidP="2BF8A567">
      <w:pPr>
        <w:spacing w:after="0" w:line="240" w:lineRule="auto"/>
        <w:jc w:val="both"/>
        <w:rPr>
          <w:rFonts w:ascii="Verdana" w:hAnsi="Verdana" w:cs="Arial"/>
          <w:sz w:val="24"/>
          <w:szCs w:val="24"/>
        </w:rPr>
      </w:pPr>
    </w:p>
    <w:p w14:paraId="5B8C57FF" w14:textId="39D1A836" w:rsidR="0AEEC014" w:rsidRPr="007C425B" w:rsidRDefault="0AEEC014" w:rsidP="00C2615D">
      <w:pPr>
        <w:pStyle w:val="ListParagraph"/>
        <w:numPr>
          <w:ilvl w:val="2"/>
          <w:numId w:val="30"/>
        </w:numPr>
        <w:spacing w:after="0" w:line="240" w:lineRule="auto"/>
        <w:jc w:val="both"/>
        <w:rPr>
          <w:rFonts w:ascii="Verdana" w:hAnsi="Verdana" w:cs="Arial"/>
          <w:b/>
          <w:bCs/>
          <w:sz w:val="24"/>
          <w:szCs w:val="24"/>
        </w:rPr>
      </w:pPr>
      <w:r w:rsidRPr="007C425B">
        <w:rPr>
          <w:rFonts w:ascii="Verdana" w:hAnsi="Verdana" w:cs="Arial"/>
          <w:b/>
          <w:bCs/>
          <w:sz w:val="24"/>
          <w:szCs w:val="24"/>
        </w:rPr>
        <w:t>Perinatal Committee</w:t>
      </w:r>
    </w:p>
    <w:p w14:paraId="111A28F5" w14:textId="700EC14B" w:rsidR="0AEEC014" w:rsidRPr="009A730B" w:rsidRDefault="0AEEC014" w:rsidP="607FAFD0">
      <w:pPr>
        <w:spacing w:after="0" w:line="240" w:lineRule="auto"/>
        <w:jc w:val="both"/>
        <w:rPr>
          <w:rFonts w:ascii="Verdana" w:eastAsia="Calibri" w:hAnsi="Verdana" w:cs="Arial"/>
          <w:sz w:val="24"/>
          <w:szCs w:val="24"/>
        </w:rPr>
      </w:pPr>
      <w:r w:rsidRPr="009A730B">
        <w:rPr>
          <w:rFonts w:ascii="Verdana" w:eastAsia="Calibri" w:hAnsi="Verdana" w:cs="Arial"/>
          <w:sz w:val="24"/>
          <w:szCs w:val="24"/>
        </w:rPr>
        <w:t>The Quality and Safety Committee received updates on the establishment and ongoing development of the Perinatal Committee, which was introduced during the year to strengthen governance and oversight of maternity and neonatal services. The Committee was advised of a programme-based approach, including the appointment of a dedicated Programme Lead and the development of a single reporting route to provide clearer coordination and accountability for improvement actions. Key areas of focus included responding to findings from independent reviews, enhancing governance arrangements, and progressing improvements across neonatal, maternity, and perinatal services</w:t>
      </w:r>
      <w:r w:rsidR="64006117" w:rsidRPr="009A730B">
        <w:rPr>
          <w:rFonts w:ascii="Verdana" w:eastAsia="Calibri" w:hAnsi="Verdana" w:cs="Arial"/>
          <w:sz w:val="24"/>
          <w:szCs w:val="24"/>
        </w:rPr>
        <w:t>.</w:t>
      </w:r>
    </w:p>
    <w:p w14:paraId="421FD9FC" w14:textId="04C3E56D" w:rsidR="008B1CFE" w:rsidRPr="009A730B" w:rsidRDefault="008B1CFE" w:rsidP="4C39ED56">
      <w:pPr>
        <w:spacing w:after="0" w:line="240" w:lineRule="auto"/>
        <w:jc w:val="both"/>
        <w:rPr>
          <w:rFonts w:ascii="Verdana" w:hAnsi="Verdana" w:cs="Arial"/>
          <w:sz w:val="24"/>
          <w:szCs w:val="24"/>
        </w:rPr>
      </w:pPr>
    </w:p>
    <w:p w14:paraId="181D08AC" w14:textId="7E3F2E36" w:rsidR="008B1CFE" w:rsidRPr="009A730B" w:rsidRDefault="008B1CFE" w:rsidP="4C39ED56">
      <w:pPr>
        <w:spacing w:after="0" w:line="240" w:lineRule="auto"/>
        <w:jc w:val="both"/>
        <w:rPr>
          <w:rFonts w:ascii="Verdana" w:eastAsia="Calibri" w:hAnsi="Verdana" w:cs="Arial"/>
          <w:sz w:val="24"/>
          <w:szCs w:val="24"/>
        </w:rPr>
      </w:pPr>
    </w:p>
    <w:p w14:paraId="1BABA2A8" w14:textId="45C37AF8" w:rsidR="008B1CFE" w:rsidRPr="007C425B" w:rsidRDefault="7867ABA4" w:rsidP="00C2615D">
      <w:pPr>
        <w:pStyle w:val="ListParagraph"/>
        <w:numPr>
          <w:ilvl w:val="2"/>
          <w:numId w:val="30"/>
        </w:numPr>
        <w:spacing w:after="0" w:line="240" w:lineRule="auto"/>
        <w:jc w:val="both"/>
        <w:rPr>
          <w:rFonts w:ascii="Verdana" w:hAnsi="Verdana" w:cs="Arial"/>
          <w:b/>
          <w:bCs/>
        </w:rPr>
      </w:pPr>
      <w:r w:rsidRPr="007C425B">
        <w:rPr>
          <w:rFonts w:ascii="Verdana" w:hAnsi="Verdana" w:cs="Arial"/>
          <w:b/>
          <w:bCs/>
          <w:sz w:val="24"/>
          <w:szCs w:val="24"/>
        </w:rPr>
        <w:t>Quarterly Clinically Optimised Patients repor</w:t>
      </w:r>
      <w:r w:rsidR="5EC014F6" w:rsidRPr="007C425B">
        <w:rPr>
          <w:rFonts w:ascii="Verdana" w:hAnsi="Verdana" w:cs="Arial"/>
          <w:b/>
          <w:bCs/>
          <w:sz w:val="24"/>
          <w:szCs w:val="24"/>
        </w:rPr>
        <w:t>t</w:t>
      </w:r>
    </w:p>
    <w:p w14:paraId="2C979013" w14:textId="521F75E1" w:rsidR="1DA10591" w:rsidRPr="009A730B" w:rsidRDefault="1DA10591" w:rsidP="14C3F490">
      <w:pPr>
        <w:spacing w:after="0" w:line="240" w:lineRule="auto"/>
        <w:jc w:val="both"/>
        <w:rPr>
          <w:rFonts w:ascii="Verdana" w:eastAsia="Calibri" w:hAnsi="Verdana" w:cs="Arial"/>
          <w:sz w:val="24"/>
          <w:szCs w:val="24"/>
        </w:rPr>
      </w:pPr>
      <w:r w:rsidRPr="009A730B">
        <w:rPr>
          <w:rFonts w:ascii="Verdana" w:eastAsia="Calibri" w:hAnsi="Verdana" w:cs="Arial"/>
          <w:sz w:val="24"/>
          <w:szCs w:val="24"/>
        </w:rPr>
        <w:t>The Committee received regular updates through the Quarterly Clinically Optimised Patients (COP) reports, primarily focusing on the Health Board’s Pathways of Care Delays (POCD) Programme and progress in reducing delayed discharges. A key paper presented in November 2025 outlined sustained reductions in delays during 2025, with performance trending towards Welsh Government targets, supported by strengthened governance, enhanced multi-agency collaboration, and implementation of an integrated POCD action plan. The report highlighted operational improvements including weekly COP review and validation processes, development of the Integrated Discharge Hub, and targeted improvement programmes (e.g. mental health pathways), contributing to improved oversight and flow. Despite this progress, the Committee noted ongoing challenges affecting sustainability, including workforce resilience, capacity constraints across discharge pathways, and increasing patient acuity, with continued scrutiny required to maintain reductions and mitigate risks to patient flow and safety</w:t>
      </w:r>
    </w:p>
    <w:p w14:paraId="0E184724" w14:textId="7987EF6D" w:rsidR="14C3F490" w:rsidRDefault="14C3F490" w:rsidP="14C3F490">
      <w:pPr>
        <w:spacing w:after="0" w:line="240" w:lineRule="auto"/>
        <w:jc w:val="both"/>
        <w:rPr>
          <w:rFonts w:ascii="Verdana" w:eastAsia="Calibri" w:hAnsi="Verdana" w:cs="Arial"/>
          <w:sz w:val="24"/>
          <w:szCs w:val="24"/>
        </w:rPr>
      </w:pPr>
    </w:p>
    <w:p w14:paraId="302C2252" w14:textId="77777777" w:rsidR="009A291B" w:rsidRDefault="009A291B" w:rsidP="14C3F490">
      <w:pPr>
        <w:spacing w:after="0" w:line="240" w:lineRule="auto"/>
        <w:jc w:val="both"/>
        <w:rPr>
          <w:rFonts w:ascii="Verdana" w:eastAsia="Calibri" w:hAnsi="Verdana" w:cs="Arial"/>
          <w:sz w:val="24"/>
          <w:szCs w:val="24"/>
        </w:rPr>
      </w:pPr>
    </w:p>
    <w:p w14:paraId="7125BE98" w14:textId="77777777" w:rsidR="009A291B" w:rsidRDefault="009A291B" w:rsidP="14C3F490">
      <w:pPr>
        <w:spacing w:after="0" w:line="240" w:lineRule="auto"/>
        <w:jc w:val="both"/>
        <w:rPr>
          <w:rFonts w:ascii="Verdana" w:eastAsia="Calibri" w:hAnsi="Verdana" w:cs="Arial"/>
          <w:sz w:val="24"/>
          <w:szCs w:val="24"/>
        </w:rPr>
      </w:pPr>
    </w:p>
    <w:p w14:paraId="393BA043" w14:textId="77777777" w:rsidR="009A291B" w:rsidRPr="009A730B" w:rsidRDefault="009A291B" w:rsidP="14C3F490">
      <w:pPr>
        <w:spacing w:after="0" w:line="240" w:lineRule="auto"/>
        <w:jc w:val="both"/>
        <w:rPr>
          <w:rFonts w:ascii="Verdana" w:eastAsia="Calibri" w:hAnsi="Verdana" w:cs="Arial"/>
          <w:sz w:val="24"/>
          <w:szCs w:val="24"/>
        </w:rPr>
      </w:pPr>
    </w:p>
    <w:p w14:paraId="1EF9D7DE" w14:textId="4F7398F3" w:rsidR="008B1CFE" w:rsidRPr="007C425B" w:rsidRDefault="413F3AA7" w:rsidP="00C2615D">
      <w:pPr>
        <w:pStyle w:val="ListParagraph"/>
        <w:numPr>
          <w:ilvl w:val="2"/>
          <w:numId w:val="30"/>
        </w:numPr>
        <w:spacing w:after="0" w:line="240" w:lineRule="auto"/>
        <w:jc w:val="both"/>
        <w:rPr>
          <w:rFonts w:ascii="Verdana" w:hAnsi="Verdana" w:cs="Arial"/>
          <w:sz w:val="24"/>
          <w:szCs w:val="24"/>
        </w:rPr>
      </w:pPr>
      <w:r w:rsidRPr="007C425B">
        <w:rPr>
          <w:rFonts w:ascii="Verdana" w:hAnsi="Verdana" w:cs="Arial"/>
          <w:b/>
          <w:bCs/>
          <w:sz w:val="24"/>
          <w:szCs w:val="24"/>
        </w:rPr>
        <w:lastRenderedPageBreak/>
        <w:t>Controlled Drugs Governance and Assurance Progress Report</w:t>
      </w:r>
    </w:p>
    <w:p w14:paraId="403D6F30" w14:textId="091F5962" w:rsidR="008B1CFE" w:rsidRPr="009A730B" w:rsidRDefault="52723B99" w:rsidP="1CE8256A">
      <w:pPr>
        <w:spacing w:after="0" w:line="240" w:lineRule="auto"/>
        <w:jc w:val="both"/>
        <w:rPr>
          <w:rFonts w:ascii="Verdana" w:eastAsia="Calibri" w:hAnsi="Verdana" w:cs="Arial"/>
          <w:sz w:val="24"/>
          <w:szCs w:val="24"/>
        </w:rPr>
      </w:pPr>
      <w:r w:rsidRPr="009A730B">
        <w:rPr>
          <w:rFonts w:ascii="Verdana" w:eastAsia="Calibri" w:hAnsi="Verdana" w:cs="Arial"/>
          <w:sz w:val="24"/>
          <w:szCs w:val="24"/>
        </w:rPr>
        <w:t>Controlled Drugs Governance and Assurance Progress Reports gave oversight of arrangements to ensure the safe management, use, and monitoring of controlled drugs across the organisation. The Committee monitored compliance with relevant legislation and governance standards, including prescribing practices, storage, and audit processes, and noted areas requiring continued focus to strengthen assurance. Ongoing work to address risks, improve monitoring processes, and enhance reporting mechanisms was reviewed, with the Committee emphasising the importance of robust governance, clear accountability, and continuous improvement to mitigate risks and ensure patient safety.</w:t>
      </w:r>
    </w:p>
    <w:p w14:paraId="4A29380F" w14:textId="7A1FC43C" w:rsidR="008B1CFE" w:rsidRPr="009A730B" w:rsidRDefault="008B1CFE" w:rsidP="1CE8256A">
      <w:pPr>
        <w:spacing w:after="0" w:line="240" w:lineRule="auto"/>
        <w:jc w:val="both"/>
        <w:rPr>
          <w:rFonts w:ascii="Verdana" w:hAnsi="Verdana" w:cs="Arial"/>
          <w:sz w:val="24"/>
          <w:szCs w:val="24"/>
        </w:rPr>
      </w:pPr>
    </w:p>
    <w:p w14:paraId="7C2BAB7A" w14:textId="66A1C23B" w:rsidR="008B1CFE" w:rsidRPr="007C425B" w:rsidRDefault="62B2E018" w:rsidP="00C2615D">
      <w:pPr>
        <w:pStyle w:val="ListParagraph"/>
        <w:numPr>
          <w:ilvl w:val="2"/>
          <w:numId w:val="30"/>
        </w:numPr>
        <w:spacing w:after="0" w:line="240" w:lineRule="auto"/>
        <w:jc w:val="both"/>
        <w:rPr>
          <w:rFonts w:ascii="Verdana" w:hAnsi="Verdana" w:cs="Arial"/>
          <w:b/>
          <w:bCs/>
          <w:sz w:val="24"/>
          <w:szCs w:val="24"/>
        </w:rPr>
      </w:pPr>
      <w:r w:rsidRPr="007C425B">
        <w:rPr>
          <w:rFonts w:ascii="Verdana" w:hAnsi="Verdana" w:cs="Arial"/>
          <w:b/>
          <w:bCs/>
          <w:sz w:val="24"/>
          <w:szCs w:val="24"/>
        </w:rPr>
        <w:t xml:space="preserve">Stroke Performance </w:t>
      </w:r>
    </w:p>
    <w:bookmarkEnd w:id="0"/>
    <w:p w14:paraId="20C66403" w14:textId="634C0DE4" w:rsidR="002F4AB0" w:rsidRPr="009A730B" w:rsidRDefault="62B2E018" w:rsidP="14C3F490">
      <w:pPr>
        <w:spacing w:after="0" w:line="240" w:lineRule="auto"/>
        <w:jc w:val="both"/>
        <w:rPr>
          <w:rFonts w:ascii="Verdana" w:eastAsia="Calibri" w:hAnsi="Verdana" w:cs="Arial"/>
          <w:sz w:val="24"/>
          <w:szCs w:val="24"/>
        </w:rPr>
      </w:pPr>
      <w:r w:rsidRPr="009A730B">
        <w:rPr>
          <w:rFonts w:ascii="Verdana" w:eastAsia="Calibri" w:hAnsi="Verdana" w:cs="Arial"/>
          <w:sz w:val="24"/>
          <w:szCs w:val="24"/>
        </w:rPr>
        <w:t>Stroke Performance reports highlighted ongoing challenges in meeting key performance standards, particularly compliance with access targets and timely admission to specialist stroke services. The Committee noted system-wide pressures, including workforce constraints and delays in securing full funding for service developments, alongside challenges in achieving performance against Key Performance Indicators. While areas of positive performance were reported, including high compliance with aspects of clinical care such as thrombolysis and assessments, the Committee emphasised the need for sustained focus on improving patient flow, strengthening capacity, and delivering the stroke improvement plan to achieve consistent and timely care.</w:t>
      </w:r>
    </w:p>
    <w:p w14:paraId="2644B544" w14:textId="54463B82" w:rsidR="0BB90D2F" w:rsidRPr="009A730B" w:rsidRDefault="0BB90D2F" w:rsidP="14C3F490">
      <w:pPr>
        <w:spacing w:after="0" w:line="240" w:lineRule="auto"/>
        <w:jc w:val="both"/>
        <w:rPr>
          <w:rFonts w:ascii="Verdana" w:eastAsia="Calibri" w:hAnsi="Verdana" w:cs="Arial"/>
          <w:sz w:val="24"/>
          <w:szCs w:val="24"/>
        </w:rPr>
      </w:pPr>
    </w:p>
    <w:p w14:paraId="1D372742" w14:textId="62AE451C" w:rsidR="0BB90D2F" w:rsidRPr="007C425B" w:rsidRDefault="18353AEE" w:rsidP="00C2615D">
      <w:pPr>
        <w:pStyle w:val="ListParagraph"/>
        <w:numPr>
          <w:ilvl w:val="2"/>
          <w:numId w:val="30"/>
        </w:numPr>
        <w:spacing w:after="0" w:line="240" w:lineRule="auto"/>
        <w:jc w:val="both"/>
        <w:rPr>
          <w:rFonts w:ascii="Verdana" w:hAnsi="Verdana" w:cs="Arial"/>
          <w:b/>
          <w:bCs/>
          <w:sz w:val="24"/>
          <w:szCs w:val="24"/>
        </w:rPr>
      </w:pPr>
      <w:r w:rsidRPr="007C425B">
        <w:rPr>
          <w:rFonts w:ascii="Verdana" w:hAnsi="Verdana" w:cs="Arial"/>
          <w:b/>
          <w:bCs/>
          <w:sz w:val="24"/>
          <w:szCs w:val="24"/>
        </w:rPr>
        <w:t>Deep Dive report on the Nutrition and Hydration Quality Priority</w:t>
      </w:r>
    </w:p>
    <w:p w14:paraId="70C759BB" w14:textId="07C83802" w:rsidR="0BB90D2F" w:rsidRPr="009A730B" w:rsidRDefault="4B829076" w:rsidP="14C3F490">
      <w:pPr>
        <w:spacing w:after="0" w:line="240" w:lineRule="auto"/>
        <w:jc w:val="both"/>
        <w:rPr>
          <w:rFonts w:ascii="Verdana" w:eastAsia="Calibri" w:hAnsi="Verdana" w:cs="Arial"/>
          <w:sz w:val="24"/>
          <w:szCs w:val="24"/>
          <w:lang w:val="en-US"/>
        </w:rPr>
      </w:pPr>
      <w:r w:rsidRPr="009A730B">
        <w:rPr>
          <w:rFonts w:ascii="Verdana" w:eastAsia="Calibri" w:hAnsi="Verdana" w:cs="Arial"/>
          <w:sz w:val="24"/>
          <w:szCs w:val="24"/>
          <w:lang w:val="en-US"/>
        </w:rPr>
        <w:t>The Committee received a deep dive on the Nutrition and Hydration Quality Priority, recognising its significant impact on patient outcomes, including length of stay and recovery.</w:t>
      </w:r>
    </w:p>
    <w:p w14:paraId="56E6A68E" w14:textId="794A50F9" w:rsidR="0BB90D2F" w:rsidRPr="009A730B" w:rsidRDefault="4B829076" w:rsidP="14C3F490">
      <w:pPr>
        <w:spacing w:after="0" w:line="240" w:lineRule="auto"/>
        <w:jc w:val="both"/>
        <w:rPr>
          <w:rFonts w:ascii="Verdana" w:eastAsia="Calibri" w:hAnsi="Verdana" w:cs="Arial"/>
          <w:sz w:val="24"/>
          <w:szCs w:val="24"/>
          <w:lang w:val="en-US"/>
        </w:rPr>
      </w:pPr>
      <w:r w:rsidRPr="009A730B">
        <w:rPr>
          <w:rFonts w:ascii="Verdana" w:eastAsia="Calibri" w:hAnsi="Verdana" w:cs="Arial"/>
          <w:sz w:val="24"/>
          <w:szCs w:val="24"/>
          <w:lang w:val="en-US"/>
        </w:rPr>
        <w:t>Progress was reported against improvement plans, including strengthened governance arrangements and the embedding of quality improvement initiatives into routine practice. Key challenges included organisational pressures affecting progress, alongside ongoing issues relating to accurate nutritional assessment, digital system limitations, and reducing risks associated with dehydration, such as urinary tract infections (UTIs) and acute kidney injury (AKI). The Committee took assurance from the progress made, while noting the need for continued focus on system-wide improvements and staff awareness.</w:t>
      </w:r>
    </w:p>
    <w:p w14:paraId="32ADFB15" w14:textId="69D3248C" w:rsidR="002F4AB0" w:rsidRPr="009A730B" w:rsidRDefault="002F4AB0" w:rsidP="4C39ED56">
      <w:pPr>
        <w:spacing w:after="0" w:line="240" w:lineRule="auto"/>
        <w:jc w:val="both"/>
        <w:rPr>
          <w:rFonts w:ascii="Verdana" w:eastAsia="Calibri" w:hAnsi="Verdana" w:cs="Arial"/>
          <w:sz w:val="24"/>
          <w:szCs w:val="24"/>
          <w:lang w:val="en-US" w:eastAsia="en-GB"/>
        </w:rPr>
      </w:pPr>
    </w:p>
    <w:p w14:paraId="038D9F70" w14:textId="57C3F04A" w:rsidR="002F4AB0" w:rsidRPr="000A1158" w:rsidRDefault="5BD2C403" w:rsidP="00C2615D">
      <w:pPr>
        <w:pStyle w:val="ListParagraph"/>
        <w:numPr>
          <w:ilvl w:val="2"/>
          <w:numId w:val="30"/>
        </w:numPr>
        <w:spacing w:after="0" w:line="240" w:lineRule="auto"/>
        <w:jc w:val="both"/>
        <w:rPr>
          <w:rFonts w:ascii="Verdana" w:hAnsi="Verdana" w:cs="Arial"/>
          <w:b/>
          <w:bCs/>
          <w:lang w:val="en-US" w:eastAsia="en-GB"/>
        </w:rPr>
      </w:pPr>
      <w:r w:rsidRPr="000A1158">
        <w:rPr>
          <w:rFonts w:ascii="Verdana" w:hAnsi="Verdana" w:cs="Arial"/>
          <w:b/>
          <w:bCs/>
          <w:sz w:val="24"/>
          <w:szCs w:val="24"/>
          <w:lang w:val="en-US" w:eastAsia="en-GB"/>
        </w:rPr>
        <w:t>Patient Experience Report</w:t>
      </w:r>
    </w:p>
    <w:p w14:paraId="28E33CAA" w14:textId="212EC9F8" w:rsidR="204F3206" w:rsidRPr="009A730B" w:rsidRDefault="204F3206" w:rsidP="1CE8256A">
      <w:pPr>
        <w:spacing w:after="0" w:line="240" w:lineRule="auto"/>
        <w:jc w:val="both"/>
        <w:rPr>
          <w:rFonts w:ascii="Verdana" w:eastAsia="Calibri" w:hAnsi="Verdana" w:cs="Arial"/>
          <w:sz w:val="24"/>
          <w:szCs w:val="24"/>
          <w:lang w:val="en-US"/>
        </w:rPr>
      </w:pPr>
      <w:r w:rsidRPr="009A730B">
        <w:rPr>
          <w:rFonts w:ascii="Verdana" w:eastAsia="Calibri" w:hAnsi="Verdana" w:cs="Arial"/>
          <w:sz w:val="24"/>
          <w:szCs w:val="24"/>
          <w:lang w:val="en-US"/>
        </w:rPr>
        <w:t xml:space="preserve">Regular Patient Experience reports provided oversight of feedback, concerns, and complaints across the organisation. The Committee noted consistently strong patient satisfaction levels but emphasised the importance of strengthening the analysis of themes, learning, and the demonstrable impact of actions taken in response to feedback. Ongoing </w:t>
      </w:r>
      <w:r w:rsidRPr="009A730B">
        <w:rPr>
          <w:rFonts w:ascii="Verdana" w:eastAsia="Calibri" w:hAnsi="Verdana" w:cs="Arial"/>
          <w:sz w:val="24"/>
          <w:szCs w:val="24"/>
          <w:lang w:val="en-US"/>
        </w:rPr>
        <w:lastRenderedPageBreak/>
        <w:t>work to improve complaints handling processes, including early resolution approaches and alignment with national guidance, was monitored, alongside the use of multiple feedback mechanisms to capture patient experience. The Committee maintained a focus on ensuring that patient voice and learning were effectively embedded into service improvement and governance arrangements to support high-quality care.</w:t>
      </w:r>
    </w:p>
    <w:p w14:paraId="28904714" w14:textId="794841F6" w:rsidR="002F4AB0" w:rsidRPr="009A730B" w:rsidRDefault="002F4AB0" w:rsidP="4C39ED56">
      <w:pPr>
        <w:spacing w:after="0" w:line="240" w:lineRule="auto"/>
        <w:jc w:val="both"/>
        <w:rPr>
          <w:rFonts w:ascii="Verdana" w:eastAsia="Calibri" w:hAnsi="Verdana" w:cs="Arial"/>
          <w:sz w:val="24"/>
          <w:szCs w:val="24"/>
          <w:lang w:val="en-US" w:eastAsia="en-GB"/>
        </w:rPr>
      </w:pPr>
    </w:p>
    <w:p w14:paraId="05AB47BF" w14:textId="091FDCAC" w:rsidR="002F4AB0" w:rsidRPr="007C425B" w:rsidRDefault="007C425B" w:rsidP="007C425B">
      <w:pPr>
        <w:spacing w:after="0" w:line="240" w:lineRule="auto"/>
        <w:jc w:val="both"/>
        <w:rPr>
          <w:rFonts w:ascii="Verdana" w:hAnsi="Verdana" w:cs="Arial"/>
          <w:b/>
          <w:bCs/>
          <w:lang w:val="en-US" w:eastAsia="en-GB"/>
        </w:rPr>
      </w:pPr>
      <w:r>
        <w:rPr>
          <w:rFonts w:ascii="Verdana" w:hAnsi="Verdana" w:cs="Arial"/>
          <w:b/>
          <w:bCs/>
          <w:sz w:val="24"/>
          <w:szCs w:val="24"/>
          <w:lang w:val="en-US" w:eastAsia="en-GB"/>
        </w:rPr>
        <w:t>4.1.</w:t>
      </w:r>
      <w:r w:rsidR="000A1158">
        <w:rPr>
          <w:rFonts w:ascii="Verdana" w:hAnsi="Verdana" w:cs="Arial"/>
          <w:b/>
          <w:bCs/>
          <w:sz w:val="24"/>
          <w:szCs w:val="24"/>
          <w:lang w:val="en-US" w:eastAsia="en-GB"/>
        </w:rPr>
        <w:t xml:space="preserve">10 </w:t>
      </w:r>
      <w:r w:rsidR="34EF6456" w:rsidRPr="007C425B">
        <w:rPr>
          <w:rFonts w:ascii="Verdana" w:hAnsi="Verdana" w:cs="Arial"/>
          <w:b/>
          <w:bCs/>
          <w:sz w:val="24"/>
          <w:szCs w:val="24"/>
          <w:lang w:val="en-US" w:eastAsia="en-GB"/>
        </w:rPr>
        <w:t>Tackling Diabetes Together</w:t>
      </w:r>
    </w:p>
    <w:p w14:paraId="649A7E70" w14:textId="4799D48C" w:rsidR="002F4AB0" w:rsidRPr="009A730B" w:rsidRDefault="5FDE88DD" w:rsidP="003C3DC7">
      <w:pPr>
        <w:snapToGrid w:val="0"/>
        <w:spacing w:after="0" w:line="240" w:lineRule="auto"/>
        <w:jc w:val="both"/>
        <w:rPr>
          <w:rFonts w:ascii="Verdana" w:eastAsia="Calibri" w:hAnsi="Verdana" w:cs="Arial"/>
          <w:sz w:val="24"/>
          <w:szCs w:val="24"/>
          <w:lang w:val="en-US"/>
        </w:rPr>
      </w:pPr>
      <w:r w:rsidRPr="009A730B">
        <w:rPr>
          <w:rFonts w:ascii="Verdana" w:eastAsia="Calibri" w:hAnsi="Verdana" w:cs="Arial"/>
          <w:sz w:val="24"/>
          <w:szCs w:val="24"/>
          <w:lang w:val="en-US"/>
        </w:rPr>
        <w:t xml:space="preserve">The Committee also considered progress in relation to the Tackling Diabetes Together programme, which set out the Health Board’s approach to improving outcomes for people living with diabetes. The update highlighted a continued rise in diabetes prevalence locally, alongside the implementation of improvement plans aligned to the Diabetes eight Care Standards and wider Public Health Wales priorities. Oversight arrangements, including the </w:t>
      </w:r>
      <w:r w:rsidR="00344D29" w:rsidRPr="009A730B">
        <w:rPr>
          <w:rFonts w:ascii="Verdana" w:eastAsia="Calibri" w:hAnsi="Verdana" w:cs="Arial"/>
          <w:sz w:val="24"/>
          <w:szCs w:val="24"/>
          <w:lang w:val="en-US"/>
        </w:rPr>
        <w:t>re</w:t>
      </w:r>
      <w:r w:rsidR="00344D29" w:rsidRPr="009A730B">
        <w:t>-</w:t>
      </w:r>
      <w:r w:rsidR="00344D29" w:rsidRPr="009A730B">
        <w:rPr>
          <w:rFonts w:ascii="Verdana" w:eastAsia="Calibri" w:hAnsi="Verdana" w:cs="Arial"/>
          <w:sz w:val="24"/>
          <w:szCs w:val="24"/>
          <w:lang w:val="en-US"/>
        </w:rPr>
        <w:t>establishment</w:t>
      </w:r>
      <w:r w:rsidRPr="009A730B">
        <w:rPr>
          <w:rFonts w:ascii="Verdana" w:eastAsia="Calibri" w:hAnsi="Verdana" w:cs="Arial"/>
          <w:sz w:val="24"/>
          <w:szCs w:val="24"/>
          <w:lang w:val="en-US"/>
        </w:rPr>
        <w:t xml:space="preserve"> of the Diabetes Planning and Development Group, were noted as key to supporting delivery and monitoring progress. The Committee acknowledged the position and reflected the importance of sustained focus on prevention, early intervention and pathway improvement to address future demand and improve patient outcomes.</w:t>
      </w:r>
    </w:p>
    <w:p w14:paraId="164DD037" w14:textId="07F29822" w:rsidR="002F4AB0" w:rsidRPr="009A730B" w:rsidRDefault="002F4AB0" w:rsidP="14C3F490">
      <w:pPr>
        <w:snapToGrid w:val="0"/>
        <w:spacing w:after="0" w:line="240" w:lineRule="auto"/>
        <w:jc w:val="both"/>
        <w:rPr>
          <w:rFonts w:ascii="Verdana" w:eastAsia="Calibri" w:hAnsi="Verdana" w:cs="Arial"/>
          <w:b/>
          <w:bCs/>
          <w:sz w:val="24"/>
          <w:szCs w:val="24"/>
          <w:lang w:val="en-US" w:eastAsia="en-GB"/>
        </w:rPr>
      </w:pPr>
    </w:p>
    <w:p w14:paraId="66956009" w14:textId="4AA35B59" w:rsidR="002F4AB0" w:rsidRPr="000A1158" w:rsidRDefault="07C62DBC" w:rsidP="00C2615D">
      <w:pPr>
        <w:pStyle w:val="ListParagraph"/>
        <w:numPr>
          <w:ilvl w:val="2"/>
          <w:numId w:val="31"/>
        </w:numPr>
        <w:snapToGrid w:val="0"/>
        <w:spacing w:after="0" w:line="240" w:lineRule="auto"/>
        <w:jc w:val="both"/>
        <w:rPr>
          <w:rFonts w:ascii="Verdana" w:hAnsi="Verdana" w:cs="Arial"/>
          <w:b/>
          <w:bCs/>
          <w:lang w:val="en-US" w:eastAsia="en-GB"/>
        </w:rPr>
      </w:pPr>
      <w:r w:rsidRPr="000A1158">
        <w:rPr>
          <w:rFonts w:ascii="Verdana" w:hAnsi="Verdana" w:cs="Arial"/>
          <w:b/>
          <w:bCs/>
          <w:sz w:val="24"/>
          <w:szCs w:val="24"/>
          <w:lang w:val="en-US" w:eastAsia="en-GB"/>
        </w:rPr>
        <w:t>Right Care, Right Person</w:t>
      </w:r>
    </w:p>
    <w:p w14:paraId="51004A49" w14:textId="6AA2497F" w:rsidR="4C39ED56" w:rsidRPr="009A730B" w:rsidRDefault="0F6EFEEA" w:rsidP="14C3F490">
      <w:pPr>
        <w:spacing w:before="60" w:after="0" w:line="240" w:lineRule="auto"/>
        <w:jc w:val="both"/>
        <w:rPr>
          <w:rFonts w:ascii="Verdana" w:eastAsia="Calibri" w:hAnsi="Verdana" w:cs="Arial"/>
          <w:sz w:val="24"/>
          <w:szCs w:val="24"/>
          <w:lang w:val="en-US"/>
        </w:rPr>
      </w:pPr>
      <w:r w:rsidRPr="009A730B">
        <w:rPr>
          <w:rFonts w:ascii="Verdana" w:eastAsia="Calibri" w:hAnsi="Verdana" w:cs="Arial"/>
          <w:sz w:val="24"/>
          <w:szCs w:val="24"/>
          <w:lang w:val="en-US"/>
        </w:rPr>
        <w:t>The Committee received updates on the implementation of the Right Care, Right Person (RCRP) approach, including a detailed paper presented in November 2025. The report outlined the governance arrangements in place to monitor incidents and ensure oversight, alongside engagement with South Wales Police in developing a Mental Health Policy. The Committee noted that while the principles of the initiative were supported, concerns remained regarding the pace of implementation and the associated quality and safety risks, several of which required ongoing mitigation and monitoring at both operational and corporate levels. It was highlighted that the phased implementation had been completed, with a need for continued scrutiny through established escalation mechanisms to ensure risks are effectively managed and improvements embedded.</w:t>
      </w:r>
    </w:p>
    <w:p w14:paraId="442A97D3" w14:textId="5648494F" w:rsidR="4C39ED56" w:rsidRPr="009A730B" w:rsidRDefault="4C39ED56" w:rsidP="14C3F490">
      <w:pPr>
        <w:spacing w:before="60" w:after="0" w:line="240" w:lineRule="auto"/>
        <w:jc w:val="both"/>
        <w:rPr>
          <w:rFonts w:ascii="Verdana" w:eastAsia="Calibri" w:hAnsi="Verdana" w:cs="Arial"/>
          <w:sz w:val="24"/>
          <w:szCs w:val="24"/>
          <w:lang w:val="en-US" w:eastAsia="en-GB"/>
        </w:rPr>
      </w:pPr>
    </w:p>
    <w:p w14:paraId="765ECA85" w14:textId="25D26072" w:rsidR="4C39ED56" w:rsidRPr="000A1158" w:rsidRDefault="3CAAA58C" w:rsidP="00C2615D">
      <w:pPr>
        <w:pStyle w:val="ListParagraph"/>
        <w:numPr>
          <w:ilvl w:val="2"/>
          <w:numId w:val="31"/>
        </w:numPr>
        <w:spacing w:before="60" w:after="0" w:line="240" w:lineRule="auto"/>
        <w:jc w:val="both"/>
        <w:rPr>
          <w:rFonts w:ascii="Verdana" w:hAnsi="Verdana" w:cs="Arial"/>
          <w:b/>
          <w:bCs/>
          <w:sz w:val="24"/>
          <w:szCs w:val="24"/>
          <w:lang w:val="en-US" w:eastAsia="en-GB"/>
        </w:rPr>
      </w:pPr>
      <w:r w:rsidRPr="000A1158">
        <w:rPr>
          <w:rFonts w:ascii="Verdana" w:hAnsi="Verdana" w:cs="Arial"/>
          <w:b/>
          <w:bCs/>
          <w:sz w:val="24"/>
          <w:szCs w:val="24"/>
          <w:lang w:val="en-US" w:eastAsia="en-GB"/>
        </w:rPr>
        <w:t>Governance Structure Covering the Oversight and Risk Assessment Process for Your Next Patient, Bed Closures and Clinically Optimised Patients Reduction Plan</w:t>
      </w:r>
    </w:p>
    <w:p w14:paraId="448BFF42" w14:textId="3356C41F" w:rsidR="4C39ED56" w:rsidRPr="009A730B" w:rsidRDefault="2B56D12A" w:rsidP="621F23EC">
      <w:pPr>
        <w:spacing w:before="60" w:after="0" w:line="240" w:lineRule="auto"/>
        <w:jc w:val="both"/>
        <w:rPr>
          <w:rFonts w:ascii="Verdana" w:eastAsia="Calibri" w:hAnsi="Verdana" w:cs="Arial"/>
          <w:sz w:val="24"/>
          <w:szCs w:val="24"/>
          <w:lang w:val="en-US"/>
        </w:rPr>
      </w:pPr>
      <w:r w:rsidRPr="621F23EC">
        <w:rPr>
          <w:rFonts w:ascii="Verdana" w:eastAsia="Calibri" w:hAnsi="Verdana" w:cs="Arial"/>
          <w:sz w:val="24"/>
          <w:szCs w:val="24"/>
          <w:lang w:val="en-US"/>
        </w:rPr>
        <w:t xml:space="preserve">The Committee received a report on the governance structure covering oversight and risk assessment processes for the ‘Your Next Patient’ model, bed closures, and the Clinically Optimised Patients (COP) reduction plan. This work sought to strengthen governance arrangements to ensure risks associated with patient flow, bed utilisation and discharge pathways were appropriately assessed and managed, with oversight provided through established committee structures and operational leadership. The Committee noted the importance of robust and consistent application of </w:t>
      </w:r>
      <w:r w:rsidRPr="621F23EC">
        <w:rPr>
          <w:rFonts w:ascii="Verdana" w:eastAsia="Calibri" w:hAnsi="Verdana" w:cs="Arial"/>
          <w:sz w:val="24"/>
          <w:szCs w:val="24"/>
          <w:lang w:val="en-US"/>
        </w:rPr>
        <w:lastRenderedPageBreak/>
        <w:t xml:space="preserve">risk assessment processes, particularly in relation to the use of ‘Your Next Patient’ spaces, with ongoing work required to ensure appropriate use, compliance and patient safety. In addition, the Committee highlighted ongoing risks within the COP reduction plan and emphasised the need for strengthened assurance mechanisms and clearer evidence that governance controls and safeguards were being applied consistently to support safe patient flow and service delivery. </w:t>
      </w:r>
      <w:r w:rsidR="4BF6AA9B" w:rsidRPr="621F23EC">
        <w:rPr>
          <w:rFonts w:ascii="Verdana" w:eastAsia="Calibri" w:hAnsi="Verdana" w:cs="Arial"/>
          <w:sz w:val="24"/>
          <w:szCs w:val="24"/>
          <w:lang w:val="en-US"/>
        </w:rPr>
        <w:t>Bi-monthly progress is presented to the Committee.</w:t>
      </w:r>
    </w:p>
    <w:p w14:paraId="5C7E9E9D" w14:textId="764235E2" w:rsidR="4C39ED56" w:rsidRPr="009A730B" w:rsidRDefault="4C39ED56" w:rsidP="14C3F490">
      <w:pPr>
        <w:spacing w:before="60" w:after="0" w:line="240" w:lineRule="auto"/>
        <w:jc w:val="both"/>
        <w:rPr>
          <w:rFonts w:ascii="Verdana" w:eastAsia="Calibri" w:hAnsi="Verdana" w:cs="Arial"/>
          <w:sz w:val="24"/>
          <w:szCs w:val="24"/>
          <w:lang w:val="en-US" w:eastAsia="en-GB"/>
        </w:rPr>
      </w:pPr>
    </w:p>
    <w:p w14:paraId="2AA143A6" w14:textId="39D459F0" w:rsidR="4C39ED56" w:rsidRPr="000A1158" w:rsidRDefault="56A8D4CC" w:rsidP="00C2615D">
      <w:pPr>
        <w:pStyle w:val="ListParagraph"/>
        <w:numPr>
          <w:ilvl w:val="2"/>
          <w:numId w:val="31"/>
        </w:numPr>
        <w:spacing w:before="60" w:after="0" w:line="240" w:lineRule="auto"/>
        <w:jc w:val="both"/>
        <w:rPr>
          <w:rFonts w:ascii="Verdana" w:eastAsia="Verdana" w:hAnsi="Verdana" w:cs="Verdana"/>
          <w:b/>
          <w:bCs/>
          <w:color w:val="000000" w:themeColor="text1"/>
          <w:sz w:val="24"/>
          <w:szCs w:val="24"/>
        </w:rPr>
      </w:pPr>
      <w:r w:rsidRPr="000A1158">
        <w:rPr>
          <w:rFonts w:ascii="Verdana" w:eastAsia="Verdana" w:hAnsi="Verdana" w:cs="Verdana"/>
          <w:b/>
          <w:bCs/>
          <w:color w:val="000000" w:themeColor="text1"/>
          <w:sz w:val="24"/>
          <w:szCs w:val="24"/>
        </w:rPr>
        <w:t>Organ Donation Committee 6 Month report</w:t>
      </w:r>
    </w:p>
    <w:p w14:paraId="3FF200CE" w14:textId="4535E5D7" w:rsidR="4C39ED56" w:rsidRPr="009A730B" w:rsidRDefault="56A8D4CC" w:rsidP="14C3F490">
      <w:pPr>
        <w:spacing w:before="60" w:after="0" w:line="240" w:lineRule="auto"/>
        <w:jc w:val="both"/>
        <w:rPr>
          <w:rFonts w:ascii="Verdana" w:eastAsia="Verdana" w:hAnsi="Verdana" w:cs="Verdana"/>
          <w:sz w:val="24"/>
          <w:szCs w:val="24"/>
        </w:rPr>
      </w:pPr>
      <w:r w:rsidRPr="009A730B">
        <w:rPr>
          <w:rFonts w:ascii="Verdana" w:eastAsia="Verdana" w:hAnsi="Verdana" w:cs="Verdana"/>
          <w:sz w:val="24"/>
          <w:szCs w:val="24"/>
        </w:rPr>
        <w:t xml:space="preserve">In February 2026 the Committee received the </w:t>
      </w:r>
      <w:r w:rsidRPr="009A730B">
        <w:rPr>
          <w:rFonts w:ascii="Verdana" w:eastAsia="Verdana" w:hAnsi="Verdana" w:cs="Verdana"/>
          <w:color w:val="000000" w:themeColor="text1"/>
          <w:sz w:val="24"/>
          <w:szCs w:val="24"/>
        </w:rPr>
        <w:t>Organ Donation Committee 6 Month report</w:t>
      </w:r>
      <w:r w:rsidRPr="009A730B">
        <w:rPr>
          <w:rFonts w:ascii="Verdana" w:eastAsia="Verdana" w:hAnsi="Verdana" w:cs="Verdana"/>
          <w:sz w:val="24"/>
          <w:szCs w:val="24"/>
        </w:rPr>
        <w:t>, which provided an update on organ donation activity across the Health Board, including the work of the Organ Donation Committee. The report outlined ongoing activity to support awareness and education, including planning for initiatives such as Organ Donation Week, and confirmed the Committee’s role as a sub-committee reporting bi-annually to the Quality and Safety Committee. Members acknowledged the update on activity for the first six months of 2025–2026 and endorsed the revised Terms of Reference for the Organ Donation Committee, supporting continued oversight and governance of organ donation practices within the organisation.</w:t>
      </w:r>
    </w:p>
    <w:p w14:paraId="1082AD19" w14:textId="412E14F7" w:rsidR="4C39ED56" w:rsidRPr="009A730B" w:rsidRDefault="4C39ED56" w:rsidP="14C3F490">
      <w:pPr>
        <w:spacing w:before="60" w:after="0" w:line="240" w:lineRule="auto"/>
        <w:jc w:val="both"/>
        <w:rPr>
          <w:rFonts w:ascii="Verdana" w:eastAsia="Verdana" w:hAnsi="Verdana" w:cs="Verdana"/>
          <w:sz w:val="24"/>
          <w:szCs w:val="24"/>
        </w:rPr>
      </w:pPr>
    </w:p>
    <w:p w14:paraId="4A75594F" w14:textId="3ABE57B9" w:rsidR="4C39ED56" w:rsidRPr="007C425B" w:rsidRDefault="56A8D4CC" w:rsidP="00C2615D">
      <w:pPr>
        <w:pStyle w:val="ListParagraph"/>
        <w:numPr>
          <w:ilvl w:val="2"/>
          <w:numId w:val="31"/>
        </w:numPr>
        <w:spacing w:before="60" w:after="0" w:line="240" w:lineRule="auto"/>
        <w:jc w:val="both"/>
        <w:rPr>
          <w:rFonts w:ascii="Verdana" w:eastAsia="Verdana" w:hAnsi="Verdana" w:cs="Verdana"/>
          <w:b/>
          <w:bCs/>
          <w:sz w:val="24"/>
          <w:szCs w:val="24"/>
        </w:rPr>
      </w:pPr>
      <w:r w:rsidRPr="007C425B">
        <w:rPr>
          <w:rFonts w:ascii="Verdana" w:eastAsia="Verdana" w:hAnsi="Verdana" w:cs="Verdana"/>
          <w:b/>
          <w:bCs/>
          <w:sz w:val="24"/>
          <w:szCs w:val="24"/>
        </w:rPr>
        <w:t xml:space="preserve">A review of the ‘Your Next Patient’ Policy in Practice </w:t>
      </w:r>
    </w:p>
    <w:p w14:paraId="2A725F7A" w14:textId="27E2F9A5" w:rsidR="4C39ED56" w:rsidRPr="009A730B" w:rsidRDefault="4CF39CCC" w:rsidP="14C3F490">
      <w:pPr>
        <w:spacing w:before="60" w:after="0" w:line="240" w:lineRule="auto"/>
        <w:jc w:val="both"/>
        <w:rPr>
          <w:rFonts w:ascii="Verdana" w:eastAsia="Verdana" w:hAnsi="Verdana" w:cs="Verdana"/>
          <w:sz w:val="24"/>
          <w:szCs w:val="24"/>
        </w:rPr>
      </w:pPr>
      <w:r w:rsidRPr="009A730B">
        <w:rPr>
          <w:rFonts w:ascii="Verdana" w:eastAsia="Verdana" w:hAnsi="Verdana" w:cs="Verdana"/>
          <w:sz w:val="24"/>
          <w:szCs w:val="24"/>
        </w:rPr>
        <w:t xml:space="preserve">The Committee received A review of the ‘Your Next Patient’ Policy in Practice which examined the application of the policy designed to improve timely access to specialty beds and appropriate care. The report highlighted that, in practice, there had been a drift in the use of ‘Your Next Patient’ (YNP) spaces, with increasing reliance on these areas as part of surge capacity rather than their intended purpose. It identified that patients could spend prolonged periods in YNP spaces, which are not designated bed areas and may offer a sub-optimal care environment, and set out associated risks relating to patient safety, experience, and system flow. </w:t>
      </w:r>
    </w:p>
    <w:p w14:paraId="362ED975" w14:textId="7B2B2E0C" w:rsidR="4C39ED56" w:rsidRPr="009A730B" w:rsidRDefault="4C39ED56" w:rsidP="14C3F490">
      <w:pPr>
        <w:pBdr>
          <w:top w:val="nil"/>
          <w:left w:val="nil"/>
          <w:bottom w:val="nil"/>
          <w:right w:val="nil"/>
          <w:between w:val="nil"/>
          <w:bar w:val="nil"/>
        </w:pBdr>
        <w:spacing w:before="60" w:after="60" w:line="240" w:lineRule="auto"/>
        <w:jc w:val="both"/>
        <w:rPr>
          <w:rFonts w:ascii="Verdana" w:hAnsi="Verdana" w:cs="Arial"/>
          <w:sz w:val="24"/>
          <w:szCs w:val="24"/>
        </w:rPr>
      </w:pPr>
    </w:p>
    <w:p w14:paraId="755E122B" w14:textId="31B84F80" w:rsidR="28AF74F6" w:rsidRPr="000A1158" w:rsidRDefault="28AF74F6" w:rsidP="00C2615D">
      <w:pPr>
        <w:pStyle w:val="ListParagraph"/>
        <w:numPr>
          <w:ilvl w:val="1"/>
          <w:numId w:val="31"/>
        </w:numPr>
        <w:pBdr>
          <w:top w:val="nil"/>
          <w:left w:val="nil"/>
          <w:bottom w:val="nil"/>
          <w:right w:val="nil"/>
          <w:between w:val="nil"/>
          <w:bar w:val="nil"/>
        </w:pBdr>
        <w:spacing w:before="60" w:after="60" w:line="240" w:lineRule="auto"/>
        <w:jc w:val="both"/>
        <w:rPr>
          <w:rFonts w:ascii="Verdana" w:hAnsi="Verdana" w:cs="Arial"/>
          <w:b/>
          <w:bCs/>
          <w:sz w:val="24"/>
          <w:szCs w:val="24"/>
          <w:u w:val="single"/>
        </w:rPr>
      </w:pPr>
      <w:r w:rsidRPr="000A1158">
        <w:rPr>
          <w:rFonts w:ascii="Verdana" w:hAnsi="Verdana" w:cs="Arial"/>
          <w:b/>
          <w:bCs/>
          <w:sz w:val="24"/>
          <w:szCs w:val="24"/>
          <w:u w:val="single"/>
        </w:rPr>
        <w:t xml:space="preserve">Benchmarking, Learning and Quality Improving </w:t>
      </w:r>
    </w:p>
    <w:p w14:paraId="4895A0B1" w14:textId="35F97DA7" w:rsidR="4C39ED56" w:rsidRPr="009A730B" w:rsidRDefault="4C39ED56" w:rsidP="4C39ED56">
      <w:pPr>
        <w:pBdr>
          <w:top w:val="nil"/>
          <w:left w:val="nil"/>
          <w:bottom w:val="nil"/>
          <w:right w:val="nil"/>
          <w:between w:val="nil"/>
          <w:bar w:val="nil"/>
        </w:pBdr>
        <w:spacing w:before="60" w:after="60" w:line="240" w:lineRule="auto"/>
        <w:jc w:val="both"/>
        <w:rPr>
          <w:rFonts w:ascii="Verdana" w:hAnsi="Verdana" w:cs="Arial"/>
          <w:sz w:val="24"/>
          <w:szCs w:val="24"/>
        </w:rPr>
      </w:pPr>
    </w:p>
    <w:p w14:paraId="6DEB0ADC" w14:textId="2EB7A30C" w:rsidR="00A2F995" w:rsidRPr="000A1158" w:rsidRDefault="000A1158" w:rsidP="000A1158">
      <w:pPr>
        <w:pBdr>
          <w:top w:val="nil"/>
          <w:left w:val="nil"/>
          <w:bottom w:val="nil"/>
          <w:right w:val="nil"/>
          <w:between w:val="nil"/>
          <w:bar w:val="nil"/>
        </w:pBdr>
        <w:spacing w:before="60" w:after="60" w:line="240" w:lineRule="auto"/>
        <w:jc w:val="both"/>
        <w:rPr>
          <w:rFonts w:ascii="Verdana" w:hAnsi="Verdana" w:cs="Arial"/>
        </w:rPr>
      </w:pPr>
      <w:r>
        <w:rPr>
          <w:rFonts w:ascii="Verdana" w:hAnsi="Verdana" w:cs="Arial"/>
          <w:b/>
          <w:sz w:val="24"/>
          <w:szCs w:val="24"/>
        </w:rPr>
        <w:t xml:space="preserve">4.2.1 </w:t>
      </w:r>
      <w:r w:rsidR="00A2F995" w:rsidRPr="000A1158">
        <w:rPr>
          <w:rFonts w:ascii="Verdana" w:hAnsi="Verdana" w:cs="Arial"/>
          <w:b/>
          <w:sz w:val="24"/>
          <w:szCs w:val="24"/>
        </w:rPr>
        <w:t>Infection, Prevention and Control Report</w:t>
      </w:r>
      <w:r w:rsidR="00A2F995" w:rsidRPr="000A1158">
        <w:rPr>
          <w:rFonts w:ascii="Verdana" w:hAnsi="Verdana" w:cs="Arial"/>
          <w:sz w:val="24"/>
          <w:szCs w:val="24"/>
        </w:rPr>
        <w:t xml:space="preserve">  </w:t>
      </w:r>
    </w:p>
    <w:p w14:paraId="1F14321A" w14:textId="6D5F2FD5" w:rsidR="4BC2DE41" w:rsidRPr="009A730B" w:rsidRDefault="4BC2DE41" w:rsidP="7E77A6F8">
      <w:pPr>
        <w:pBdr>
          <w:top w:val="nil"/>
          <w:left w:val="nil"/>
          <w:bottom w:val="nil"/>
          <w:right w:val="nil"/>
          <w:between w:val="nil"/>
        </w:pBdr>
        <w:spacing w:before="60" w:after="60" w:line="240" w:lineRule="auto"/>
        <w:jc w:val="both"/>
        <w:rPr>
          <w:rFonts w:ascii="Verdana" w:eastAsia="Calibri" w:hAnsi="Verdana" w:cs="Arial"/>
          <w:sz w:val="24"/>
          <w:szCs w:val="24"/>
        </w:rPr>
      </w:pPr>
      <w:r w:rsidRPr="009A730B">
        <w:rPr>
          <w:rFonts w:ascii="Verdana" w:eastAsia="Calibri" w:hAnsi="Verdana" w:cs="Arial"/>
          <w:sz w:val="24"/>
          <w:szCs w:val="24"/>
        </w:rPr>
        <w:t xml:space="preserve">Infection Prevention and Control (IPC) reports highlighted ongoing challenges in reducing healthcare-acquired infections and improving compliance with core infection control standards. The Committee noted particular concerns regarding hand hygiene and aseptic practice compliance, alongside the Health Board’s position as a national outlier for certain infection rates, and the impact of system pressures such as high bed occupancy and estate limitations. The Committee maintained close oversight of improvement actions, emphasising the need for a sustained </w:t>
      </w:r>
      <w:r w:rsidRPr="009A730B">
        <w:rPr>
          <w:rFonts w:ascii="Verdana" w:eastAsia="Calibri" w:hAnsi="Verdana" w:cs="Arial"/>
          <w:sz w:val="24"/>
          <w:szCs w:val="24"/>
        </w:rPr>
        <w:lastRenderedPageBreak/>
        <w:t>focus on fundamental IPC practices and strengthened assurance on compliance to support improvements in patient safety and quality of care</w:t>
      </w:r>
    </w:p>
    <w:p w14:paraId="3EDCD25A" w14:textId="77777777" w:rsidR="004C0878" w:rsidRPr="009A730B" w:rsidRDefault="004C0878" w:rsidP="6FF9FF05">
      <w:pPr>
        <w:pBdr>
          <w:top w:val="nil"/>
          <w:left w:val="nil"/>
          <w:bottom w:val="nil"/>
          <w:right w:val="nil"/>
          <w:between w:val="nil"/>
          <w:bar w:val="nil"/>
        </w:pBdr>
        <w:spacing w:before="60" w:after="60" w:line="240" w:lineRule="auto"/>
        <w:jc w:val="both"/>
        <w:rPr>
          <w:rFonts w:ascii="Verdana" w:hAnsi="Verdana" w:cs="Arial"/>
          <w:sz w:val="24"/>
          <w:szCs w:val="24"/>
        </w:rPr>
      </w:pPr>
    </w:p>
    <w:p w14:paraId="7FD5EF97" w14:textId="1D2FB03A" w:rsidR="625BA70B" w:rsidRPr="000A1158" w:rsidRDefault="625BA70B" w:rsidP="00C2615D">
      <w:pPr>
        <w:pStyle w:val="ListParagraph"/>
        <w:numPr>
          <w:ilvl w:val="2"/>
          <w:numId w:val="32"/>
        </w:numPr>
        <w:pBdr>
          <w:top w:val="nil"/>
          <w:left w:val="nil"/>
          <w:bottom w:val="nil"/>
          <w:right w:val="nil"/>
          <w:between w:val="nil"/>
        </w:pBdr>
        <w:spacing w:before="60" w:after="60" w:line="240" w:lineRule="auto"/>
        <w:jc w:val="both"/>
        <w:rPr>
          <w:rFonts w:ascii="Verdana" w:hAnsi="Verdana" w:cs="Arial"/>
          <w:b/>
          <w:bCs/>
          <w:sz w:val="24"/>
          <w:szCs w:val="24"/>
          <w:lang w:val="en-US" w:eastAsia="en-GB"/>
        </w:rPr>
      </w:pPr>
      <w:r w:rsidRPr="000A1158">
        <w:rPr>
          <w:rFonts w:ascii="Verdana" w:hAnsi="Verdana" w:cs="Arial"/>
          <w:b/>
          <w:bCs/>
          <w:sz w:val="24"/>
          <w:szCs w:val="24"/>
          <w:lang w:val="en-US" w:eastAsia="en-GB"/>
        </w:rPr>
        <w:t>Maternity Gold Command Close Down report</w:t>
      </w:r>
    </w:p>
    <w:p w14:paraId="728D7FEE" w14:textId="646B0D16" w:rsidR="625BA70B" w:rsidRPr="009A730B" w:rsidRDefault="625BA70B" w:rsidP="621F23EC">
      <w:pPr>
        <w:pBdr>
          <w:top w:val="nil"/>
          <w:left w:val="nil"/>
          <w:bottom w:val="nil"/>
          <w:right w:val="nil"/>
          <w:between w:val="nil"/>
        </w:pBdr>
        <w:spacing w:before="60" w:after="60" w:line="240" w:lineRule="auto"/>
        <w:jc w:val="both"/>
        <w:rPr>
          <w:rFonts w:ascii="Verdana" w:eastAsia="Calibri" w:hAnsi="Verdana" w:cs="Arial"/>
          <w:sz w:val="24"/>
          <w:szCs w:val="24"/>
          <w:lang w:val="en-US"/>
        </w:rPr>
      </w:pPr>
      <w:r w:rsidRPr="621F23EC">
        <w:rPr>
          <w:rFonts w:ascii="Verdana" w:eastAsia="Calibri" w:hAnsi="Verdana" w:cs="Arial"/>
          <w:sz w:val="24"/>
          <w:szCs w:val="24"/>
          <w:lang w:val="en-US"/>
        </w:rPr>
        <w:t>The Maternity Gold Command Close Down Report outlined the transition from enhanced oversight arrangements to business-as-usual governance following a period of heightened scrutiny. The Committee noted the progress made against the programme of improvement, including strengthened governance structures, clearer lines of accountability, and actions implemented in response to previous concerns and reviews.</w:t>
      </w:r>
      <w:r w:rsidR="21E330B8" w:rsidRPr="621F23EC">
        <w:rPr>
          <w:rFonts w:ascii="Verdana" w:eastAsia="Calibri" w:hAnsi="Verdana" w:cs="Arial"/>
          <w:sz w:val="24"/>
          <w:szCs w:val="24"/>
          <w:lang w:val="en-US"/>
        </w:rPr>
        <w:t xml:space="preserve"> Key learning identified opportunities to enhance equality, diversity and inclusion initiatives. </w:t>
      </w:r>
      <w:r w:rsidRPr="621F23EC">
        <w:rPr>
          <w:rFonts w:ascii="Verdana" w:eastAsia="Calibri" w:hAnsi="Verdana" w:cs="Arial"/>
          <w:sz w:val="24"/>
          <w:szCs w:val="24"/>
          <w:lang w:val="en-US"/>
        </w:rPr>
        <w:t>Ongoing monitoring arrangements were confirmed to ensure that improvements in maternity and neonatal services were sustained, with continued oversight through established reporting mechanisms and escalation where required to maintain patient safety and service quality.</w:t>
      </w:r>
    </w:p>
    <w:p w14:paraId="52D8CDC7" w14:textId="5513EE6F" w:rsidR="6FF9FF05" w:rsidRPr="009A730B" w:rsidRDefault="6FF9FF05" w:rsidP="1CE8256A">
      <w:pPr>
        <w:pBdr>
          <w:top w:val="nil"/>
          <w:left w:val="nil"/>
          <w:bottom w:val="nil"/>
          <w:right w:val="nil"/>
          <w:between w:val="nil"/>
          <w:bar w:val="nil"/>
        </w:pBdr>
        <w:spacing w:before="60" w:after="60" w:line="240" w:lineRule="auto"/>
        <w:jc w:val="both"/>
        <w:rPr>
          <w:rFonts w:ascii="Verdana" w:hAnsi="Verdana" w:cs="Arial"/>
          <w:sz w:val="24"/>
          <w:szCs w:val="24"/>
        </w:rPr>
      </w:pPr>
    </w:p>
    <w:p w14:paraId="514D11AA" w14:textId="1A3F5C7A" w:rsidR="51B37CF3" w:rsidRPr="000A1158" w:rsidRDefault="51B37CF3" w:rsidP="00C2615D">
      <w:pPr>
        <w:pStyle w:val="ListParagraph"/>
        <w:numPr>
          <w:ilvl w:val="2"/>
          <w:numId w:val="32"/>
        </w:numPr>
        <w:pBdr>
          <w:top w:val="nil"/>
          <w:left w:val="nil"/>
          <w:bottom w:val="nil"/>
          <w:right w:val="nil"/>
          <w:between w:val="nil"/>
          <w:bar w:val="nil"/>
        </w:pBdr>
        <w:spacing w:before="60" w:after="60" w:line="240" w:lineRule="auto"/>
        <w:jc w:val="both"/>
        <w:rPr>
          <w:rFonts w:ascii="Verdana" w:hAnsi="Verdana" w:cs="Arial"/>
          <w:b/>
          <w:bCs/>
          <w:sz w:val="24"/>
          <w:szCs w:val="24"/>
        </w:rPr>
      </w:pPr>
      <w:r w:rsidRPr="000A1158">
        <w:rPr>
          <w:rFonts w:ascii="Verdana" w:hAnsi="Verdana" w:cs="Arial"/>
          <w:b/>
          <w:bCs/>
          <w:sz w:val="24"/>
          <w:szCs w:val="24"/>
        </w:rPr>
        <w:t xml:space="preserve">Planned Care </w:t>
      </w:r>
    </w:p>
    <w:p w14:paraId="1B1EFE70" w14:textId="76EE2FE6" w:rsidR="51B37CF3" w:rsidRPr="009A730B" w:rsidRDefault="51B37CF3" w:rsidP="1CE8256A">
      <w:pPr>
        <w:pBdr>
          <w:top w:val="nil"/>
          <w:left w:val="nil"/>
          <w:bottom w:val="nil"/>
          <w:right w:val="nil"/>
          <w:between w:val="nil"/>
        </w:pBdr>
        <w:spacing w:before="60" w:after="60" w:line="240" w:lineRule="auto"/>
        <w:jc w:val="both"/>
        <w:rPr>
          <w:rFonts w:ascii="Verdana" w:eastAsia="Calibri" w:hAnsi="Verdana" w:cs="Arial"/>
          <w:sz w:val="24"/>
          <w:szCs w:val="24"/>
        </w:rPr>
      </w:pPr>
      <w:r w:rsidRPr="009A730B">
        <w:rPr>
          <w:rFonts w:ascii="Verdana" w:eastAsia="Calibri" w:hAnsi="Verdana" w:cs="Arial"/>
          <w:sz w:val="24"/>
          <w:szCs w:val="24"/>
        </w:rPr>
        <w:t>Planned Care reports provided oversight of performance across elective care pathways and highlighted ongoing system pressures impacting delivery. The Committee noted challenges in meeting waiting time targets, including long patient waits, diagnostic delays, and capacity constraints affecting key specialties such as cancer pathways and endoscopy services. Progress against improvement plans was monitored, including initiatives to increase capacity and improve patient flow; however, the Committee emphasised the need for sustained focus on reducing backlogs, strengthening performance management, and demonstrating clearer impact of actions to ensure timely access to care and mitigate risks to patient safety.</w:t>
      </w:r>
    </w:p>
    <w:p w14:paraId="3ED589F3" w14:textId="01750824" w:rsidR="1CE8256A" w:rsidRPr="009A730B" w:rsidRDefault="1CE8256A" w:rsidP="1CE8256A">
      <w:pPr>
        <w:pBdr>
          <w:top w:val="nil"/>
          <w:left w:val="nil"/>
          <w:bottom w:val="nil"/>
          <w:right w:val="nil"/>
          <w:between w:val="nil"/>
          <w:bar w:val="nil"/>
        </w:pBdr>
        <w:spacing w:before="60" w:after="60" w:line="240" w:lineRule="auto"/>
        <w:jc w:val="both"/>
        <w:rPr>
          <w:rFonts w:ascii="Verdana" w:hAnsi="Verdana" w:cs="Arial"/>
          <w:sz w:val="24"/>
          <w:szCs w:val="24"/>
        </w:rPr>
      </w:pPr>
    </w:p>
    <w:p w14:paraId="07738B4A" w14:textId="65FE897E" w:rsidR="78A5A60B" w:rsidRPr="000A1158" w:rsidRDefault="78A5A60B" w:rsidP="00C2615D">
      <w:pPr>
        <w:pStyle w:val="ListParagraph"/>
        <w:numPr>
          <w:ilvl w:val="2"/>
          <w:numId w:val="32"/>
        </w:numPr>
        <w:pBdr>
          <w:top w:val="nil"/>
          <w:left w:val="nil"/>
          <w:bottom w:val="nil"/>
          <w:right w:val="nil"/>
          <w:between w:val="nil"/>
          <w:bar w:val="nil"/>
        </w:pBdr>
        <w:spacing w:before="60" w:after="60" w:line="240" w:lineRule="auto"/>
        <w:jc w:val="both"/>
        <w:rPr>
          <w:rFonts w:ascii="Verdana" w:hAnsi="Verdana" w:cs="Arial"/>
          <w:b/>
          <w:bCs/>
        </w:rPr>
      </w:pPr>
      <w:r w:rsidRPr="000A1158">
        <w:rPr>
          <w:rFonts w:ascii="Verdana" w:hAnsi="Verdana" w:cs="Arial"/>
          <w:b/>
          <w:bCs/>
          <w:sz w:val="24"/>
          <w:szCs w:val="24"/>
        </w:rPr>
        <w:t>Children Community Nursing Service</w:t>
      </w:r>
    </w:p>
    <w:p w14:paraId="17211B50" w14:textId="4D97624A" w:rsidR="35FCB935" w:rsidRPr="009A730B" w:rsidRDefault="35FCB935" w:rsidP="14C3F490">
      <w:pPr>
        <w:pBdr>
          <w:top w:val="nil"/>
          <w:left w:val="nil"/>
          <w:bottom w:val="nil"/>
          <w:right w:val="nil"/>
          <w:between w:val="nil"/>
        </w:pBdr>
        <w:spacing w:before="60" w:after="60" w:line="240" w:lineRule="auto"/>
        <w:jc w:val="both"/>
        <w:rPr>
          <w:rFonts w:ascii="Verdana" w:eastAsia="Calibri" w:hAnsi="Verdana" w:cs="Arial"/>
          <w:sz w:val="24"/>
          <w:szCs w:val="24"/>
        </w:rPr>
      </w:pPr>
      <w:r w:rsidRPr="009A730B">
        <w:rPr>
          <w:rFonts w:ascii="Verdana" w:eastAsia="Calibri" w:hAnsi="Verdana" w:cs="Arial"/>
          <w:sz w:val="24"/>
          <w:szCs w:val="24"/>
        </w:rPr>
        <w:t>The Committee received updates on the Children’s Community Nursing Service during 2025–2026, including a detailed paper presented in November 2025, which focused on staffing assurance and the impact on service delivery. The report highlighted significant workforce challenges, including difficulties in recruitment and retention, high vacancy levels, and reliance on temporary staffing, which affected continuity of care for children and their families. These challenges were recognised by the Committee as presenting a risk to service sustainability, with associated impacts on care quality and the delivery of Children’s Continuing Care packages. Subsequent Committee reporting reinforced that, despite these pressures, the service remained committed to delivering safe and high-quality care; however, workforce constraints, particularly among non-registered staff, required ongoing strategic attention and monitoring to ensure continuity and meet demand.</w:t>
      </w:r>
    </w:p>
    <w:p w14:paraId="201FA5ED" w14:textId="77777777" w:rsidR="004879A8" w:rsidRPr="009A730B" w:rsidRDefault="004879A8" w:rsidP="4C39ED56">
      <w:pPr>
        <w:pBdr>
          <w:top w:val="nil"/>
          <w:left w:val="nil"/>
          <w:bottom w:val="nil"/>
          <w:right w:val="nil"/>
          <w:between w:val="nil"/>
          <w:bar w:val="nil"/>
        </w:pBdr>
        <w:spacing w:before="60" w:after="60" w:line="240" w:lineRule="auto"/>
        <w:jc w:val="both"/>
        <w:rPr>
          <w:rFonts w:ascii="Verdana" w:hAnsi="Verdana" w:cs="Arial"/>
          <w:sz w:val="24"/>
          <w:szCs w:val="24"/>
        </w:rPr>
      </w:pPr>
    </w:p>
    <w:p w14:paraId="765573DF" w14:textId="06C53CD4" w:rsidR="0A196D4E" w:rsidRPr="000A1158" w:rsidRDefault="0A196D4E" w:rsidP="00C2615D">
      <w:pPr>
        <w:pStyle w:val="ListParagraph"/>
        <w:numPr>
          <w:ilvl w:val="2"/>
          <w:numId w:val="32"/>
        </w:numPr>
        <w:pBdr>
          <w:top w:val="nil"/>
          <w:left w:val="nil"/>
          <w:bottom w:val="nil"/>
          <w:right w:val="nil"/>
          <w:between w:val="nil"/>
        </w:pBdr>
        <w:spacing w:before="60" w:after="60" w:line="240" w:lineRule="auto"/>
        <w:jc w:val="both"/>
        <w:rPr>
          <w:rFonts w:ascii="Verdana" w:eastAsia="Verdana" w:hAnsi="Verdana" w:cs="Verdana"/>
          <w:b/>
          <w:bCs/>
          <w:color w:val="000000" w:themeColor="text1"/>
        </w:rPr>
      </w:pPr>
      <w:r w:rsidRPr="000A1158">
        <w:rPr>
          <w:rFonts w:ascii="Verdana" w:eastAsia="Verdana" w:hAnsi="Verdana" w:cs="Verdana"/>
          <w:b/>
          <w:bCs/>
          <w:color w:val="000000" w:themeColor="text1"/>
          <w:sz w:val="24"/>
          <w:szCs w:val="24"/>
        </w:rPr>
        <w:lastRenderedPageBreak/>
        <w:t>Public Service Ombudsman for Wales Annual Letter</w:t>
      </w:r>
    </w:p>
    <w:p w14:paraId="6F8093FD" w14:textId="28626E71" w:rsidR="4C39ED56" w:rsidRPr="009A730B" w:rsidRDefault="319B4D5B" w:rsidP="14C3F490">
      <w:pPr>
        <w:pBdr>
          <w:top w:val="nil"/>
          <w:left w:val="nil"/>
          <w:bottom w:val="nil"/>
          <w:right w:val="nil"/>
          <w:between w:val="nil"/>
        </w:pBdr>
        <w:spacing w:before="60" w:after="60" w:line="240" w:lineRule="auto"/>
        <w:jc w:val="both"/>
        <w:rPr>
          <w:rFonts w:ascii="Verdana" w:eastAsia="Verdana" w:hAnsi="Verdana" w:cs="Verdana"/>
          <w:sz w:val="24"/>
          <w:szCs w:val="24"/>
        </w:rPr>
      </w:pPr>
      <w:r w:rsidRPr="009A730B">
        <w:rPr>
          <w:rFonts w:ascii="Verdana" w:eastAsia="Verdana" w:hAnsi="Verdana" w:cs="Verdana"/>
          <w:sz w:val="24"/>
          <w:szCs w:val="24"/>
        </w:rPr>
        <w:t>The Committee received and reviewed the Public Service Ombudsman for Wales Annual Letter, which provided an overview of complaints and performance at both an All</w:t>
      </w:r>
      <w:r w:rsidR="4C39ED56" w:rsidRPr="009A730B">
        <w:noBreakHyphen/>
      </w:r>
      <w:r w:rsidRPr="009A730B">
        <w:rPr>
          <w:rFonts w:ascii="Verdana" w:eastAsia="Verdana" w:hAnsi="Verdana" w:cs="Verdana"/>
          <w:sz w:val="24"/>
          <w:szCs w:val="24"/>
        </w:rPr>
        <w:t>Wales and organisational level. The findings highlighted a continued rise in complaints across Wales, including a modest increase in referrals relating to the Health Board, alongside an emphasis on early resolution and learning from complaints. The Committee noted the importance of considering Ombudsman data alongside internal performance data, with ongoing work undertaken by the complaints and assurance team to analyse trends and inform improvements. Assurance was taken from the Health Board’s strengthened engagement with the Ombudsman’s office, improvements in complaint handling processes, and actions through governance arrangements to embed learning and enhance patient experience</w:t>
      </w:r>
    </w:p>
    <w:p w14:paraId="6BA08303" w14:textId="0E510DBB" w:rsidR="4C39ED56" w:rsidRPr="009A730B" w:rsidRDefault="4C39ED56" w:rsidP="14C3F490">
      <w:pPr>
        <w:pBdr>
          <w:top w:val="nil"/>
          <w:left w:val="nil"/>
          <w:bottom w:val="nil"/>
          <w:right w:val="nil"/>
          <w:between w:val="nil"/>
          <w:bar w:val="nil"/>
        </w:pBdr>
        <w:spacing w:before="60" w:after="60" w:line="240" w:lineRule="auto"/>
        <w:jc w:val="both"/>
        <w:rPr>
          <w:rFonts w:ascii="Verdana" w:hAnsi="Verdana" w:cs="Arial"/>
          <w:b/>
          <w:bCs/>
          <w:sz w:val="24"/>
          <w:szCs w:val="24"/>
        </w:rPr>
      </w:pPr>
    </w:p>
    <w:p w14:paraId="33A499F9" w14:textId="279FFF5A" w:rsidR="4C39ED56" w:rsidRPr="000A1158" w:rsidRDefault="45747415" w:rsidP="00C2615D">
      <w:pPr>
        <w:pStyle w:val="ListParagraph"/>
        <w:numPr>
          <w:ilvl w:val="2"/>
          <w:numId w:val="32"/>
        </w:numPr>
        <w:pBdr>
          <w:top w:val="nil"/>
          <w:left w:val="nil"/>
          <w:bottom w:val="nil"/>
          <w:right w:val="nil"/>
          <w:between w:val="nil"/>
          <w:bar w:val="nil"/>
        </w:pBdr>
        <w:spacing w:before="60" w:after="60" w:line="240" w:lineRule="auto"/>
        <w:jc w:val="both"/>
        <w:rPr>
          <w:rFonts w:ascii="Verdana" w:hAnsi="Verdana" w:cs="Arial"/>
          <w:b/>
          <w:bCs/>
          <w:sz w:val="24"/>
          <w:szCs w:val="24"/>
        </w:rPr>
      </w:pPr>
      <w:r w:rsidRPr="000A1158">
        <w:rPr>
          <w:rFonts w:ascii="Verdana" w:hAnsi="Verdana" w:cs="Arial"/>
          <w:b/>
          <w:bCs/>
          <w:sz w:val="24"/>
          <w:szCs w:val="24"/>
        </w:rPr>
        <w:t>Mental Health Quality and Safety Workstream</w:t>
      </w:r>
    </w:p>
    <w:p w14:paraId="7321C4B1" w14:textId="25B98255" w:rsidR="4C39ED56" w:rsidRPr="009A730B" w:rsidRDefault="5EF5CB4F" w:rsidP="621F23EC">
      <w:pPr>
        <w:pBdr>
          <w:top w:val="nil"/>
          <w:left w:val="nil"/>
          <w:bottom w:val="nil"/>
          <w:right w:val="nil"/>
          <w:between w:val="nil"/>
          <w:bar w:val="nil"/>
        </w:pBdr>
        <w:spacing w:before="60" w:after="60" w:line="240" w:lineRule="auto"/>
        <w:jc w:val="both"/>
        <w:rPr>
          <w:rFonts w:ascii="Verdana" w:eastAsia="Calibri" w:hAnsi="Verdana" w:cs="Arial"/>
          <w:sz w:val="24"/>
          <w:szCs w:val="24"/>
        </w:rPr>
      </w:pPr>
      <w:r w:rsidRPr="621F23EC">
        <w:rPr>
          <w:rFonts w:ascii="Verdana" w:hAnsi="Verdana" w:cs="Arial"/>
          <w:sz w:val="24"/>
          <w:szCs w:val="24"/>
        </w:rPr>
        <w:t>The Committee received updates on the Mental Health Quality and Safety Workstream as part of the wider Mental Health Transformation Programme, including an initial report presented in November 2025. The report outlined the establishment of the workstream in response to an independent review of mental health and learning disabilities services, with the aim of addressing identified issues and aligning services to best practice. The workstream forms part of a broader delivery plan and focuses on strengthening quality and safety oversight, including the development of metrics, management of incidents and complaints, and improved governance arrangements. The Committee noted that this work represents a long</w:t>
      </w:r>
      <w:r>
        <w:noBreakHyphen/>
      </w:r>
      <w:r w:rsidRPr="621F23EC">
        <w:rPr>
          <w:rFonts w:ascii="Verdana" w:hAnsi="Verdana" w:cs="Arial"/>
          <w:sz w:val="24"/>
          <w:szCs w:val="24"/>
        </w:rPr>
        <w:t>term programme of improvement, with ongoing monitoring required to ensure sustainable delivery of safe, high</w:t>
      </w:r>
      <w:r>
        <w:noBreakHyphen/>
      </w:r>
      <w:r w:rsidRPr="621F23EC">
        <w:rPr>
          <w:rFonts w:ascii="Verdana" w:hAnsi="Verdana" w:cs="Arial"/>
          <w:sz w:val="24"/>
          <w:szCs w:val="24"/>
        </w:rPr>
        <w:t>quality mental health services.</w:t>
      </w:r>
      <w:r w:rsidR="788BFA61" w:rsidRPr="621F23EC">
        <w:rPr>
          <w:rFonts w:ascii="Verdana" w:hAnsi="Verdana" w:cs="Arial"/>
          <w:sz w:val="24"/>
          <w:szCs w:val="24"/>
        </w:rPr>
        <w:t xml:space="preserve"> </w:t>
      </w:r>
      <w:r w:rsidR="788BFA61" w:rsidRPr="621F23EC">
        <w:rPr>
          <w:rFonts w:ascii="Verdana" w:eastAsia="Calibri" w:hAnsi="Verdana" w:cs="Arial"/>
          <w:sz w:val="24"/>
          <w:szCs w:val="24"/>
        </w:rPr>
        <w:t>Bi-monthly</w:t>
      </w:r>
      <w:r w:rsidR="005441BF">
        <w:rPr>
          <w:rFonts w:ascii="Verdana" w:eastAsia="Calibri" w:hAnsi="Verdana" w:cs="Arial"/>
          <w:sz w:val="24"/>
          <w:szCs w:val="24"/>
        </w:rPr>
        <w:t xml:space="preserve"> </w:t>
      </w:r>
      <w:r w:rsidR="788BFA61" w:rsidRPr="621F23EC">
        <w:rPr>
          <w:rFonts w:ascii="Verdana" w:eastAsia="Calibri" w:hAnsi="Verdana" w:cs="Arial"/>
          <w:sz w:val="24"/>
          <w:szCs w:val="24"/>
        </w:rPr>
        <w:t>reports required to be presented to Quality and Safety Committee.</w:t>
      </w:r>
    </w:p>
    <w:p w14:paraId="2209904E" w14:textId="4B3B836D" w:rsidR="4C39ED56" w:rsidRPr="009A730B" w:rsidRDefault="4C39ED56" w:rsidP="14C3F490">
      <w:pPr>
        <w:pBdr>
          <w:top w:val="nil"/>
          <w:left w:val="nil"/>
          <w:bottom w:val="nil"/>
          <w:right w:val="nil"/>
          <w:between w:val="nil"/>
          <w:bar w:val="nil"/>
        </w:pBdr>
        <w:spacing w:before="60" w:after="60" w:line="240" w:lineRule="auto"/>
        <w:jc w:val="both"/>
        <w:rPr>
          <w:rFonts w:ascii="Verdana" w:hAnsi="Verdana" w:cs="Arial"/>
          <w:sz w:val="24"/>
          <w:szCs w:val="24"/>
        </w:rPr>
      </w:pPr>
    </w:p>
    <w:p w14:paraId="4CEBE9FE" w14:textId="41261218" w:rsidR="4C39ED56" w:rsidRPr="000A1158" w:rsidRDefault="5EF5CB4F" w:rsidP="00C2615D">
      <w:pPr>
        <w:pStyle w:val="ListParagraph"/>
        <w:numPr>
          <w:ilvl w:val="2"/>
          <w:numId w:val="32"/>
        </w:numPr>
        <w:pBdr>
          <w:top w:val="nil"/>
          <w:left w:val="nil"/>
          <w:bottom w:val="nil"/>
          <w:right w:val="nil"/>
          <w:between w:val="nil"/>
          <w:bar w:val="nil"/>
        </w:pBdr>
        <w:spacing w:before="60" w:after="60" w:line="240" w:lineRule="auto"/>
        <w:jc w:val="both"/>
        <w:rPr>
          <w:rFonts w:ascii="Verdana" w:hAnsi="Verdana" w:cs="Arial"/>
          <w:b/>
          <w:bCs/>
          <w:sz w:val="24"/>
          <w:szCs w:val="24"/>
        </w:rPr>
      </w:pPr>
      <w:r w:rsidRPr="000A1158">
        <w:rPr>
          <w:rFonts w:ascii="Verdana" w:hAnsi="Verdana" w:cs="Arial"/>
          <w:b/>
          <w:bCs/>
          <w:sz w:val="24"/>
          <w:szCs w:val="24"/>
        </w:rPr>
        <w:t>Update on Gorseinon</w:t>
      </w:r>
    </w:p>
    <w:p w14:paraId="58CD72CE" w14:textId="26AAF5C7" w:rsidR="4C39ED56" w:rsidRPr="009A730B" w:rsidRDefault="198E63CC" w:rsidP="14C3F490">
      <w:pPr>
        <w:pBdr>
          <w:top w:val="nil"/>
          <w:left w:val="nil"/>
          <w:bottom w:val="nil"/>
          <w:right w:val="nil"/>
          <w:between w:val="nil"/>
        </w:pBdr>
        <w:spacing w:before="60" w:after="60" w:line="240" w:lineRule="auto"/>
        <w:jc w:val="both"/>
        <w:rPr>
          <w:rFonts w:ascii="Verdana" w:eastAsia="Calibri" w:hAnsi="Verdana" w:cs="Arial"/>
          <w:sz w:val="24"/>
          <w:szCs w:val="24"/>
        </w:rPr>
      </w:pPr>
      <w:r w:rsidRPr="009A730B">
        <w:rPr>
          <w:rFonts w:ascii="Verdana" w:eastAsia="Calibri" w:hAnsi="Verdana" w:cs="Arial"/>
          <w:sz w:val="24"/>
          <w:szCs w:val="24"/>
        </w:rPr>
        <w:t>Updates on the Gorseinon West Ward service following its urgent temporary transfer to Singleton Hospital were received, including a detailed report presented in November 2025. The update outlined the successful transfer of patients and staff in October 2025, with the transition reported as smooth and supported by strong engagement with staff, patients and families. The Committee noted that the integrated workforce had stabilised and reduced reliance on temporary staffing, alongside positive feedback regarding the safer and more supportive clinical environment at Singleton. However, ongoing challenges were identified, including the need to complete decommissioning works and address security risks at the Gorseinon site, particularly out-of-hours, with further estates improvements and long-term planning required</w:t>
      </w:r>
    </w:p>
    <w:p w14:paraId="58FB5DF2" w14:textId="5941B6BE" w:rsidR="4C39ED56" w:rsidRPr="009A730B" w:rsidRDefault="4C39ED56" w:rsidP="14C3F490">
      <w:pPr>
        <w:pBdr>
          <w:top w:val="nil"/>
          <w:left w:val="nil"/>
          <w:bottom w:val="nil"/>
          <w:right w:val="nil"/>
          <w:between w:val="nil"/>
          <w:bar w:val="nil"/>
        </w:pBdr>
        <w:spacing w:before="60" w:after="60" w:line="240" w:lineRule="auto"/>
        <w:jc w:val="both"/>
        <w:rPr>
          <w:rFonts w:ascii="Verdana" w:hAnsi="Verdana" w:cs="Arial"/>
          <w:sz w:val="24"/>
          <w:szCs w:val="24"/>
        </w:rPr>
      </w:pPr>
    </w:p>
    <w:p w14:paraId="6113E0BA" w14:textId="4397FD60" w:rsidR="4C39ED56" w:rsidRPr="000A1158" w:rsidRDefault="2D1684C8" w:rsidP="00C2615D">
      <w:pPr>
        <w:pStyle w:val="ListParagraph"/>
        <w:numPr>
          <w:ilvl w:val="2"/>
          <w:numId w:val="32"/>
        </w:numPr>
        <w:pBdr>
          <w:top w:val="nil"/>
          <w:left w:val="nil"/>
          <w:bottom w:val="nil"/>
          <w:right w:val="nil"/>
          <w:between w:val="nil"/>
          <w:bar w:val="nil"/>
        </w:pBdr>
        <w:spacing w:before="60" w:after="60" w:line="240" w:lineRule="auto"/>
        <w:jc w:val="both"/>
        <w:rPr>
          <w:rFonts w:ascii="Verdana" w:hAnsi="Verdana" w:cs="Arial"/>
          <w:b/>
          <w:bCs/>
          <w:sz w:val="24"/>
          <w:szCs w:val="24"/>
        </w:rPr>
      </w:pPr>
      <w:r w:rsidRPr="000A1158">
        <w:rPr>
          <w:rFonts w:ascii="Verdana" w:hAnsi="Verdana" w:cs="Arial"/>
          <w:b/>
          <w:bCs/>
          <w:sz w:val="24"/>
          <w:szCs w:val="24"/>
        </w:rPr>
        <w:lastRenderedPageBreak/>
        <w:t xml:space="preserve">Board Engagement Visits </w:t>
      </w:r>
    </w:p>
    <w:p w14:paraId="44991DD3" w14:textId="1B074C16" w:rsidR="4C39ED56" w:rsidRPr="009A730B" w:rsidRDefault="2D1684C8" w:rsidP="14C3F490">
      <w:pPr>
        <w:pBdr>
          <w:top w:val="nil"/>
          <w:left w:val="nil"/>
          <w:bottom w:val="nil"/>
          <w:right w:val="nil"/>
          <w:between w:val="nil"/>
        </w:pBdr>
        <w:spacing w:before="60" w:after="60" w:line="240" w:lineRule="auto"/>
        <w:jc w:val="both"/>
        <w:rPr>
          <w:rFonts w:ascii="Verdana" w:eastAsia="Calibri" w:hAnsi="Verdana" w:cs="Arial"/>
          <w:sz w:val="24"/>
          <w:szCs w:val="24"/>
        </w:rPr>
      </w:pPr>
      <w:r w:rsidRPr="009A730B">
        <w:rPr>
          <w:rFonts w:ascii="Verdana" w:eastAsia="Calibri" w:hAnsi="Verdana" w:cs="Arial"/>
          <w:sz w:val="24"/>
          <w:szCs w:val="24"/>
        </w:rPr>
        <w:t>The Committee received updates on Board Engagement Visits undertaken as part of the Health Board’s quality, safety and improvement programme, including a report presented in November 2025. These visits, involving Independent Members, Executive Directors and clinical representatives, provided direct insight into services across primary, community, mental health and acute settings. The Committee considered thematic learning emerging from the visits, with findings reported to appropriate forums and informing actions to improve service delivery and patient experience. The programme supported strengthened governance and assurance through active engagement with frontline services, with ongoing visits and timely reporting required to ensure learning was captured and embedded across the organisation.</w:t>
      </w:r>
    </w:p>
    <w:p w14:paraId="150F136B" w14:textId="1D38F39A" w:rsidR="4C39ED56" w:rsidRPr="009A730B" w:rsidRDefault="4C39ED56" w:rsidP="14C3F490">
      <w:pPr>
        <w:pBdr>
          <w:top w:val="nil"/>
          <w:left w:val="nil"/>
          <w:bottom w:val="nil"/>
          <w:right w:val="nil"/>
          <w:between w:val="nil"/>
          <w:bar w:val="nil"/>
        </w:pBdr>
        <w:spacing w:before="60" w:after="60" w:line="240" w:lineRule="auto"/>
        <w:jc w:val="both"/>
        <w:rPr>
          <w:rFonts w:ascii="Verdana" w:hAnsi="Verdana" w:cs="Arial"/>
          <w:sz w:val="24"/>
          <w:szCs w:val="24"/>
        </w:rPr>
      </w:pPr>
    </w:p>
    <w:p w14:paraId="4E2895A3" w14:textId="7874EBCF" w:rsidR="74F4FE3F" w:rsidRPr="000A1158" w:rsidRDefault="74F4FE3F" w:rsidP="00C2615D">
      <w:pPr>
        <w:pStyle w:val="ListParagraph"/>
        <w:numPr>
          <w:ilvl w:val="2"/>
          <w:numId w:val="32"/>
        </w:numPr>
        <w:pBdr>
          <w:top w:val="nil"/>
          <w:left w:val="nil"/>
          <w:bottom w:val="nil"/>
          <w:right w:val="nil"/>
          <w:between w:val="nil"/>
          <w:bar w:val="nil"/>
        </w:pBdr>
        <w:spacing w:before="60" w:after="60" w:line="240" w:lineRule="auto"/>
        <w:jc w:val="both"/>
        <w:rPr>
          <w:rFonts w:ascii="Verdana" w:hAnsi="Verdana" w:cs="Arial"/>
          <w:b/>
          <w:bCs/>
          <w:sz w:val="24"/>
          <w:szCs w:val="24"/>
        </w:rPr>
      </w:pPr>
      <w:r w:rsidRPr="000A1158">
        <w:rPr>
          <w:rFonts w:ascii="Verdana" w:hAnsi="Verdana" w:cs="Arial"/>
          <w:b/>
          <w:bCs/>
          <w:sz w:val="24"/>
          <w:szCs w:val="24"/>
        </w:rPr>
        <w:t>NHS Wales Individual Patient Funding Request Process (IPFR) Policy</w:t>
      </w:r>
    </w:p>
    <w:p w14:paraId="2084F430" w14:textId="6FBA895B" w:rsidR="76570287" w:rsidRPr="009A730B" w:rsidRDefault="76570287" w:rsidP="14C3F490">
      <w:pPr>
        <w:pBdr>
          <w:top w:val="nil"/>
          <w:left w:val="nil"/>
          <w:bottom w:val="nil"/>
          <w:right w:val="nil"/>
          <w:between w:val="nil"/>
        </w:pBdr>
        <w:spacing w:before="60" w:after="60" w:line="240" w:lineRule="auto"/>
        <w:jc w:val="both"/>
        <w:rPr>
          <w:rFonts w:ascii="Verdana" w:eastAsia="Calibri" w:hAnsi="Verdana" w:cs="Arial"/>
          <w:sz w:val="24"/>
          <w:szCs w:val="24"/>
        </w:rPr>
      </w:pPr>
      <w:r w:rsidRPr="009A730B">
        <w:rPr>
          <w:rFonts w:ascii="Verdana" w:eastAsia="Calibri" w:hAnsi="Verdana" w:cs="Arial"/>
          <w:sz w:val="24"/>
          <w:szCs w:val="24"/>
        </w:rPr>
        <w:t>The Committee received the NHS Wales Individual Patient Funding Request (IPFR) Policy for information, which sets out the national process for considering requests for funding for treatments not routinely available within standard commissioning arrangements. The Committee noted that updated All</w:t>
      </w:r>
      <w:r w:rsidRPr="009A730B">
        <w:noBreakHyphen/>
      </w:r>
      <w:r w:rsidRPr="009A730B">
        <w:rPr>
          <w:rFonts w:ascii="Verdana" w:eastAsia="Calibri" w:hAnsi="Verdana" w:cs="Arial"/>
          <w:sz w:val="24"/>
          <w:szCs w:val="24"/>
        </w:rPr>
        <w:t>Wales policies had been approved through the Joint Commissioning Committee and Management Board, ensuring alignment with national governance frameworks and decision</w:t>
      </w:r>
      <w:r w:rsidRPr="009A730B">
        <w:noBreakHyphen/>
      </w:r>
      <w:r w:rsidRPr="009A730B">
        <w:rPr>
          <w:rFonts w:ascii="Verdana" w:eastAsia="Calibri" w:hAnsi="Verdana" w:cs="Arial"/>
          <w:sz w:val="24"/>
          <w:szCs w:val="24"/>
        </w:rPr>
        <w:t xml:space="preserve">making processes. The policy supported equitable access to care by providing a structured approach to assessing individual patient needs against established criteria. </w:t>
      </w:r>
    </w:p>
    <w:p w14:paraId="5C54C4F6" w14:textId="3C964BF9" w:rsidR="14C3F490" w:rsidRPr="009A730B" w:rsidRDefault="14C3F490" w:rsidP="14C3F490">
      <w:pPr>
        <w:pBdr>
          <w:top w:val="nil"/>
          <w:left w:val="nil"/>
          <w:bottom w:val="nil"/>
          <w:right w:val="nil"/>
          <w:between w:val="nil"/>
          <w:bar w:val="nil"/>
        </w:pBdr>
        <w:spacing w:before="60" w:after="60" w:line="240" w:lineRule="auto"/>
        <w:jc w:val="both"/>
        <w:rPr>
          <w:rFonts w:ascii="Verdana" w:hAnsi="Verdana" w:cs="Arial"/>
          <w:sz w:val="24"/>
          <w:szCs w:val="24"/>
        </w:rPr>
      </w:pPr>
    </w:p>
    <w:p w14:paraId="7EB1F00A" w14:textId="51AC0D9C" w:rsidR="2875E546" w:rsidRPr="000A1158" w:rsidRDefault="2875E546" w:rsidP="00C2615D">
      <w:pPr>
        <w:pStyle w:val="ListParagraph"/>
        <w:numPr>
          <w:ilvl w:val="2"/>
          <w:numId w:val="32"/>
        </w:numPr>
        <w:pBdr>
          <w:top w:val="nil"/>
          <w:left w:val="nil"/>
          <w:bottom w:val="nil"/>
          <w:right w:val="nil"/>
          <w:between w:val="nil"/>
          <w:bar w:val="nil"/>
        </w:pBdr>
        <w:spacing w:before="60" w:after="60" w:line="240" w:lineRule="auto"/>
        <w:jc w:val="both"/>
        <w:rPr>
          <w:rFonts w:ascii="Verdana" w:hAnsi="Verdana" w:cs="Arial"/>
          <w:b/>
          <w:bCs/>
          <w:sz w:val="24"/>
          <w:szCs w:val="24"/>
        </w:rPr>
      </w:pPr>
      <w:r w:rsidRPr="000A1158">
        <w:rPr>
          <w:rFonts w:ascii="Verdana" w:hAnsi="Verdana" w:cs="Arial"/>
          <w:b/>
          <w:bCs/>
          <w:sz w:val="24"/>
          <w:szCs w:val="24"/>
        </w:rPr>
        <w:t xml:space="preserve">Health and Safety Deep Dive </w:t>
      </w:r>
    </w:p>
    <w:p w14:paraId="3C9DDBE3" w14:textId="1B431FBA" w:rsidR="7B92610C" w:rsidRPr="009A730B" w:rsidRDefault="7B92610C" w:rsidP="14C3F490">
      <w:pPr>
        <w:pBdr>
          <w:top w:val="nil"/>
          <w:left w:val="nil"/>
          <w:bottom w:val="nil"/>
          <w:right w:val="nil"/>
          <w:between w:val="nil"/>
        </w:pBdr>
        <w:spacing w:before="60" w:after="60" w:line="240" w:lineRule="auto"/>
        <w:jc w:val="both"/>
        <w:rPr>
          <w:rFonts w:ascii="Verdana" w:eastAsia="Calibri" w:hAnsi="Verdana" w:cs="Arial"/>
          <w:sz w:val="24"/>
          <w:szCs w:val="24"/>
        </w:rPr>
      </w:pPr>
      <w:r w:rsidRPr="009A730B">
        <w:rPr>
          <w:rFonts w:ascii="Verdana" w:eastAsia="Calibri" w:hAnsi="Verdana" w:cs="Arial"/>
          <w:sz w:val="24"/>
          <w:szCs w:val="24"/>
        </w:rPr>
        <w:t>The Health and Safety Deep Dive report was received, including Estates and Capital considerations in January 2026, which provided an overview of key risks, trends and governance arrangements across the Health Board. The report highlighted a range of ongoing challenges, including compliance with Control of Substances Hazardous to Health (COSHH), reporting of incidents under the Reporting of Injuries, Diseases and Dangerous Occurrences Regulations (RIDDOR), and the management of violence and aggression and fire safety risks. The Committee noted improvements in data quality and trend analysis, alongside the development of enhanced reporting tools, including a real</w:t>
      </w:r>
      <w:r w:rsidRPr="009A730B">
        <w:noBreakHyphen/>
      </w:r>
      <w:r w:rsidRPr="009A730B">
        <w:rPr>
          <w:rFonts w:ascii="Verdana" w:eastAsia="Calibri" w:hAnsi="Verdana" w:cs="Arial"/>
          <w:sz w:val="24"/>
          <w:szCs w:val="24"/>
        </w:rPr>
        <w:t>time dashboard to support operational oversight and accountability. However, significant risks were identified, including gaps in respiratory protection equipment compliance and limitations in RIDDOR training capacity, highlighting the need for strengthened governance, improved maintenance processes and sustained focus on staff safety and regulatory compliance.</w:t>
      </w:r>
    </w:p>
    <w:p w14:paraId="78E0445C" w14:textId="7EB1A4BE" w:rsidR="14C3F490" w:rsidRDefault="14C3F490" w:rsidP="14C3F490">
      <w:pPr>
        <w:pBdr>
          <w:top w:val="nil"/>
          <w:left w:val="nil"/>
          <w:bottom w:val="nil"/>
          <w:right w:val="nil"/>
          <w:between w:val="nil"/>
          <w:bar w:val="nil"/>
        </w:pBdr>
        <w:spacing w:before="60" w:after="60" w:line="240" w:lineRule="auto"/>
        <w:jc w:val="both"/>
        <w:rPr>
          <w:rFonts w:ascii="Verdana" w:hAnsi="Verdana" w:cs="Arial"/>
          <w:sz w:val="24"/>
          <w:szCs w:val="24"/>
        </w:rPr>
      </w:pPr>
    </w:p>
    <w:p w14:paraId="556BD636" w14:textId="77777777" w:rsidR="004879A8" w:rsidRDefault="004879A8" w:rsidP="14C3F490">
      <w:pPr>
        <w:pBdr>
          <w:top w:val="nil"/>
          <w:left w:val="nil"/>
          <w:bottom w:val="nil"/>
          <w:right w:val="nil"/>
          <w:between w:val="nil"/>
          <w:bar w:val="nil"/>
        </w:pBdr>
        <w:spacing w:before="60" w:after="60" w:line="240" w:lineRule="auto"/>
        <w:jc w:val="both"/>
        <w:rPr>
          <w:rFonts w:ascii="Verdana" w:hAnsi="Verdana" w:cs="Arial"/>
          <w:sz w:val="24"/>
          <w:szCs w:val="24"/>
        </w:rPr>
      </w:pPr>
    </w:p>
    <w:p w14:paraId="65FAEF3E" w14:textId="77777777" w:rsidR="004879A8" w:rsidRPr="009A730B" w:rsidRDefault="004879A8" w:rsidP="14C3F490">
      <w:pPr>
        <w:pBdr>
          <w:top w:val="nil"/>
          <w:left w:val="nil"/>
          <w:bottom w:val="nil"/>
          <w:right w:val="nil"/>
          <w:between w:val="nil"/>
          <w:bar w:val="nil"/>
        </w:pBdr>
        <w:spacing w:before="60" w:after="60" w:line="240" w:lineRule="auto"/>
        <w:jc w:val="both"/>
        <w:rPr>
          <w:rFonts w:ascii="Verdana" w:hAnsi="Verdana" w:cs="Arial"/>
          <w:sz w:val="24"/>
          <w:szCs w:val="24"/>
        </w:rPr>
      </w:pPr>
    </w:p>
    <w:p w14:paraId="2CE44F74" w14:textId="6755E6FA" w:rsidR="7860B649" w:rsidRPr="000A1158" w:rsidRDefault="7860B649" w:rsidP="00C2615D">
      <w:pPr>
        <w:pStyle w:val="ListParagraph"/>
        <w:numPr>
          <w:ilvl w:val="2"/>
          <w:numId w:val="32"/>
        </w:numPr>
        <w:pBdr>
          <w:top w:val="nil"/>
          <w:left w:val="nil"/>
          <w:bottom w:val="nil"/>
          <w:right w:val="nil"/>
          <w:between w:val="nil"/>
          <w:bar w:val="nil"/>
        </w:pBdr>
        <w:spacing w:before="60" w:after="60" w:line="240" w:lineRule="auto"/>
        <w:jc w:val="both"/>
        <w:rPr>
          <w:rFonts w:ascii="Verdana" w:hAnsi="Verdana" w:cs="Arial"/>
          <w:b/>
          <w:bCs/>
          <w:sz w:val="24"/>
          <w:szCs w:val="24"/>
        </w:rPr>
      </w:pPr>
      <w:r w:rsidRPr="000A1158">
        <w:rPr>
          <w:rFonts w:ascii="Verdana" w:hAnsi="Verdana" w:cs="Arial"/>
          <w:b/>
          <w:bCs/>
          <w:sz w:val="24"/>
          <w:szCs w:val="24"/>
        </w:rPr>
        <w:lastRenderedPageBreak/>
        <w:t xml:space="preserve">Highlight report: Prevention of Suicide  </w:t>
      </w:r>
    </w:p>
    <w:p w14:paraId="3099C56B" w14:textId="4A491EB6" w:rsidR="707482D0" w:rsidRPr="009A730B" w:rsidRDefault="707482D0" w:rsidP="14C3F490">
      <w:pPr>
        <w:pBdr>
          <w:top w:val="nil"/>
          <w:left w:val="nil"/>
          <w:bottom w:val="nil"/>
          <w:right w:val="nil"/>
          <w:between w:val="nil"/>
        </w:pBdr>
        <w:spacing w:before="60" w:after="60" w:line="240" w:lineRule="auto"/>
        <w:jc w:val="both"/>
        <w:rPr>
          <w:rFonts w:ascii="Verdana" w:eastAsia="Calibri" w:hAnsi="Verdana" w:cs="Arial"/>
          <w:sz w:val="24"/>
          <w:szCs w:val="24"/>
        </w:rPr>
      </w:pPr>
      <w:r w:rsidRPr="009A730B">
        <w:rPr>
          <w:rFonts w:ascii="Verdana" w:eastAsia="Calibri" w:hAnsi="Verdana" w:cs="Arial"/>
          <w:sz w:val="24"/>
          <w:szCs w:val="24"/>
        </w:rPr>
        <w:t>The Committee received a Highlight Report on the Prevention of Suicide Priority, which emphasised the need for a strengthened and coordinated strategic approach to suicide and self-harm prevention across the Health Board. The report provided an update on recent data relating to suspected suicide deaths, including the position across Mid and West Wales, alongside the current national policy context. Members were also informed of progress following a multi-agency conference held in February 2025, including proposals to enhance local governance and partnership arrangements. The Committee used this report to strengthen its oversight of the Suicide Prevention Quality Priority, ensuring alignment with national strategies and that appropriate governance arrangements were in place to support improvement and reduce risk.</w:t>
      </w:r>
    </w:p>
    <w:p w14:paraId="4EBA2C6A" w14:textId="5FF1BC43" w:rsidR="14C3F490" w:rsidRPr="009A730B" w:rsidRDefault="14C3F490" w:rsidP="14C3F490">
      <w:pPr>
        <w:pBdr>
          <w:top w:val="nil"/>
          <w:left w:val="nil"/>
          <w:bottom w:val="nil"/>
          <w:right w:val="nil"/>
          <w:between w:val="nil"/>
          <w:bar w:val="nil"/>
        </w:pBdr>
        <w:spacing w:before="60" w:after="60" w:line="240" w:lineRule="auto"/>
        <w:jc w:val="both"/>
        <w:rPr>
          <w:rFonts w:ascii="Verdana" w:hAnsi="Verdana" w:cs="Arial"/>
          <w:sz w:val="24"/>
          <w:szCs w:val="24"/>
        </w:rPr>
      </w:pPr>
    </w:p>
    <w:p w14:paraId="099B99A9" w14:textId="6F10D9D3" w:rsidR="6078134C" w:rsidRPr="000A1158" w:rsidRDefault="6078134C" w:rsidP="00C2615D">
      <w:pPr>
        <w:pStyle w:val="ListParagraph"/>
        <w:numPr>
          <w:ilvl w:val="2"/>
          <w:numId w:val="32"/>
        </w:numPr>
        <w:pBdr>
          <w:top w:val="nil"/>
          <w:left w:val="nil"/>
          <w:bottom w:val="nil"/>
          <w:right w:val="nil"/>
          <w:between w:val="nil"/>
          <w:bar w:val="nil"/>
        </w:pBdr>
        <w:spacing w:before="60" w:after="60" w:line="240" w:lineRule="auto"/>
        <w:jc w:val="both"/>
        <w:rPr>
          <w:rFonts w:ascii="Verdana" w:hAnsi="Verdana" w:cs="Arial"/>
          <w:b/>
          <w:bCs/>
          <w:sz w:val="24"/>
          <w:szCs w:val="24"/>
        </w:rPr>
      </w:pPr>
      <w:r w:rsidRPr="000A1158">
        <w:rPr>
          <w:rFonts w:ascii="Verdana" w:hAnsi="Verdana" w:cs="Arial"/>
          <w:b/>
          <w:bCs/>
          <w:sz w:val="24"/>
          <w:szCs w:val="24"/>
        </w:rPr>
        <w:t>Listening to People</w:t>
      </w:r>
    </w:p>
    <w:p w14:paraId="5E8A384A" w14:textId="2D36F81C" w:rsidR="1F7BF9EE" w:rsidRPr="009A730B" w:rsidRDefault="1F7BF9EE" w:rsidP="14C3F490">
      <w:pPr>
        <w:pBdr>
          <w:top w:val="nil"/>
          <w:left w:val="nil"/>
          <w:bottom w:val="nil"/>
          <w:right w:val="nil"/>
          <w:between w:val="nil"/>
        </w:pBdr>
        <w:spacing w:before="60" w:after="60" w:line="240" w:lineRule="auto"/>
        <w:jc w:val="both"/>
        <w:rPr>
          <w:rFonts w:ascii="Verdana" w:eastAsia="Calibri" w:hAnsi="Verdana" w:cs="Arial"/>
          <w:sz w:val="24"/>
          <w:szCs w:val="24"/>
        </w:rPr>
      </w:pPr>
      <w:r w:rsidRPr="009A730B">
        <w:rPr>
          <w:rFonts w:ascii="Verdana" w:eastAsia="Calibri" w:hAnsi="Verdana" w:cs="Arial"/>
          <w:sz w:val="24"/>
          <w:szCs w:val="24"/>
        </w:rPr>
        <w:t>The Listening to People framework update supported the effective management of concerns, complaints, incidents and redress processes across the Health Board. The framework emphasises the importance of robust internal reporting and governance arrangements to ensure that patient, family and staff feedback is captured, monitored and used to drive learning and improvement. This includes the systematic recording of concerns, tracking of resolution and timescales, and identification of emerging themes and risks, with findings reported through organisational governance structures, including the Quality and Safety Committee and Board. Through this approach, the Committee maintained oversight of patient experience and ensured that learning from feedback contributed to improvements in quality, safety and service delivery.</w:t>
      </w:r>
    </w:p>
    <w:p w14:paraId="0ACC5415" w14:textId="11C9410C" w:rsidR="14C3F490" w:rsidRPr="009A730B" w:rsidRDefault="14C3F490" w:rsidP="14C3F490">
      <w:pPr>
        <w:pBdr>
          <w:top w:val="nil"/>
          <w:left w:val="nil"/>
          <w:bottom w:val="nil"/>
          <w:right w:val="nil"/>
          <w:between w:val="nil"/>
        </w:pBdr>
        <w:spacing w:before="60" w:after="60" w:line="240" w:lineRule="auto"/>
        <w:jc w:val="both"/>
        <w:rPr>
          <w:rFonts w:ascii="Verdana" w:eastAsia="Calibri" w:hAnsi="Verdana" w:cs="Arial"/>
          <w:sz w:val="24"/>
          <w:szCs w:val="24"/>
        </w:rPr>
      </w:pPr>
    </w:p>
    <w:p w14:paraId="308E034C" w14:textId="6DA3B597" w:rsidR="5940A348" w:rsidRPr="00415BC9" w:rsidRDefault="5940A348" w:rsidP="00C2615D">
      <w:pPr>
        <w:pStyle w:val="ListParagraph"/>
        <w:numPr>
          <w:ilvl w:val="2"/>
          <w:numId w:val="32"/>
        </w:numPr>
        <w:pBdr>
          <w:top w:val="nil"/>
          <w:left w:val="nil"/>
          <w:bottom w:val="nil"/>
          <w:right w:val="nil"/>
          <w:between w:val="nil"/>
        </w:pBdr>
        <w:spacing w:before="60" w:after="60" w:line="240" w:lineRule="auto"/>
        <w:jc w:val="both"/>
        <w:rPr>
          <w:rFonts w:ascii="Verdana" w:hAnsi="Verdana" w:cs="Arial"/>
          <w:b/>
          <w:bCs/>
          <w:sz w:val="24"/>
          <w:szCs w:val="24"/>
        </w:rPr>
      </w:pPr>
      <w:r w:rsidRPr="00415BC9">
        <w:rPr>
          <w:rFonts w:ascii="Verdana" w:hAnsi="Verdana" w:cs="Arial"/>
          <w:b/>
          <w:bCs/>
          <w:sz w:val="24"/>
          <w:szCs w:val="24"/>
        </w:rPr>
        <w:t xml:space="preserve">Clinical Outcomes and Effectiveness </w:t>
      </w:r>
    </w:p>
    <w:p w14:paraId="675B1AAA" w14:textId="51E8DB0F" w:rsidR="5940A348" w:rsidRPr="009A730B" w:rsidRDefault="5940A348" w:rsidP="14C3F490">
      <w:pPr>
        <w:pBdr>
          <w:top w:val="nil"/>
          <w:left w:val="nil"/>
          <w:bottom w:val="nil"/>
          <w:right w:val="nil"/>
          <w:between w:val="nil"/>
        </w:pBdr>
        <w:spacing w:before="60" w:after="60" w:line="240" w:lineRule="auto"/>
        <w:jc w:val="both"/>
        <w:rPr>
          <w:rFonts w:ascii="Verdana" w:eastAsia="Calibri" w:hAnsi="Verdana" w:cs="Arial"/>
          <w:sz w:val="24"/>
          <w:szCs w:val="24"/>
        </w:rPr>
      </w:pPr>
      <w:r w:rsidRPr="009A730B">
        <w:rPr>
          <w:rFonts w:ascii="Verdana" w:eastAsia="Calibri" w:hAnsi="Verdana" w:cs="Arial"/>
          <w:sz w:val="24"/>
          <w:szCs w:val="24"/>
        </w:rPr>
        <w:t>The Committee received updates on Clinical Outcomes and Effectiveness, providing oversight of the Clinical Outcomes and Effectiveness Group (COEG) and progress in delivering the Health Board’s clinical audit programme. Improvements in audit completion rates were noted across recent reporting periods, alongside regular deep dive reviews and structured audit oversight arrangements. The Committee was also advised of the effective escalation of outstanding responses to national guidance and the sharing of learning from mortality reviews to support continuous improvement. The Committee took assurance from the progress reported, recognising the importance of maintaining high levels of audit compliance and strengthening organisational learning to improve patient outcomes.</w:t>
      </w:r>
    </w:p>
    <w:p w14:paraId="5D1E0099" w14:textId="6F1F0A04" w:rsidR="14C3F490" w:rsidRPr="009A730B" w:rsidRDefault="14C3F490" w:rsidP="14C3F490">
      <w:pPr>
        <w:pBdr>
          <w:top w:val="nil"/>
          <w:left w:val="nil"/>
          <w:bottom w:val="nil"/>
          <w:right w:val="nil"/>
          <w:between w:val="nil"/>
        </w:pBdr>
        <w:spacing w:before="60" w:after="60" w:line="240" w:lineRule="auto"/>
        <w:jc w:val="both"/>
        <w:rPr>
          <w:rFonts w:ascii="Verdana" w:eastAsia="Calibri" w:hAnsi="Verdana" w:cs="Arial"/>
          <w:sz w:val="24"/>
          <w:szCs w:val="24"/>
        </w:rPr>
      </w:pPr>
    </w:p>
    <w:p w14:paraId="2D627C3A" w14:textId="79EF2FAA" w:rsidR="009C0243" w:rsidRPr="00F941A9" w:rsidRDefault="00F941A9" w:rsidP="00F941A9">
      <w:pPr>
        <w:pBdr>
          <w:top w:val="nil"/>
          <w:left w:val="nil"/>
          <w:bottom w:val="nil"/>
          <w:right w:val="nil"/>
          <w:between w:val="nil"/>
          <w:bar w:val="nil"/>
        </w:pBdr>
        <w:snapToGrid w:val="0"/>
        <w:spacing w:before="60" w:after="60" w:line="240" w:lineRule="auto"/>
        <w:jc w:val="both"/>
        <w:rPr>
          <w:rFonts w:ascii="Verdana" w:hAnsi="Verdana" w:cs="Arial"/>
          <w:b/>
          <w:bCs/>
          <w:sz w:val="24"/>
          <w:szCs w:val="24"/>
          <w:u w:val="single"/>
        </w:rPr>
      </w:pPr>
      <w:r w:rsidRPr="00F941A9">
        <w:rPr>
          <w:rFonts w:ascii="Verdana" w:hAnsi="Verdana" w:cs="Arial"/>
          <w:b/>
          <w:bCs/>
          <w:sz w:val="24"/>
          <w:szCs w:val="24"/>
        </w:rPr>
        <w:t>4.2.14</w:t>
      </w:r>
      <w:r>
        <w:rPr>
          <w:rFonts w:ascii="Verdana" w:hAnsi="Verdana" w:cs="Arial"/>
          <w:b/>
          <w:bCs/>
          <w:sz w:val="24"/>
          <w:szCs w:val="24"/>
          <w:u w:val="single"/>
        </w:rPr>
        <w:t xml:space="preserve"> </w:t>
      </w:r>
      <w:r w:rsidR="2FAC60BF" w:rsidRPr="00F941A9">
        <w:rPr>
          <w:rFonts w:ascii="Verdana" w:hAnsi="Verdana" w:cs="Arial"/>
          <w:b/>
          <w:bCs/>
          <w:sz w:val="24"/>
          <w:szCs w:val="24"/>
        </w:rPr>
        <w:t xml:space="preserve">Health Board Risk Register  </w:t>
      </w:r>
    </w:p>
    <w:p w14:paraId="5CE9637C" w14:textId="2C8D7F4E" w:rsidR="009C0243" w:rsidRPr="009A730B" w:rsidRDefault="1BC2D8ED" w:rsidP="472B78E8">
      <w:pPr>
        <w:pBdr>
          <w:top w:val="nil"/>
          <w:left w:val="nil"/>
          <w:bottom w:val="nil"/>
          <w:right w:val="nil"/>
          <w:between w:val="nil"/>
        </w:pBdr>
        <w:spacing w:before="60" w:after="60" w:line="240" w:lineRule="auto"/>
        <w:jc w:val="both"/>
        <w:rPr>
          <w:rFonts w:ascii="Verdana" w:eastAsia="Calibri" w:hAnsi="Verdana" w:cs="Arial"/>
          <w:sz w:val="24"/>
          <w:szCs w:val="24"/>
        </w:rPr>
      </w:pPr>
      <w:r w:rsidRPr="009A730B">
        <w:rPr>
          <w:rFonts w:ascii="Verdana" w:eastAsia="Calibri" w:hAnsi="Verdana" w:cs="Arial"/>
          <w:sz w:val="24"/>
          <w:szCs w:val="24"/>
        </w:rPr>
        <w:t>The Quality and Safety Committee received regular updates on the Health Board Risk Register, providing oversight of key organisational risks and the effectiveness of mitigation actions. The Committee noted a number of high-</w:t>
      </w:r>
      <w:r w:rsidRPr="009A730B">
        <w:rPr>
          <w:rFonts w:ascii="Verdana" w:eastAsia="Calibri" w:hAnsi="Verdana" w:cs="Arial"/>
          <w:sz w:val="24"/>
          <w:szCs w:val="24"/>
        </w:rPr>
        <w:lastRenderedPageBreak/>
        <w:t>risk areas that remained above the Health Board’s risk appetite, including pressures within mental health services, safeguarding demands, and wider system challenges impacting quality and safety. Ongoing work to strengthen risk management arrangements was also highlighted, including the review and realignment of risks across strategic and corporate registers to improve visibility and oversight. The Committee emphasised the need for more timely updates, clearer accountability, and enhanced cross-committee coordination to ensure risks were effectively managed and escalated where required to support patient and service safety.</w:t>
      </w:r>
    </w:p>
    <w:p w14:paraId="6CF60412" w14:textId="3E705AF5" w:rsidR="009C0243" w:rsidRPr="009A730B" w:rsidRDefault="009C0243" w:rsidP="472B78E8">
      <w:pPr>
        <w:pBdr>
          <w:top w:val="nil"/>
          <w:left w:val="nil"/>
          <w:bottom w:val="nil"/>
          <w:right w:val="nil"/>
          <w:between w:val="nil"/>
          <w:bar w:val="nil"/>
        </w:pBdr>
        <w:spacing w:before="60" w:after="60" w:line="240" w:lineRule="auto"/>
        <w:jc w:val="both"/>
        <w:rPr>
          <w:rFonts w:ascii="Verdana" w:hAnsi="Verdana" w:cs="Arial"/>
          <w:b/>
          <w:bCs/>
          <w:sz w:val="24"/>
          <w:szCs w:val="24"/>
        </w:rPr>
      </w:pPr>
    </w:p>
    <w:p w14:paraId="1AA6323E" w14:textId="4BB42B2A" w:rsidR="009C0243" w:rsidRPr="00FC0589" w:rsidRDefault="435AF5BB" w:rsidP="00C2615D">
      <w:pPr>
        <w:pStyle w:val="ListParagraph"/>
        <w:numPr>
          <w:ilvl w:val="2"/>
          <w:numId w:val="45"/>
        </w:numPr>
        <w:pBdr>
          <w:top w:val="nil"/>
          <w:left w:val="nil"/>
          <w:bottom w:val="nil"/>
          <w:right w:val="nil"/>
          <w:between w:val="nil"/>
          <w:bar w:val="nil"/>
        </w:pBdr>
        <w:snapToGrid w:val="0"/>
        <w:spacing w:before="60" w:after="60" w:line="240" w:lineRule="auto"/>
        <w:jc w:val="both"/>
        <w:rPr>
          <w:rFonts w:ascii="Verdana" w:hAnsi="Verdana" w:cs="Arial"/>
          <w:b/>
          <w:bCs/>
        </w:rPr>
      </w:pPr>
      <w:r w:rsidRPr="00FC0589">
        <w:rPr>
          <w:rFonts w:ascii="Verdana" w:hAnsi="Verdana" w:cs="Arial"/>
          <w:b/>
          <w:bCs/>
          <w:sz w:val="24"/>
          <w:szCs w:val="24"/>
        </w:rPr>
        <w:t xml:space="preserve">Committee Self-Assessment  </w:t>
      </w:r>
    </w:p>
    <w:p w14:paraId="51C3F0D6" w14:textId="7C7C4551" w:rsidR="009C0243" w:rsidRPr="009A730B" w:rsidRDefault="5F582B4D" w:rsidP="14C3F490">
      <w:pPr>
        <w:pBdr>
          <w:top w:val="nil"/>
          <w:left w:val="nil"/>
          <w:bottom w:val="nil"/>
          <w:right w:val="nil"/>
          <w:between w:val="nil"/>
        </w:pBdr>
        <w:spacing w:before="60" w:after="60" w:line="240" w:lineRule="auto"/>
        <w:jc w:val="both"/>
        <w:rPr>
          <w:rFonts w:ascii="Verdana" w:eastAsia="Calibri" w:hAnsi="Verdana" w:cs="Arial"/>
          <w:sz w:val="24"/>
          <w:szCs w:val="24"/>
        </w:rPr>
      </w:pPr>
      <w:r w:rsidRPr="009A730B">
        <w:rPr>
          <w:rFonts w:ascii="Verdana" w:eastAsia="Calibri" w:hAnsi="Verdana" w:cs="Arial"/>
          <w:sz w:val="24"/>
          <w:szCs w:val="24"/>
        </w:rPr>
        <w:t>The Committee received the Committee Self-Assessment which set out the findings of its annual self-assessment of effectiveness against its Terms of Reference and Work Programme. The self-assessment process, undertaken in line with governance requirements and supported by a standardised template, incorporated feedback from Independent Members, Executive Directors and regular attendees to evaluate performance across key areas of committee focus, engagement and effectiveness. In response to the Audit Wales structured assessment, the Committee adopted a bi-annual review approach to strengthen oversight of its own effectiveness. The findings informed discussion on areas of good practice and opportunities for improvement, enabling the Committee to agree actions and enhancements to support continuous development and strengthen its assurance role to the Board.</w:t>
      </w:r>
    </w:p>
    <w:p w14:paraId="62D81414" w14:textId="233F84BF" w:rsidR="009C0243" w:rsidRPr="009A730B" w:rsidRDefault="009C0243" w:rsidP="14C3F490">
      <w:pPr>
        <w:pBdr>
          <w:top w:val="nil"/>
          <w:left w:val="nil"/>
          <w:bottom w:val="nil"/>
          <w:right w:val="nil"/>
          <w:between w:val="nil"/>
        </w:pBdr>
        <w:snapToGrid w:val="0"/>
        <w:spacing w:before="60" w:after="60" w:line="240" w:lineRule="auto"/>
        <w:jc w:val="both"/>
        <w:rPr>
          <w:rFonts w:ascii="Verdana" w:hAnsi="Verdana" w:cs="Arial"/>
          <w:sz w:val="24"/>
          <w:szCs w:val="24"/>
        </w:rPr>
      </w:pPr>
    </w:p>
    <w:p w14:paraId="5D96E7F0" w14:textId="6FDAD7DE" w:rsidR="009C0243" w:rsidRPr="00811B6E" w:rsidRDefault="6F116224" w:rsidP="00C2615D">
      <w:pPr>
        <w:pStyle w:val="ListParagraph"/>
        <w:numPr>
          <w:ilvl w:val="2"/>
          <w:numId w:val="45"/>
        </w:numPr>
        <w:pBdr>
          <w:top w:val="nil"/>
          <w:left w:val="nil"/>
          <w:bottom w:val="nil"/>
          <w:right w:val="nil"/>
          <w:between w:val="nil"/>
          <w:bar w:val="nil"/>
        </w:pBdr>
        <w:snapToGrid w:val="0"/>
        <w:spacing w:before="60" w:after="60" w:line="240" w:lineRule="auto"/>
        <w:jc w:val="both"/>
        <w:rPr>
          <w:rFonts w:ascii="Verdana" w:hAnsi="Verdana" w:cs="Arial"/>
          <w:b/>
          <w:bCs/>
        </w:rPr>
      </w:pPr>
      <w:r w:rsidRPr="00811B6E">
        <w:rPr>
          <w:rFonts w:ascii="Verdana" w:hAnsi="Verdana" w:cs="Arial"/>
          <w:b/>
          <w:bCs/>
          <w:sz w:val="24"/>
          <w:szCs w:val="24"/>
        </w:rPr>
        <w:t>Board Effectiveness Action plan</w:t>
      </w:r>
    </w:p>
    <w:p w14:paraId="0E6C7DD6" w14:textId="4AABD78F" w:rsidR="009C0243" w:rsidRPr="00BF21BD" w:rsidRDefault="5B858521" w:rsidP="00BF21BD">
      <w:pPr>
        <w:pBdr>
          <w:top w:val="nil"/>
          <w:left w:val="nil"/>
          <w:bottom w:val="nil"/>
          <w:right w:val="nil"/>
          <w:between w:val="nil"/>
        </w:pBdr>
        <w:snapToGrid w:val="0"/>
        <w:spacing w:before="60" w:after="60" w:line="240" w:lineRule="auto"/>
        <w:jc w:val="both"/>
        <w:rPr>
          <w:rFonts w:ascii="Verdana" w:eastAsia="Calibri" w:hAnsi="Verdana" w:cs="Arial"/>
          <w:sz w:val="24"/>
          <w:szCs w:val="24"/>
        </w:rPr>
      </w:pPr>
      <w:r w:rsidRPr="009A730B">
        <w:rPr>
          <w:rFonts w:ascii="Verdana" w:eastAsia="Calibri" w:hAnsi="Verdana" w:cs="Arial"/>
          <w:sz w:val="24"/>
          <w:szCs w:val="24"/>
        </w:rPr>
        <w:t>The Committee received updates on the Board Effectiveness Action Plan, which tracked progress against actions to strengthen governance and internal controls following internal and external review, including Audit Wales recommendations. The majority of actions were progressed or completed, with remaining actions subject to ongoing monitoring through established governance arrangements, enabling the Committee to gain assurance on Board effectiveness and identify any areas requiring further scrutiny.</w:t>
      </w:r>
    </w:p>
    <w:p w14:paraId="5566CE32" w14:textId="2525A14A" w:rsidR="009C0243" w:rsidRPr="00BF21BD" w:rsidRDefault="63614134" w:rsidP="00C2615D">
      <w:pPr>
        <w:pStyle w:val="ListParagraph"/>
        <w:numPr>
          <w:ilvl w:val="2"/>
          <w:numId w:val="45"/>
        </w:numPr>
        <w:pBdr>
          <w:top w:val="nil"/>
          <w:left w:val="nil"/>
          <w:bottom w:val="nil"/>
          <w:right w:val="nil"/>
          <w:between w:val="nil"/>
          <w:bar w:val="nil"/>
        </w:pBdr>
        <w:snapToGrid w:val="0"/>
        <w:spacing w:before="60" w:after="60" w:line="240" w:lineRule="auto"/>
        <w:jc w:val="both"/>
        <w:rPr>
          <w:rFonts w:ascii="Verdana" w:hAnsi="Verdana" w:cs="Arial"/>
          <w:b/>
          <w:bCs/>
        </w:rPr>
      </w:pPr>
      <w:r w:rsidRPr="00BF21BD">
        <w:rPr>
          <w:rFonts w:ascii="Verdana" w:hAnsi="Verdana" w:cs="Arial"/>
          <w:b/>
          <w:bCs/>
          <w:sz w:val="24"/>
          <w:szCs w:val="24"/>
        </w:rPr>
        <w:t xml:space="preserve">Terms of Reference </w:t>
      </w:r>
    </w:p>
    <w:p w14:paraId="0566C44A" w14:textId="6386CEA1" w:rsidR="595AF66C" w:rsidRPr="009A730B" w:rsidRDefault="595AF66C" w:rsidP="14C3F490">
      <w:pPr>
        <w:pBdr>
          <w:top w:val="nil"/>
          <w:left w:val="nil"/>
          <w:bottom w:val="nil"/>
          <w:right w:val="nil"/>
          <w:between w:val="nil"/>
        </w:pBdr>
        <w:spacing w:before="60" w:after="60" w:line="240" w:lineRule="auto"/>
        <w:jc w:val="both"/>
        <w:rPr>
          <w:rFonts w:ascii="Verdana" w:eastAsia="Calibri" w:hAnsi="Verdana" w:cs="Arial"/>
          <w:sz w:val="24"/>
          <w:szCs w:val="24"/>
        </w:rPr>
      </w:pPr>
      <w:r w:rsidRPr="009A730B">
        <w:rPr>
          <w:rFonts w:ascii="Verdana" w:eastAsia="Calibri" w:hAnsi="Verdana" w:cs="Arial"/>
          <w:sz w:val="24"/>
          <w:szCs w:val="24"/>
        </w:rPr>
        <w:t>The Terms of Reference were reviewed during the reporting period to ensure continued alignment with the Health Board’s governance framework and evolving national requirements. The Terms of Reference clearly set out the Committee’s role in providing assurance to the Board on the quality and safety of services, including oversight of patient safety, clinical effectiveness, patient experience, and compliance with statutory and regulatory requirements. They also defined the Committee’s responsibilities in scrutinising performance, monitoring key risks, and ensuring that appropriate governance arrangements were in place to support continuous improvement.</w:t>
      </w:r>
    </w:p>
    <w:p w14:paraId="7F5D063C" w14:textId="790E16CC" w:rsidR="4C39ED56" w:rsidRPr="009A730B" w:rsidRDefault="4C39ED56" w:rsidP="4C39ED56">
      <w:pPr>
        <w:pBdr>
          <w:top w:val="nil"/>
          <w:left w:val="nil"/>
          <w:bottom w:val="nil"/>
          <w:right w:val="nil"/>
          <w:between w:val="nil"/>
          <w:bar w:val="nil"/>
        </w:pBdr>
        <w:spacing w:before="60" w:after="60" w:line="240" w:lineRule="auto"/>
        <w:jc w:val="both"/>
        <w:rPr>
          <w:rFonts w:ascii="Verdana" w:hAnsi="Verdana" w:cs="Arial"/>
          <w:b/>
          <w:sz w:val="24"/>
          <w:szCs w:val="24"/>
        </w:rPr>
      </w:pPr>
    </w:p>
    <w:p w14:paraId="3697682F" w14:textId="24E6EEE6" w:rsidR="4C39ED56" w:rsidRPr="00BF21BD" w:rsidRDefault="455D50D6" w:rsidP="00C2615D">
      <w:pPr>
        <w:pStyle w:val="ListParagraph"/>
        <w:numPr>
          <w:ilvl w:val="2"/>
          <w:numId w:val="45"/>
        </w:numPr>
        <w:pBdr>
          <w:top w:val="nil"/>
          <w:left w:val="nil"/>
          <w:bottom w:val="nil"/>
          <w:right w:val="nil"/>
          <w:between w:val="nil"/>
          <w:bar w:val="nil"/>
        </w:pBdr>
        <w:spacing w:before="60" w:after="60" w:line="240" w:lineRule="auto"/>
        <w:jc w:val="both"/>
        <w:rPr>
          <w:rFonts w:ascii="Verdana" w:hAnsi="Verdana" w:cs="Arial"/>
          <w:b/>
          <w:sz w:val="24"/>
          <w:szCs w:val="24"/>
        </w:rPr>
      </w:pPr>
      <w:r w:rsidRPr="00BF21BD">
        <w:rPr>
          <w:rFonts w:ascii="Verdana" w:hAnsi="Verdana" w:cs="Arial"/>
          <w:b/>
          <w:sz w:val="24"/>
          <w:szCs w:val="24"/>
        </w:rPr>
        <w:t>Health and Safety</w:t>
      </w:r>
      <w:r w:rsidRPr="00BF21BD">
        <w:rPr>
          <w:rFonts w:ascii="Verdana" w:hAnsi="Verdana" w:cs="Arial"/>
          <w:b/>
          <w:bCs/>
          <w:sz w:val="24"/>
          <w:szCs w:val="24"/>
        </w:rPr>
        <w:t xml:space="preserve"> </w:t>
      </w:r>
    </w:p>
    <w:p w14:paraId="0D8D0994" w14:textId="6F82D543" w:rsidR="2D748D69" w:rsidRPr="009A730B" w:rsidRDefault="2D748D69" w:rsidP="14C3F490">
      <w:pPr>
        <w:pBdr>
          <w:top w:val="nil"/>
          <w:left w:val="nil"/>
          <w:bottom w:val="nil"/>
          <w:right w:val="nil"/>
          <w:between w:val="nil"/>
        </w:pBdr>
        <w:spacing w:before="60" w:after="60" w:line="240" w:lineRule="auto"/>
        <w:jc w:val="both"/>
        <w:rPr>
          <w:rFonts w:ascii="Verdana" w:eastAsia="Calibri" w:hAnsi="Verdana" w:cs="Arial"/>
          <w:sz w:val="24"/>
          <w:szCs w:val="24"/>
        </w:rPr>
      </w:pPr>
      <w:r w:rsidRPr="009A730B">
        <w:rPr>
          <w:rFonts w:ascii="Verdana" w:eastAsia="Calibri" w:hAnsi="Verdana" w:cs="Arial"/>
          <w:sz w:val="24"/>
          <w:szCs w:val="24"/>
        </w:rPr>
        <w:t>Regular Health and Safety reports provided oversight of incidents, risk assessments, and compliance with health and safety requirements across the organisation. These reports highlighted key risks and trends, including workforce training compliance, environmental safety issues, and the need for continued focus on high-risk areas such as estates, manual handling, and fire safety. The Committee utilised these reports to ensure that governance arrangements remained robust and responsive, with a focus on monitoring improvement actions, strengthening risk management processes, and ensuring that areas requiring escalation were appropriately identified to support patient, staff, and public safety.</w:t>
      </w:r>
    </w:p>
    <w:p w14:paraId="27F026FD" w14:textId="4644757D" w:rsidR="14C3F490" w:rsidRPr="009A730B" w:rsidRDefault="14C3F490" w:rsidP="14C3F490">
      <w:pPr>
        <w:pBdr>
          <w:top w:val="nil"/>
          <w:left w:val="nil"/>
          <w:bottom w:val="nil"/>
          <w:right w:val="nil"/>
          <w:between w:val="nil"/>
        </w:pBdr>
        <w:spacing w:before="60" w:after="60" w:line="240" w:lineRule="auto"/>
        <w:jc w:val="both"/>
        <w:rPr>
          <w:rFonts w:ascii="Verdana" w:eastAsia="Calibri" w:hAnsi="Verdana" w:cs="Arial"/>
          <w:sz w:val="24"/>
          <w:szCs w:val="24"/>
        </w:rPr>
      </w:pPr>
    </w:p>
    <w:p w14:paraId="70D3990B" w14:textId="5574A83B" w:rsidR="6A467915" w:rsidRPr="00BF21BD" w:rsidRDefault="6A467915" w:rsidP="00C2615D">
      <w:pPr>
        <w:pStyle w:val="ListParagraph"/>
        <w:numPr>
          <w:ilvl w:val="2"/>
          <w:numId w:val="45"/>
        </w:numPr>
        <w:pBdr>
          <w:top w:val="nil"/>
          <w:left w:val="nil"/>
          <w:bottom w:val="nil"/>
          <w:right w:val="nil"/>
          <w:between w:val="nil"/>
        </w:pBdr>
        <w:spacing w:before="60" w:after="60" w:line="240" w:lineRule="auto"/>
        <w:jc w:val="both"/>
        <w:rPr>
          <w:rFonts w:ascii="Verdana" w:hAnsi="Verdana" w:cs="Arial"/>
          <w:b/>
          <w:bCs/>
          <w:sz w:val="24"/>
          <w:szCs w:val="24"/>
        </w:rPr>
      </w:pPr>
      <w:r w:rsidRPr="00BF21BD">
        <w:rPr>
          <w:rFonts w:ascii="Verdana" w:hAnsi="Verdana" w:cs="Arial"/>
          <w:b/>
          <w:bCs/>
          <w:sz w:val="24"/>
          <w:szCs w:val="24"/>
        </w:rPr>
        <w:t>Welsh Language Annual report</w:t>
      </w:r>
    </w:p>
    <w:p w14:paraId="1A19A045" w14:textId="6B841EAA" w:rsidR="534A82CB" w:rsidRPr="009A730B" w:rsidRDefault="534A82CB" w:rsidP="14C3F490">
      <w:pPr>
        <w:pBdr>
          <w:top w:val="nil"/>
          <w:left w:val="nil"/>
          <w:bottom w:val="nil"/>
          <w:right w:val="nil"/>
          <w:between w:val="nil"/>
        </w:pBdr>
        <w:spacing w:before="60" w:after="60" w:line="240" w:lineRule="auto"/>
        <w:jc w:val="both"/>
        <w:rPr>
          <w:rFonts w:ascii="Verdana" w:eastAsia="Calibri" w:hAnsi="Verdana" w:cs="Arial"/>
          <w:sz w:val="24"/>
          <w:szCs w:val="24"/>
        </w:rPr>
      </w:pPr>
      <w:r w:rsidRPr="009A730B">
        <w:rPr>
          <w:rFonts w:ascii="Verdana" w:eastAsia="Calibri" w:hAnsi="Verdana" w:cs="Arial"/>
          <w:sz w:val="24"/>
          <w:szCs w:val="24"/>
        </w:rPr>
        <w:t xml:space="preserve">The Committee received the Welsh Language Annual Report, which provided an overview of compliance with Welsh Language Standards and statutory reporting requirements. The Committee </w:t>
      </w:r>
      <w:r w:rsidRPr="009A730B">
        <w:rPr>
          <w:rFonts w:ascii="Verdana" w:eastAsia="Calibri" w:hAnsi="Verdana" w:cs="Arial"/>
          <w:i/>
          <w:iCs/>
          <w:sz w:val="24"/>
          <w:szCs w:val="24"/>
        </w:rPr>
        <w:t xml:space="preserve">approved </w:t>
      </w:r>
      <w:r w:rsidRPr="009A730B">
        <w:rPr>
          <w:rFonts w:ascii="Verdana" w:eastAsia="Calibri" w:hAnsi="Verdana" w:cs="Arial"/>
          <w:sz w:val="24"/>
          <w:szCs w:val="24"/>
        </w:rPr>
        <w:t>the report for escalation to Board, recognising its importance in demonstrating compliance and supporting the delivery of Welsh language services across the Health Board.</w:t>
      </w:r>
    </w:p>
    <w:p w14:paraId="4450271E" w14:textId="52A7D890" w:rsidR="48B74AD2" w:rsidRPr="009A730B" w:rsidRDefault="48B74AD2" w:rsidP="14C3F490">
      <w:pPr>
        <w:pBdr>
          <w:top w:val="nil"/>
          <w:left w:val="nil"/>
          <w:bottom w:val="nil"/>
          <w:right w:val="nil"/>
          <w:between w:val="nil"/>
        </w:pBdr>
        <w:spacing w:before="60" w:after="60" w:line="240" w:lineRule="auto"/>
        <w:jc w:val="both"/>
        <w:rPr>
          <w:rFonts w:ascii="Verdana" w:hAnsi="Verdana" w:cs="Arial"/>
          <w:sz w:val="24"/>
          <w:szCs w:val="24"/>
        </w:rPr>
      </w:pPr>
    </w:p>
    <w:p w14:paraId="188F4388" w14:textId="76CC4B95" w:rsidR="00076750" w:rsidRPr="00A76069" w:rsidRDefault="50B75632" w:rsidP="00C2615D">
      <w:pPr>
        <w:pStyle w:val="ListParagraph"/>
        <w:numPr>
          <w:ilvl w:val="2"/>
          <w:numId w:val="45"/>
        </w:numPr>
        <w:pBdr>
          <w:top w:val="nil"/>
          <w:left w:val="nil"/>
          <w:bottom w:val="nil"/>
          <w:right w:val="nil"/>
          <w:between w:val="nil"/>
        </w:pBdr>
        <w:autoSpaceDE w:val="0"/>
        <w:autoSpaceDN w:val="0"/>
        <w:adjustRightInd w:val="0"/>
        <w:spacing w:before="60" w:after="60" w:line="240" w:lineRule="auto"/>
        <w:jc w:val="both"/>
        <w:rPr>
          <w:rFonts w:ascii="Verdana" w:hAnsi="Verdana" w:cs="Arial"/>
          <w:b/>
          <w:bCs/>
          <w:sz w:val="24"/>
          <w:szCs w:val="24"/>
        </w:rPr>
      </w:pPr>
      <w:r w:rsidRPr="00A76069">
        <w:rPr>
          <w:rFonts w:ascii="Verdana" w:hAnsi="Verdana" w:cs="Arial"/>
          <w:b/>
          <w:bCs/>
          <w:sz w:val="24"/>
          <w:szCs w:val="24"/>
        </w:rPr>
        <w:t>Referrals</w:t>
      </w:r>
    </w:p>
    <w:p w14:paraId="7F09CA9B" w14:textId="538219CC" w:rsidR="00076750" w:rsidRPr="009A730B" w:rsidRDefault="50B75632" w:rsidP="14C3F490">
      <w:pPr>
        <w:pBdr>
          <w:top w:val="nil"/>
          <w:left w:val="nil"/>
          <w:bottom w:val="nil"/>
          <w:right w:val="nil"/>
          <w:between w:val="nil"/>
        </w:pBdr>
        <w:autoSpaceDE w:val="0"/>
        <w:autoSpaceDN w:val="0"/>
        <w:adjustRightInd w:val="0"/>
        <w:spacing w:before="60" w:after="60" w:line="240" w:lineRule="auto"/>
        <w:jc w:val="both"/>
        <w:rPr>
          <w:rFonts w:ascii="Verdana" w:eastAsia="Calibri" w:hAnsi="Verdana" w:cs="Arial"/>
          <w:sz w:val="24"/>
          <w:szCs w:val="24"/>
        </w:rPr>
      </w:pPr>
      <w:r w:rsidRPr="009A730B">
        <w:rPr>
          <w:rFonts w:ascii="Verdana" w:eastAsia="Calibri" w:hAnsi="Verdana" w:cs="Arial"/>
          <w:sz w:val="24"/>
          <w:szCs w:val="24"/>
        </w:rPr>
        <w:t>During the reporting period, the Quality and Safety Committee received a number of referrals from other Board Committees to support its oversight of quality, safety and patient experience. Key incoming referrals included the Right Care Right Person initiative from the Mental Health Legislation Committee, stroke performance and benchmarking work from the Performance and Finance Committee, and a Limited Assurance Strategic Equality Plan report from the Audit Committee. Additional referrals included concerns relating to complaints performance and Friends and Family feedback, as well as a patient experience-related staff story from the Workforce and Organisational Development Committee. In turn, the Committee contributed to cross-committee working and Board assurance through formal escalation via its 3A reporting arrangements, ensuring that key risks, performance concerns and governance issues were appropriately highlighted and subject to further scrutiny at Board level.</w:t>
      </w:r>
    </w:p>
    <w:p w14:paraId="2F4E17FC" w14:textId="045A4485" w:rsidR="00076750" w:rsidRPr="009A730B" w:rsidRDefault="00076750" w:rsidP="14C3F490">
      <w:pPr>
        <w:pBdr>
          <w:top w:val="nil"/>
          <w:left w:val="nil"/>
          <w:bottom w:val="nil"/>
          <w:right w:val="nil"/>
          <w:between w:val="nil"/>
        </w:pBdr>
        <w:autoSpaceDE w:val="0"/>
        <w:autoSpaceDN w:val="0"/>
        <w:adjustRightInd w:val="0"/>
        <w:spacing w:before="60" w:after="60" w:line="240" w:lineRule="auto"/>
        <w:jc w:val="both"/>
        <w:rPr>
          <w:rFonts w:ascii="Verdana" w:hAnsi="Verdana" w:cs="Arial"/>
          <w:sz w:val="24"/>
          <w:szCs w:val="24"/>
        </w:rPr>
      </w:pPr>
    </w:p>
    <w:p w14:paraId="30C88B5F" w14:textId="3FBD8E28" w:rsidR="00076750" w:rsidRPr="00A76069" w:rsidRDefault="0EC673B2" w:rsidP="00C2615D">
      <w:pPr>
        <w:pStyle w:val="ListParagraph"/>
        <w:numPr>
          <w:ilvl w:val="1"/>
          <w:numId w:val="45"/>
        </w:numPr>
        <w:autoSpaceDE w:val="0"/>
        <w:autoSpaceDN w:val="0"/>
        <w:adjustRightInd w:val="0"/>
        <w:spacing w:after="0" w:line="240" w:lineRule="auto"/>
        <w:jc w:val="both"/>
        <w:rPr>
          <w:rFonts w:ascii="Verdana" w:hAnsi="Verdana" w:cs="Arial"/>
          <w:b/>
          <w:bCs/>
          <w:sz w:val="24"/>
          <w:szCs w:val="24"/>
          <w:u w:val="single"/>
        </w:rPr>
      </w:pPr>
      <w:r w:rsidRPr="00A76069">
        <w:rPr>
          <w:rFonts w:ascii="Verdana" w:hAnsi="Verdana" w:cs="Arial"/>
          <w:b/>
          <w:bCs/>
          <w:sz w:val="24"/>
          <w:szCs w:val="24"/>
          <w:u w:val="single"/>
        </w:rPr>
        <w:t>Reports Presented for Noting</w:t>
      </w:r>
    </w:p>
    <w:p w14:paraId="34F3D9EA" w14:textId="2A66B400" w:rsidR="6F2B4365" w:rsidRPr="009A730B" w:rsidRDefault="6F2B4365" w:rsidP="6F2B4365">
      <w:pPr>
        <w:spacing w:after="0" w:line="240" w:lineRule="auto"/>
        <w:jc w:val="both"/>
        <w:rPr>
          <w:rFonts w:ascii="Verdana" w:hAnsi="Verdana" w:cs="Arial"/>
          <w:sz w:val="24"/>
          <w:szCs w:val="24"/>
        </w:rPr>
      </w:pPr>
    </w:p>
    <w:p w14:paraId="0CB40DF4" w14:textId="292F4FBE" w:rsidR="5019D5AE" w:rsidRPr="00A76069" w:rsidRDefault="00A76069" w:rsidP="00A76069">
      <w:pPr>
        <w:spacing w:after="0" w:line="240" w:lineRule="auto"/>
        <w:jc w:val="both"/>
        <w:rPr>
          <w:rFonts w:ascii="Verdana" w:hAnsi="Verdana" w:cs="Arial"/>
          <w:b/>
          <w:bCs/>
        </w:rPr>
      </w:pPr>
      <w:r>
        <w:rPr>
          <w:rFonts w:ascii="Verdana" w:hAnsi="Verdana" w:cs="Arial"/>
          <w:b/>
          <w:bCs/>
          <w:sz w:val="24"/>
          <w:szCs w:val="24"/>
        </w:rPr>
        <w:t xml:space="preserve">4.3.1 </w:t>
      </w:r>
      <w:r w:rsidR="5019D5AE" w:rsidRPr="00A76069">
        <w:rPr>
          <w:rFonts w:ascii="Verdana" w:hAnsi="Verdana" w:cs="Arial"/>
          <w:b/>
          <w:bCs/>
          <w:sz w:val="24"/>
          <w:szCs w:val="24"/>
        </w:rPr>
        <w:t>Joint Commissioning Committee Quality and Patient Safety Committee Report</w:t>
      </w:r>
    </w:p>
    <w:p w14:paraId="4B0B0968" w14:textId="57C0C086" w:rsidR="52096069" w:rsidRPr="009A730B" w:rsidRDefault="52096069" w:rsidP="1CE8256A">
      <w:pPr>
        <w:spacing w:after="0" w:line="240" w:lineRule="auto"/>
        <w:jc w:val="both"/>
        <w:rPr>
          <w:rFonts w:ascii="Verdana" w:eastAsia="Calibri" w:hAnsi="Verdana" w:cs="Arial"/>
          <w:sz w:val="24"/>
          <w:szCs w:val="24"/>
        </w:rPr>
      </w:pPr>
      <w:r w:rsidRPr="009A730B">
        <w:rPr>
          <w:rFonts w:ascii="Verdana" w:eastAsia="Calibri" w:hAnsi="Verdana" w:cs="Arial"/>
          <w:sz w:val="24"/>
          <w:szCs w:val="24"/>
        </w:rPr>
        <w:t xml:space="preserve">The Quality and Safety Committee received updates from the Joint Commissioning Committee (JCC) Quality and Patient Safety Report, providing oversight of quality and safety arrangements within commissioned services across Wales. The reports highlighted a range of </w:t>
      </w:r>
      <w:r w:rsidRPr="009A730B">
        <w:rPr>
          <w:rFonts w:ascii="Verdana" w:eastAsia="Calibri" w:hAnsi="Verdana" w:cs="Arial"/>
          <w:sz w:val="24"/>
          <w:szCs w:val="24"/>
        </w:rPr>
        <w:lastRenderedPageBreak/>
        <w:t>risks and areas requiring escalation, including performance challenges, extended waiting times for patients, and concerns within specific commissioned services. The Committee utilised these updates to ensure visibility of risks beyond the Health Board’s direct provision, seeking assurance on governance, performance management, and improvement actions undertaken at a national level. Particular focus was placed on the need for continued monitoring, escalation of concerns where required, and ensuring that risks to patient safety and service quality were effectively managed within commissioned services</w:t>
      </w:r>
    </w:p>
    <w:p w14:paraId="0AC66257" w14:textId="16970AF4" w:rsidR="6F2B4365" w:rsidRPr="009A730B" w:rsidRDefault="6F2B4365" w:rsidP="14C3F490">
      <w:pPr>
        <w:spacing w:after="0" w:line="240" w:lineRule="auto"/>
        <w:jc w:val="both"/>
        <w:rPr>
          <w:rFonts w:ascii="Verdana" w:hAnsi="Verdana" w:cs="Arial"/>
          <w:sz w:val="24"/>
          <w:szCs w:val="24"/>
        </w:rPr>
      </w:pPr>
    </w:p>
    <w:p w14:paraId="6BD86EE8" w14:textId="6B0CE9A4" w:rsidR="6F2B4365" w:rsidRPr="009A730B" w:rsidRDefault="6F2B4365" w:rsidP="14C3F490">
      <w:pPr>
        <w:spacing w:after="0" w:line="240" w:lineRule="auto"/>
        <w:jc w:val="both"/>
        <w:rPr>
          <w:rFonts w:ascii="Verdana" w:hAnsi="Verdana" w:cs="Arial"/>
          <w:sz w:val="24"/>
          <w:szCs w:val="24"/>
        </w:rPr>
      </w:pPr>
    </w:p>
    <w:p w14:paraId="406F21D6" w14:textId="09C7A6E9" w:rsidR="6F2B4365" w:rsidRPr="00BA58CF" w:rsidRDefault="69D75CDC" w:rsidP="00C2615D">
      <w:pPr>
        <w:pStyle w:val="ListParagraph"/>
        <w:numPr>
          <w:ilvl w:val="2"/>
          <w:numId w:val="33"/>
        </w:numPr>
        <w:spacing w:after="0" w:line="240" w:lineRule="auto"/>
        <w:jc w:val="both"/>
        <w:rPr>
          <w:rFonts w:ascii="Verdana" w:hAnsi="Verdana" w:cs="Arial"/>
          <w:b/>
          <w:bCs/>
          <w:sz w:val="24"/>
          <w:szCs w:val="24"/>
        </w:rPr>
      </w:pPr>
      <w:r w:rsidRPr="00BA58CF">
        <w:rPr>
          <w:rFonts w:ascii="Verdana" w:hAnsi="Verdana" w:cs="Arial"/>
          <w:b/>
          <w:bCs/>
          <w:sz w:val="24"/>
          <w:szCs w:val="24"/>
        </w:rPr>
        <w:t>Patient Experience and Concerns Management</w:t>
      </w:r>
      <w:r w:rsidR="4D1466EA" w:rsidRPr="00BA58CF">
        <w:rPr>
          <w:rFonts w:ascii="Verdana" w:hAnsi="Verdana" w:cs="Arial"/>
          <w:b/>
          <w:bCs/>
          <w:sz w:val="24"/>
          <w:szCs w:val="24"/>
        </w:rPr>
        <w:t xml:space="preserve"> </w:t>
      </w:r>
    </w:p>
    <w:p w14:paraId="61102D17" w14:textId="0205A983" w:rsidR="588FDA55" w:rsidRPr="009A730B" w:rsidRDefault="588FDA55" w:rsidP="14C3F490">
      <w:pPr>
        <w:spacing w:after="0" w:line="240" w:lineRule="auto"/>
        <w:jc w:val="both"/>
        <w:rPr>
          <w:rFonts w:ascii="Verdana" w:eastAsia="Calibri" w:hAnsi="Verdana" w:cs="Arial"/>
          <w:sz w:val="24"/>
          <w:szCs w:val="24"/>
        </w:rPr>
      </w:pPr>
      <w:r w:rsidRPr="009A730B">
        <w:rPr>
          <w:rFonts w:ascii="Verdana" w:eastAsia="Calibri" w:hAnsi="Verdana" w:cs="Arial"/>
          <w:sz w:val="24"/>
          <w:szCs w:val="24"/>
        </w:rPr>
        <w:t xml:space="preserve">The Committee received the Patient Experience and Concerns Management report for information, which provided an update on the escalation processes for patient feedback and the management of concerns across the organisation. The report outlined the current position regarding overdue concerns and the arrangements in place to address backlog ahead of revised concerns management processes due to be implemented. The Committee noted concerns regarding patient feedback alongside the importance of robust escalation arrangements, with assurance provided that established processes were in place to review, respond to and learn from patient experience data. </w:t>
      </w:r>
    </w:p>
    <w:p w14:paraId="252619ED" w14:textId="7F679C39" w:rsidR="14C3F490" w:rsidRPr="009A730B" w:rsidRDefault="14C3F490" w:rsidP="14C3F490">
      <w:pPr>
        <w:spacing w:after="0" w:line="240" w:lineRule="auto"/>
        <w:jc w:val="both"/>
        <w:rPr>
          <w:rFonts w:ascii="Verdana" w:hAnsi="Verdana" w:cs="Arial"/>
          <w:sz w:val="24"/>
          <w:szCs w:val="24"/>
        </w:rPr>
      </w:pPr>
    </w:p>
    <w:p w14:paraId="01AFCCBE" w14:textId="53186DD1" w:rsidR="6F2B4365" w:rsidRPr="009A730B" w:rsidRDefault="6F2B4365" w:rsidP="6F2B4365">
      <w:pPr>
        <w:spacing w:after="0" w:line="240" w:lineRule="auto"/>
        <w:jc w:val="both"/>
        <w:rPr>
          <w:rFonts w:ascii="Verdana" w:hAnsi="Verdana" w:cs="Arial"/>
          <w:sz w:val="24"/>
          <w:szCs w:val="24"/>
        </w:rPr>
      </w:pPr>
    </w:p>
    <w:p w14:paraId="16A76738" w14:textId="04678869" w:rsidR="6F2B4365" w:rsidRPr="009A730B" w:rsidRDefault="6F2B4365" w:rsidP="6F2B4365">
      <w:pPr>
        <w:spacing w:after="0" w:line="240" w:lineRule="auto"/>
        <w:jc w:val="both"/>
        <w:rPr>
          <w:rFonts w:ascii="Verdana" w:hAnsi="Verdana" w:cs="Arial"/>
          <w:sz w:val="24"/>
          <w:szCs w:val="24"/>
        </w:rPr>
      </w:pPr>
    </w:p>
    <w:p w14:paraId="0434940D" w14:textId="344B91CD" w:rsidR="6F2B4365" w:rsidRPr="009A730B" w:rsidRDefault="6F2B4365" w:rsidP="6F2B4365">
      <w:pPr>
        <w:spacing w:after="0" w:line="240" w:lineRule="auto"/>
        <w:jc w:val="both"/>
        <w:rPr>
          <w:rFonts w:ascii="Verdana" w:hAnsi="Verdana" w:cs="Arial"/>
          <w:sz w:val="24"/>
          <w:szCs w:val="24"/>
        </w:rPr>
      </w:pPr>
    </w:p>
    <w:p w14:paraId="66119C5A" w14:textId="0C0D19FA" w:rsidR="3EC4081A" w:rsidRPr="009A730B" w:rsidRDefault="3EC4081A" w:rsidP="14C3F490">
      <w:pPr>
        <w:spacing w:after="0" w:line="240" w:lineRule="auto"/>
        <w:jc w:val="both"/>
        <w:rPr>
          <w:rFonts w:ascii="Verdana" w:hAnsi="Verdana" w:cs="Arial"/>
          <w:sz w:val="24"/>
          <w:szCs w:val="24"/>
        </w:rPr>
      </w:pPr>
    </w:p>
    <w:p w14:paraId="6276A3ED" w14:textId="60E08633" w:rsidR="14C3F490" w:rsidRPr="009A730B" w:rsidRDefault="14C3F490" w:rsidP="14C3F490">
      <w:pPr>
        <w:spacing w:after="0" w:line="240" w:lineRule="auto"/>
        <w:jc w:val="both"/>
        <w:rPr>
          <w:rFonts w:ascii="Verdana" w:hAnsi="Verdana" w:cs="Arial"/>
          <w:sz w:val="24"/>
          <w:szCs w:val="24"/>
        </w:rPr>
      </w:pPr>
    </w:p>
    <w:p w14:paraId="59D4EC71" w14:textId="77777777" w:rsidR="000006C6" w:rsidRPr="009A730B" w:rsidRDefault="000006C6" w:rsidP="00606A3E">
      <w:pPr>
        <w:autoSpaceDE w:val="0"/>
        <w:autoSpaceDN w:val="0"/>
        <w:adjustRightInd w:val="0"/>
        <w:spacing w:after="0" w:line="240" w:lineRule="auto"/>
        <w:jc w:val="both"/>
        <w:rPr>
          <w:rFonts w:ascii="Verdana" w:hAnsi="Verdana" w:cs="Arial"/>
          <w:sz w:val="24"/>
          <w:szCs w:val="24"/>
        </w:rPr>
      </w:pPr>
    </w:p>
    <w:p w14:paraId="35E42000" w14:textId="3E12C261" w:rsidR="14C3F490" w:rsidRPr="009A730B" w:rsidRDefault="14C3F490" w:rsidP="14C3F490">
      <w:pPr>
        <w:spacing w:after="0" w:line="240" w:lineRule="auto"/>
        <w:jc w:val="both"/>
        <w:rPr>
          <w:rFonts w:ascii="Verdana" w:hAnsi="Verdana" w:cs="Arial"/>
          <w:sz w:val="24"/>
          <w:szCs w:val="24"/>
        </w:rPr>
      </w:pPr>
    </w:p>
    <w:p w14:paraId="43F15F78" w14:textId="3F471AB1" w:rsidR="14C3F490" w:rsidRPr="009A730B" w:rsidRDefault="14C3F490" w:rsidP="14C3F490">
      <w:pPr>
        <w:spacing w:after="0" w:line="240" w:lineRule="auto"/>
        <w:jc w:val="both"/>
        <w:rPr>
          <w:rFonts w:ascii="Verdana" w:hAnsi="Verdana" w:cs="Arial"/>
          <w:sz w:val="24"/>
          <w:szCs w:val="24"/>
        </w:rPr>
      </w:pPr>
    </w:p>
    <w:p w14:paraId="4694B122" w14:textId="77777777" w:rsidR="00AC5304" w:rsidRDefault="00AC5304" w:rsidP="00606A3E">
      <w:pPr>
        <w:autoSpaceDE w:val="0"/>
        <w:autoSpaceDN w:val="0"/>
        <w:adjustRightInd w:val="0"/>
        <w:spacing w:after="0" w:line="240" w:lineRule="auto"/>
        <w:jc w:val="both"/>
        <w:rPr>
          <w:rFonts w:ascii="Verdana" w:hAnsi="Verdana" w:cs="Arial"/>
          <w:sz w:val="24"/>
          <w:szCs w:val="24"/>
        </w:rPr>
      </w:pPr>
    </w:p>
    <w:p w14:paraId="30B1304A" w14:textId="77777777" w:rsidR="00737F72" w:rsidRPr="009A730B" w:rsidRDefault="00737F72" w:rsidP="00606A3E">
      <w:pPr>
        <w:autoSpaceDE w:val="0"/>
        <w:autoSpaceDN w:val="0"/>
        <w:adjustRightInd w:val="0"/>
        <w:spacing w:after="0" w:line="240" w:lineRule="auto"/>
        <w:jc w:val="both"/>
        <w:rPr>
          <w:rFonts w:ascii="Verdana" w:hAnsi="Verdana" w:cs="Arial"/>
          <w:sz w:val="24"/>
          <w:szCs w:val="24"/>
        </w:rPr>
      </w:pPr>
    </w:p>
    <w:p w14:paraId="0FF49A6A" w14:textId="27A6D13A" w:rsidR="14C3F490" w:rsidRPr="009A730B" w:rsidRDefault="14C3F490" w:rsidP="14C3F490">
      <w:pPr>
        <w:spacing w:after="0" w:line="240" w:lineRule="auto"/>
        <w:jc w:val="both"/>
        <w:rPr>
          <w:rFonts w:ascii="Verdana" w:hAnsi="Verdana" w:cs="Arial"/>
          <w:sz w:val="24"/>
          <w:szCs w:val="24"/>
        </w:rPr>
      </w:pPr>
    </w:p>
    <w:p w14:paraId="23D19857" w14:textId="42BFBA3E" w:rsidR="14C3F490" w:rsidRDefault="14C3F490" w:rsidP="14C3F490">
      <w:pPr>
        <w:spacing w:after="0" w:line="240" w:lineRule="auto"/>
        <w:jc w:val="both"/>
        <w:rPr>
          <w:rFonts w:ascii="Verdana" w:hAnsi="Verdana" w:cs="Arial"/>
          <w:sz w:val="24"/>
          <w:szCs w:val="24"/>
        </w:rPr>
      </w:pPr>
    </w:p>
    <w:p w14:paraId="68EEA421" w14:textId="31F373B1" w:rsidR="00BA58CF" w:rsidRDefault="00BA58CF" w:rsidP="14C3F490">
      <w:pPr>
        <w:spacing w:after="0" w:line="240" w:lineRule="auto"/>
        <w:jc w:val="both"/>
        <w:rPr>
          <w:rFonts w:ascii="Verdana" w:hAnsi="Verdana" w:cs="Arial"/>
          <w:sz w:val="24"/>
          <w:szCs w:val="24"/>
        </w:rPr>
      </w:pPr>
    </w:p>
    <w:p w14:paraId="0925D568" w14:textId="7AC4E603" w:rsidR="00BA58CF" w:rsidRDefault="00BA58CF" w:rsidP="14C3F490">
      <w:pPr>
        <w:spacing w:after="0" w:line="240" w:lineRule="auto"/>
        <w:jc w:val="both"/>
        <w:rPr>
          <w:rFonts w:ascii="Verdana" w:hAnsi="Verdana" w:cs="Arial"/>
          <w:sz w:val="24"/>
          <w:szCs w:val="24"/>
        </w:rPr>
      </w:pPr>
    </w:p>
    <w:p w14:paraId="30B525CD" w14:textId="18A721C9" w:rsidR="00BA58CF" w:rsidRDefault="00BA58CF" w:rsidP="14C3F490">
      <w:pPr>
        <w:spacing w:after="0" w:line="240" w:lineRule="auto"/>
        <w:jc w:val="both"/>
        <w:rPr>
          <w:rFonts w:ascii="Verdana" w:hAnsi="Verdana" w:cs="Arial"/>
          <w:sz w:val="24"/>
          <w:szCs w:val="24"/>
        </w:rPr>
      </w:pPr>
    </w:p>
    <w:p w14:paraId="08155AE0" w14:textId="06143394" w:rsidR="00BA58CF" w:rsidRDefault="00BA58CF" w:rsidP="14C3F490">
      <w:pPr>
        <w:spacing w:after="0" w:line="240" w:lineRule="auto"/>
        <w:jc w:val="both"/>
        <w:rPr>
          <w:rFonts w:ascii="Verdana" w:hAnsi="Verdana" w:cs="Arial"/>
          <w:sz w:val="24"/>
          <w:szCs w:val="24"/>
        </w:rPr>
      </w:pPr>
    </w:p>
    <w:p w14:paraId="1B161D33" w14:textId="1DD8DCC9" w:rsidR="00BA58CF" w:rsidRDefault="00BA58CF" w:rsidP="14C3F490">
      <w:pPr>
        <w:spacing w:after="0" w:line="240" w:lineRule="auto"/>
        <w:jc w:val="both"/>
        <w:rPr>
          <w:rFonts w:ascii="Verdana" w:hAnsi="Verdana" w:cs="Arial"/>
          <w:sz w:val="24"/>
          <w:szCs w:val="24"/>
        </w:rPr>
      </w:pPr>
    </w:p>
    <w:p w14:paraId="30D3BA36" w14:textId="0F126FB2" w:rsidR="00BA58CF" w:rsidRDefault="00BA58CF" w:rsidP="14C3F490">
      <w:pPr>
        <w:spacing w:after="0" w:line="240" w:lineRule="auto"/>
        <w:jc w:val="both"/>
        <w:rPr>
          <w:rFonts w:ascii="Verdana" w:hAnsi="Verdana" w:cs="Arial"/>
          <w:sz w:val="24"/>
          <w:szCs w:val="24"/>
        </w:rPr>
      </w:pPr>
    </w:p>
    <w:p w14:paraId="75F2E082" w14:textId="3D1BA182" w:rsidR="00BA58CF" w:rsidRDefault="00BA58CF" w:rsidP="14C3F490">
      <w:pPr>
        <w:spacing w:after="0" w:line="240" w:lineRule="auto"/>
        <w:jc w:val="both"/>
        <w:rPr>
          <w:rFonts w:ascii="Verdana" w:hAnsi="Verdana" w:cs="Arial"/>
          <w:sz w:val="24"/>
          <w:szCs w:val="24"/>
        </w:rPr>
      </w:pPr>
    </w:p>
    <w:p w14:paraId="4F3E8ABF" w14:textId="6A436BCC" w:rsidR="00BA58CF" w:rsidRDefault="00BA58CF" w:rsidP="14C3F490">
      <w:pPr>
        <w:spacing w:after="0" w:line="240" w:lineRule="auto"/>
        <w:jc w:val="both"/>
        <w:rPr>
          <w:rFonts w:ascii="Verdana" w:hAnsi="Verdana" w:cs="Arial"/>
          <w:sz w:val="24"/>
          <w:szCs w:val="24"/>
        </w:rPr>
      </w:pPr>
    </w:p>
    <w:p w14:paraId="6EADB60A" w14:textId="77777777" w:rsidR="00E94840" w:rsidRDefault="00E94840" w:rsidP="14C3F490">
      <w:pPr>
        <w:spacing w:after="0" w:line="240" w:lineRule="auto"/>
        <w:jc w:val="both"/>
        <w:rPr>
          <w:rFonts w:ascii="Verdana" w:hAnsi="Verdana" w:cs="Arial"/>
          <w:sz w:val="24"/>
          <w:szCs w:val="24"/>
        </w:rPr>
      </w:pPr>
    </w:p>
    <w:p w14:paraId="05327652" w14:textId="77777777" w:rsidR="00E94840" w:rsidRDefault="00E94840" w:rsidP="14C3F490">
      <w:pPr>
        <w:spacing w:after="0" w:line="240" w:lineRule="auto"/>
        <w:jc w:val="both"/>
        <w:rPr>
          <w:rFonts w:ascii="Verdana" w:hAnsi="Verdana" w:cs="Arial"/>
          <w:sz w:val="24"/>
          <w:szCs w:val="24"/>
        </w:rPr>
      </w:pPr>
    </w:p>
    <w:p w14:paraId="0A611B44" w14:textId="77777777" w:rsidR="00E94840" w:rsidRDefault="00E94840" w:rsidP="14C3F490">
      <w:pPr>
        <w:spacing w:after="0" w:line="240" w:lineRule="auto"/>
        <w:jc w:val="both"/>
        <w:rPr>
          <w:rFonts w:ascii="Verdana" w:hAnsi="Verdana" w:cs="Arial"/>
          <w:sz w:val="24"/>
          <w:szCs w:val="24"/>
        </w:rPr>
      </w:pPr>
    </w:p>
    <w:p w14:paraId="5B4A2876" w14:textId="1D182F45" w:rsidR="00AC5304" w:rsidRPr="009A730B" w:rsidRDefault="00AC5304" w:rsidP="00606A3E">
      <w:pPr>
        <w:autoSpaceDE w:val="0"/>
        <w:autoSpaceDN w:val="0"/>
        <w:adjustRightInd w:val="0"/>
        <w:spacing w:after="0" w:line="240" w:lineRule="auto"/>
        <w:jc w:val="both"/>
        <w:rPr>
          <w:rFonts w:ascii="Verdana" w:hAnsi="Verdana" w:cs="Arial"/>
          <w:sz w:val="24"/>
          <w:szCs w:val="24"/>
        </w:rPr>
      </w:pPr>
    </w:p>
    <w:p w14:paraId="42C3A63A" w14:textId="1674D1C2" w:rsidR="006143CC" w:rsidRPr="002A7D3A" w:rsidRDefault="6C0A70DC" w:rsidP="51F4664D">
      <w:pPr>
        <w:autoSpaceDE w:val="0"/>
        <w:autoSpaceDN w:val="0"/>
        <w:adjustRightInd w:val="0"/>
        <w:spacing w:after="0" w:line="240" w:lineRule="auto"/>
        <w:jc w:val="center"/>
        <w:rPr>
          <w:rFonts w:ascii="Verdana" w:hAnsi="Verdana" w:cs="Arial"/>
          <w:b/>
          <w:bCs/>
          <w:color w:val="000000" w:themeColor="text1"/>
          <w:sz w:val="24"/>
          <w:szCs w:val="24"/>
          <w:u w:val="single"/>
        </w:rPr>
      </w:pPr>
      <w:r w:rsidRPr="002A7D3A">
        <w:rPr>
          <w:rFonts w:ascii="Verdana" w:hAnsi="Verdana" w:cs="Arial"/>
          <w:b/>
          <w:bCs/>
          <w:color w:val="000000" w:themeColor="text1"/>
          <w:sz w:val="24"/>
          <w:szCs w:val="24"/>
          <w:u w:val="single"/>
        </w:rPr>
        <w:lastRenderedPageBreak/>
        <w:t xml:space="preserve">Section </w:t>
      </w:r>
      <w:r w:rsidR="002A7D3A" w:rsidRPr="002A7D3A">
        <w:rPr>
          <w:rFonts w:ascii="Verdana" w:hAnsi="Verdana" w:cs="Arial"/>
          <w:b/>
          <w:bCs/>
          <w:color w:val="000000" w:themeColor="text1"/>
          <w:sz w:val="24"/>
          <w:szCs w:val="24"/>
          <w:u w:val="single"/>
        </w:rPr>
        <w:t>5</w:t>
      </w:r>
    </w:p>
    <w:p w14:paraId="5CFDF094" w14:textId="4BCB4B7E" w:rsidR="006143CC" w:rsidRPr="009A730B" w:rsidRDefault="6C0A70DC" w:rsidP="00FC0589">
      <w:pPr>
        <w:spacing w:line="240" w:lineRule="auto"/>
        <w:jc w:val="center"/>
        <w:rPr>
          <w:rFonts w:ascii="Verdana" w:hAnsi="Verdana" w:cs="Arial"/>
          <w:b/>
          <w:bCs/>
          <w:color w:val="000000" w:themeColor="text1"/>
          <w:sz w:val="24"/>
          <w:szCs w:val="24"/>
          <w:u w:val="single"/>
        </w:rPr>
      </w:pPr>
      <w:r w:rsidRPr="009A730B">
        <w:rPr>
          <w:rFonts w:ascii="Verdana" w:hAnsi="Verdana" w:cs="Arial"/>
          <w:b/>
          <w:bCs/>
          <w:color w:val="000000" w:themeColor="text1"/>
          <w:sz w:val="24"/>
          <w:szCs w:val="24"/>
          <w:u w:val="single"/>
        </w:rPr>
        <w:t>Workforce and Organisational Development (OD) Committee</w:t>
      </w:r>
    </w:p>
    <w:p w14:paraId="14C189A7" w14:textId="337A09F7" w:rsidR="56B3A715" w:rsidRPr="009A730B" w:rsidRDefault="56B3A715" w:rsidP="00FC0589">
      <w:pPr>
        <w:spacing w:before="240" w:after="240" w:line="240" w:lineRule="auto"/>
        <w:jc w:val="both"/>
        <w:rPr>
          <w:rFonts w:ascii="Verdana" w:eastAsia="Verdana" w:hAnsi="Verdana" w:cs="Verdana"/>
          <w:sz w:val="24"/>
          <w:szCs w:val="24"/>
        </w:rPr>
      </w:pPr>
      <w:r w:rsidRPr="009A730B">
        <w:rPr>
          <w:rFonts w:ascii="Verdana" w:eastAsia="Verdana" w:hAnsi="Verdana" w:cs="Verdana"/>
          <w:sz w:val="24"/>
          <w:szCs w:val="24"/>
        </w:rPr>
        <w:t>The purpose of the Workforce</w:t>
      </w:r>
      <w:r w:rsidR="003F15ED">
        <w:rPr>
          <w:rFonts w:ascii="Verdana" w:eastAsia="Verdana" w:hAnsi="Verdana" w:cs="Verdana"/>
          <w:sz w:val="24"/>
          <w:szCs w:val="24"/>
        </w:rPr>
        <w:t xml:space="preserve"> and </w:t>
      </w:r>
      <w:r w:rsidRPr="009A730B">
        <w:rPr>
          <w:rFonts w:ascii="Verdana" w:eastAsia="Verdana" w:hAnsi="Verdana" w:cs="Verdana"/>
          <w:sz w:val="24"/>
          <w:szCs w:val="24"/>
        </w:rPr>
        <w:t>Organisational Development Committee is to provide the Board with advice and assurance across a range of workforce‑related priorities, ensuring alignment with the Health Board’s strategic objectives.</w:t>
      </w:r>
    </w:p>
    <w:p w14:paraId="27021AAE" w14:textId="5D6D8477" w:rsidR="00FE66C5" w:rsidRPr="009A730B" w:rsidRDefault="3A5009DB" w:rsidP="00FC0589">
      <w:pPr>
        <w:spacing w:before="240" w:after="240" w:line="240" w:lineRule="auto"/>
        <w:jc w:val="both"/>
        <w:rPr>
          <w:rFonts w:ascii="Verdana" w:eastAsia="Verdana" w:hAnsi="Verdana" w:cs="Verdana"/>
          <w:sz w:val="24"/>
          <w:szCs w:val="24"/>
        </w:rPr>
      </w:pPr>
      <w:r w:rsidRPr="009A730B">
        <w:rPr>
          <w:rFonts w:ascii="Verdana" w:eastAsia="Verdana" w:hAnsi="Verdana" w:cs="Verdana"/>
          <w:sz w:val="24"/>
          <w:szCs w:val="24"/>
        </w:rPr>
        <w:t>The Committee’s remit includes oversight of the following areas:</w:t>
      </w:r>
    </w:p>
    <w:p w14:paraId="0F16F7DD" w14:textId="4E99A9D0" w:rsidR="00FE66C5" w:rsidRPr="009A730B" w:rsidRDefault="3A5009DB" w:rsidP="00C2615D">
      <w:pPr>
        <w:pStyle w:val="ListParagraph"/>
        <w:numPr>
          <w:ilvl w:val="0"/>
          <w:numId w:val="8"/>
        </w:numPr>
        <w:spacing w:before="240" w:after="240"/>
        <w:rPr>
          <w:rFonts w:ascii="Verdana" w:eastAsia="Verdana" w:hAnsi="Verdana" w:cs="Verdana"/>
          <w:sz w:val="24"/>
          <w:szCs w:val="24"/>
        </w:rPr>
      </w:pPr>
      <w:r w:rsidRPr="009A730B">
        <w:rPr>
          <w:rFonts w:ascii="Verdana" w:eastAsia="Verdana" w:hAnsi="Verdana" w:cs="Verdana"/>
          <w:b/>
          <w:bCs/>
          <w:sz w:val="24"/>
          <w:szCs w:val="24"/>
        </w:rPr>
        <w:t>Health and Wellbeing</w:t>
      </w:r>
      <w:r w:rsidR="00FE66C5" w:rsidRPr="009A730B">
        <w:br/>
      </w:r>
      <w:r w:rsidRPr="009A730B">
        <w:rPr>
          <w:rFonts w:ascii="Verdana" w:eastAsia="Verdana" w:hAnsi="Verdana" w:cs="Verdana"/>
          <w:sz w:val="24"/>
          <w:szCs w:val="24"/>
        </w:rPr>
        <w:t>To provide assurance that an integrated approach is in place to support staff health and wellbeing, with a particular focus on reducing sickness absence related to mental health and strengthening workforce resilience.</w:t>
      </w:r>
    </w:p>
    <w:p w14:paraId="71BC0A10" w14:textId="4C61C5D4" w:rsidR="00FE66C5" w:rsidRPr="009A730B" w:rsidRDefault="00FE66C5" w:rsidP="51F4664D">
      <w:pPr>
        <w:pStyle w:val="ListParagraph"/>
        <w:spacing w:before="240" w:after="240"/>
        <w:jc w:val="both"/>
        <w:rPr>
          <w:rFonts w:ascii="Verdana" w:eastAsia="Verdana" w:hAnsi="Verdana" w:cs="Verdana"/>
          <w:sz w:val="24"/>
          <w:szCs w:val="24"/>
        </w:rPr>
      </w:pPr>
    </w:p>
    <w:p w14:paraId="52D8B7DD" w14:textId="6A95D94C" w:rsidR="00FE66C5" w:rsidRPr="009A730B" w:rsidRDefault="3A5009DB" w:rsidP="00C2615D">
      <w:pPr>
        <w:pStyle w:val="ListParagraph"/>
        <w:numPr>
          <w:ilvl w:val="0"/>
          <w:numId w:val="7"/>
        </w:numPr>
        <w:spacing w:before="240" w:after="240"/>
        <w:rPr>
          <w:rFonts w:ascii="Verdana" w:eastAsia="Verdana" w:hAnsi="Verdana" w:cs="Verdana"/>
          <w:sz w:val="24"/>
          <w:szCs w:val="24"/>
        </w:rPr>
      </w:pPr>
      <w:r w:rsidRPr="009A730B">
        <w:rPr>
          <w:rFonts w:ascii="Verdana" w:eastAsia="Verdana" w:hAnsi="Verdana" w:cs="Verdana"/>
          <w:b/>
          <w:bCs/>
          <w:sz w:val="24"/>
          <w:szCs w:val="24"/>
        </w:rPr>
        <w:t>Staff Experience</w:t>
      </w:r>
      <w:r w:rsidR="00FE66C5" w:rsidRPr="009A730B">
        <w:br/>
      </w:r>
      <w:r w:rsidRPr="009A730B">
        <w:rPr>
          <w:rFonts w:ascii="Verdana" w:eastAsia="Verdana" w:hAnsi="Verdana" w:cs="Verdana"/>
          <w:sz w:val="24"/>
          <w:szCs w:val="24"/>
        </w:rPr>
        <w:t>To ensure that a strategic framework is in place to improve staff engagement, increase the positive engagement index, and reduce the incidence of formal grievance procedures.</w:t>
      </w:r>
    </w:p>
    <w:p w14:paraId="742EDC65" w14:textId="2EEE7EA0" w:rsidR="00FE66C5" w:rsidRPr="009A730B" w:rsidRDefault="00FE66C5" w:rsidP="51F4664D">
      <w:pPr>
        <w:pStyle w:val="ListParagraph"/>
        <w:spacing w:before="240" w:after="240"/>
        <w:jc w:val="both"/>
        <w:rPr>
          <w:rFonts w:ascii="Verdana" w:eastAsia="Verdana" w:hAnsi="Verdana" w:cs="Verdana"/>
          <w:sz w:val="24"/>
          <w:szCs w:val="24"/>
        </w:rPr>
      </w:pPr>
    </w:p>
    <w:p w14:paraId="342A779A" w14:textId="0C194B18" w:rsidR="00FE66C5" w:rsidRPr="009A730B" w:rsidRDefault="3A5009DB" w:rsidP="00C2615D">
      <w:pPr>
        <w:pStyle w:val="ListParagraph"/>
        <w:numPr>
          <w:ilvl w:val="0"/>
          <w:numId w:val="6"/>
        </w:numPr>
        <w:spacing w:before="240" w:after="240"/>
        <w:rPr>
          <w:rFonts w:ascii="Verdana" w:eastAsia="Verdana" w:hAnsi="Verdana" w:cs="Verdana"/>
          <w:sz w:val="24"/>
          <w:szCs w:val="24"/>
        </w:rPr>
      </w:pPr>
      <w:r w:rsidRPr="009A730B">
        <w:rPr>
          <w:rFonts w:ascii="Verdana" w:eastAsia="Verdana" w:hAnsi="Verdana" w:cs="Verdana"/>
          <w:b/>
          <w:bCs/>
          <w:sz w:val="24"/>
          <w:szCs w:val="24"/>
        </w:rPr>
        <w:t>Recruitment and Retention</w:t>
      </w:r>
      <w:r w:rsidR="00FE66C5" w:rsidRPr="009A730B">
        <w:br/>
      </w:r>
      <w:r w:rsidRPr="009A730B">
        <w:rPr>
          <w:rFonts w:ascii="Verdana" w:eastAsia="Verdana" w:hAnsi="Verdana" w:cs="Verdana"/>
          <w:sz w:val="24"/>
          <w:szCs w:val="24"/>
        </w:rPr>
        <w:t>To oversee the delivery of a robust, strategic approach to recruitment and retention, with progress monitored over time and demonstrable improvement evidenced.</w:t>
      </w:r>
    </w:p>
    <w:p w14:paraId="6530E3A7" w14:textId="0FBF9CBD" w:rsidR="00FE66C5" w:rsidRPr="009A730B" w:rsidRDefault="00FE66C5" w:rsidP="51F4664D">
      <w:pPr>
        <w:pStyle w:val="ListParagraph"/>
        <w:spacing w:before="240" w:after="240"/>
        <w:jc w:val="both"/>
        <w:rPr>
          <w:rFonts w:ascii="Verdana" w:eastAsia="Verdana" w:hAnsi="Verdana" w:cs="Verdana"/>
          <w:sz w:val="24"/>
          <w:szCs w:val="24"/>
        </w:rPr>
      </w:pPr>
    </w:p>
    <w:p w14:paraId="1AFD0902" w14:textId="4C2C3E34" w:rsidR="00FE66C5" w:rsidRPr="009A730B" w:rsidRDefault="3A5009DB" w:rsidP="00C2615D">
      <w:pPr>
        <w:pStyle w:val="ListParagraph"/>
        <w:numPr>
          <w:ilvl w:val="0"/>
          <w:numId w:val="5"/>
        </w:numPr>
        <w:spacing w:before="240" w:after="240"/>
        <w:rPr>
          <w:rFonts w:ascii="Verdana" w:eastAsia="Verdana" w:hAnsi="Verdana" w:cs="Verdana"/>
          <w:sz w:val="24"/>
          <w:szCs w:val="24"/>
        </w:rPr>
      </w:pPr>
      <w:r w:rsidRPr="009A730B">
        <w:rPr>
          <w:rFonts w:ascii="Verdana" w:eastAsia="Verdana" w:hAnsi="Verdana" w:cs="Verdana"/>
          <w:b/>
          <w:bCs/>
          <w:sz w:val="24"/>
          <w:szCs w:val="24"/>
        </w:rPr>
        <w:t>Workforce and Organisational Development</w:t>
      </w:r>
      <w:r w:rsidRPr="009A730B">
        <w:br/>
      </w:r>
      <w:r w:rsidRPr="009A730B">
        <w:rPr>
          <w:rFonts w:ascii="Verdana" w:eastAsia="Verdana" w:hAnsi="Verdana" w:cs="Verdana"/>
          <w:sz w:val="24"/>
          <w:szCs w:val="24"/>
        </w:rPr>
        <w:t xml:space="preserve">To provide assurance that </w:t>
      </w:r>
      <w:r w:rsidR="186E8ACF" w:rsidRPr="009A730B">
        <w:rPr>
          <w:rFonts w:ascii="Verdana" w:eastAsia="Verdana" w:hAnsi="Verdana" w:cs="Verdana"/>
          <w:sz w:val="24"/>
          <w:szCs w:val="24"/>
        </w:rPr>
        <w:t xml:space="preserve">an </w:t>
      </w:r>
      <w:r w:rsidRPr="009A730B">
        <w:rPr>
          <w:rFonts w:ascii="Verdana" w:eastAsia="Verdana" w:hAnsi="Verdana" w:cs="Verdana"/>
          <w:sz w:val="24"/>
          <w:szCs w:val="24"/>
        </w:rPr>
        <w:t>effective and integrated workforce and organisational development initiatives are in place, enabling the workforce to contribute fully to the delivery of the organisation’s objectives.</w:t>
      </w:r>
    </w:p>
    <w:p w14:paraId="1DBC8A26" w14:textId="1656DA18" w:rsidR="00FE66C5" w:rsidRPr="009A730B" w:rsidRDefault="00FE66C5" w:rsidP="51F4664D">
      <w:pPr>
        <w:pStyle w:val="ListParagraph"/>
        <w:spacing w:before="240" w:after="240"/>
        <w:jc w:val="both"/>
        <w:rPr>
          <w:rFonts w:ascii="Verdana" w:eastAsia="Verdana" w:hAnsi="Verdana" w:cs="Verdana"/>
          <w:sz w:val="24"/>
          <w:szCs w:val="24"/>
        </w:rPr>
      </w:pPr>
    </w:p>
    <w:p w14:paraId="598DD79F" w14:textId="7E49FBCE" w:rsidR="00FC0589" w:rsidRPr="00D733AC" w:rsidRDefault="3A5009DB" w:rsidP="00C2615D">
      <w:pPr>
        <w:pStyle w:val="ListParagraph"/>
        <w:numPr>
          <w:ilvl w:val="0"/>
          <w:numId w:val="4"/>
        </w:numPr>
        <w:spacing w:before="240" w:after="240"/>
        <w:rPr>
          <w:rFonts w:ascii="Verdana" w:eastAsia="Verdana" w:hAnsi="Verdana" w:cs="Verdana"/>
          <w:sz w:val="24"/>
          <w:szCs w:val="24"/>
        </w:rPr>
      </w:pPr>
      <w:r w:rsidRPr="009A730B">
        <w:rPr>
          <w:rFonts w:ascii="Verdana" w:eastAsia="Verdana" w:hAnsi="Verdana" w:cs="Verdana"/>
          <w:b/>
          <w:bCs/>
          <w:sz w:val="24"/>
          <w:szCs w:val="24"/>
        </w:rPr>
        <w:t>Widenin</w:t>
      </w:r>
      <w:r w:rsidR="0059389B" w:rsidRPr="009A730B">
        <w:rPr>
          <w:rFonts w:ascii="Verdana" w:eastAsia="Verdana" w:hAnsi="Verdana" w:cs="Verdana"/>
          <w:b/>
          <w:bCs/>
          <w:sz w:val="24"/>
          <w:szCs w:val="24"/>
        </w:rPr>
        <w:t xml:space="preserve">g </w:t>
      </w:r>
      <w:r w:rsidRPr="009A730B">
        <w:rPr>
          <w:rFonts w:ascii="Verdana" w:eastAsia="Verdana" w:hAnsi="Verdana" w:cs="Verdana"/>
          <w:b/>
          <w:bCs/>
          <w:sz w:val="24"/>
          <w:szCs w:val="24"/>
        </w:rPr>
        <w:t>Access</w:t>
      </w:r>
      <w:r w:rsidR="0059389B" w:rsidRPr="009A730B">
        <w:rPr>
          <w:rFonts w:ascii="Verdana" w:eastAsia="Verdana" w:hAnsi="Verdana" w:cs="Verdana"/>
          <w:b/>
          <w:bCs/>
          <w:sz w:val="24"/>
          <w:szCs w:val="24"/>
        </w:rPr>
        <w:t xml:space="preserve"> </w:t>
      </w:r>
      <w:r w:rsidRPr="009A730B">
        <w:rPr>
          <w:rFonts w:ascii="Verdana" w:eastAsia="Verdana" w:hAnsi="Verdana" w:cs="Verdana"/>
          <w:b/>
          <w:bCs/>
          <w:sz w:val="24"/>
          <w:szCs w:val="24"/>
        </w:rPr>
        <w:t>and</w:t>
      </w:r>
      <w:r w:rsidR="0059389B" w:rsidRPr="009A730B">
        <w:rPr>
          <w:rFonts w:ascii="Verdana" w:eastAsia="Verdana" w:hAnsi="Verdana" w:cs="Verdana"/>
          <w:b/>
          <w:bCs/>
          <w:sz w:val="24"/>
          <w:szCs w:val="24"/>
        </w:rPr>
        <w:t xml:space="preserve"> </w:t>
      </w:r>
      <w:r w:rsidRPr="009A730B">
        <w:rPr>
          <w:rFonts w:ascii="Verdana" w:eastAsia="Verdana" w:hAnsi="Verdana" w:cs="Verdana"/>
          <w:b/>
          <w:bCs/>
          <w:sz w:val="24"/>
          <w:szCs w:val="24"/>
        </w:rPr>
        <w:t>Participation</w:t>
      </w:r>
      <w:r w:rsidRPr="009A730B">
        <w:br/>
      </w:r>
      <w:r w:rsidRPr="009A730B">
        <w:rPr>
          <w:rFonts w:ascii="Verdana" w:eastAsia="Verdana" w:hAnsi="Verdana" w:cs="Verdana"/>
          <w:sz w:val="24"/>
          <w:szCs w:val="24"/>
        </w:rPr>
        <w:t>To ensure compliance with legislative requirements relating to equality, diversity, and inclusion within the workforce, including those associated with the Welsh language and cultural identity, and to promote equitable access to employment opportunities across the Health Board</w:t>
      </w:r>
    </w:p>
    <w:p w14:paraId="05AEC7B7" w14:textId="77777777" w:rsidR="00D733AC" w:rsidRDefault="00D733AC" w:rsidP="51F4664D">
      <w:pPr>
        <w:jc w:val="both"/>
        <w:rPr>
          <w:rFonts w:ascii="Verdana" w:hAnsi="Verdana"/>
          <w:sz w:val="24"/>
          <w:szCs w:val="24"/>
        </w:rPr>
      </w:pPr>
    </w:p>
    <w:p w14:paraId="65AC48DD" w14:textId="77777777" w:rsidR="00D733AC" w:rsidRDefault="00D733AC" w:rsidP="51F4664D">
      <w:pPr>
        <w:jc w:val="both"/>
        <w:rPr>
          <w:rFonts w:ascii="Verdana" w:hAnsi="Verdana"/>
          <w:sz w:val="24"/>
          <w:szCs w:val="24"/>
        </w:rPr>
      </w:pPr>
    </w:p>
    <w:p w14:paraId="0DCA1D3A" w14:textId="77777777" w:rsidR="00D733AC" w:rsidRDefault="00D733AC" w:rsidP="51F4664D">
      <w:pPr>
        <w:jc w:val="both"/>
        <w:rPr>
          <w:rFonts w:ascii="Verdana" w:hAnsi="Verdana"/>
          <w:sz w:val="24"/>
          <w:szCs w:val="24"/>
        </w:rPr>
      </w:pPr>
    </w:p>
    <w:p w14:paraId="4ED88E83" w14:textId="77777777" w:rsidR="00D733AC" w:rsidRDefault="00D733AC" w:rsidP="51F4664D">
      <w:pPr>
        <w:jc w:val="both"/>
        <w:rPr>
          <w:rFonts w:ascii="Verdana" w:hAnsi="Verdana"/>
          <w:sz w:val="24"/>
          <w:szCs w:val="24"/>
        </w:rPr>
      </w:pPr>
    </w:p>
    <w:p w14:paraId="6456A980" w14:textId="1DCFFAE3" w:rsidR="51F4664D" w:rsidRPr="009A730B" w:rsidRDefault="6C0A70DC" w:rsidP="51F4664D">
      <w:pPr>
        <w:jc w:val="both"/>
        <w:rPr>
          <w:rFonts w:ascii="Verdana" w:hAnsi="Verdana"/>
          <w:sz w:val="24"/>
          <w:szCs w:val="24"/>
        </w:rPr>
      </w:pPr>
      <w:r w:rsidRPr="009A730B">
        <w:rPr>
          <w:rFonts w:ascii="Verdana" w:hAnsi="Verdana"/>
          <w:sz w:val="24"/>
          <w:szCs w:val="24"/>
        </w:rPr>
        <w:lastRenderedPageBreak/>
        <w:t>During 202</w:t>
      </w:r>
      <w:r w:rsidR="064D0105" w:rsidRPr="009A730B">
        <w:rPr>
          <w:rFonts w:ascii="Verdana" w:hAnsi="Verdana"/>
          <w:sz w:val="24"/>
          <w:szCs w:val="24"/>
        </w:rPr>
        <w:t>5</w:t>
      </w:r>
      <w:r w:rsidR="639E330A" w:rsidRPr="009A730B">
        <w:rPr>
          <w:rFonts w:ascii="Verdana" w:hAnsi="Verdana"/>
          <w:sz w:val="24"/>
          <w:szCs w:val="24"/>
        </w:rPr>
        <w:t>/2</w:t>
      </w:r>
      <w:r w:rsidR="77223B26" w:rsidRPr="009A730B">
        <w:rPr>
          <w:rFonts w:ascii="Verdana" w:hAnsi="Verdana"/>
          <w:sz w:val="24"/>
          <w:szCs w:val="24"/>
        </w:rPr>
        <w:t>6</w:t>
      </w:r>
      <w:r w:rsidR="639E330A" w:rsidRPr="009A730B">
        <w:rPr>
          <w:rFonts w:ascii="Verdana" w:hAnsi="Verdana"/>
          <w:sz w:val="24"/>
          <w:szCs w:val="24"/>
        </w:rPr>
        <w:t xml:space="preserve"> </w:t>
      </w:r>
      <w:r w:rsidRPr="009A730B">
        <w:rPr>
          <w:rFonts w:ascii="Verdana" w:hAnsi="Verdana"/>
          <w:sz w:val="24"/>
          <w:szCs w:val="24"/>
        </w:rPr>
        <w:t xml:space="preserve">the following reports were </w:t>
      </w:r>
      <w:r w:rsidR="0059389B" w:rsidRPr="009A730B">
        <w:rPr>
          <w:rFonts w:ascii="Verdana" w:hAnsi="Verdana"/>
          <w:sz w:val="24"/>
          <w:szCs w:val="24"/>
        </w:rPr>
        <w:t>received.</w:t>
      </w:r>
    </w:p>
    <w:p w14:paraId="2F9AEC41" w14:textId="639D506D" w:rsidR="51F4664D" w:rsidRPr="005B3299" w:rsidRDefault="7CC98422" w:rsidP="00C2615D">
      <w:pPr>
        <w:pStyle w:val="ListParagraph"/>
        <w:numPr>
          <w:ilvl w:val="1"/>
          <w:numId w:val="34"/>
        </w:numPr>
        <w:jc w:val="both"/>
        <w:rPr>
          <w:rFonts w:ascii="Verdana" w:hAnsi="Verdana"/>
          <w:b/>
          <w:bCs/>
          <w:sz w:val="24"/>
          <w:szCs w:val="24"/>
          <w:u w:val="single"/>
        </w:rPr>
      </w:pPr>
      <w:r w:rsidRPr="005B3299">
        <w:rPr>
          <w:rFonts w:ascii="Verdana" w:hAnsi="Verdana"/>
          <w:b/>
          <w:bCs/>
          <w:sz w:val="24"/>
          <w:szCs w:val="24"/>
          <w:u w:val="single"/>
        </w:rPr>
        <w:t>Workforce performance and wellbeing</w:t>
      </w:r>
    </w:p>
    <w:p w14:paraId="1878068D" w14:textId="781CBD93" w:rsidR="7CC98422" w:rsidRPr="005B3299" w:rsidRDefault="005B3299" w:rsidP="002A7D3A">
      <w:pPr>
        <w:spacing w:line="240" w:lineRule="auto"/>
        <w:jc w:val="both"/>
        <w:rPr>
          <w:rFonts w:ascii="Verdana" w:hAnsi="Verdana"/>
          <w:b/>
          <w:bCs/>
          <w:color w:val="000000" w:themeColor="text1"/>
          <w:sz w:val="24"/>
          <w:szCs w:val="24"/>
        </w:rPr>
      </w:pPr>
      <w:r>
        <w:rPr>
          <w:rFonts w:ascii="Verdana" w:hAnsi="Verdana"/>
          <w:b/>
          <w:bCs/>
          <w:color w:val="000000" w:themeColor="text1"/>
          <w:sz w:val="24"/>
          <w:szCs w:val="24"/>
        </w:rPr>
        <w:t xml:space="preserve">5.1.1 </w:t>
      </w:r>
      <w:r w:rsidR="7CC98422" w:rsidRPr="005B3299">
        <w:rPr>
          <w:rFonts w:ascii="Verdana" w:hAnsi="Verdana"/>
          <w:b/>
          <w:bCs/>
          <w:color w:val="000000" w:themeColor="text1"/>
          <w:sz w:val="24"/>
          <w:szCs w:val="24"/>
        </w:rPr>
        <w:t>Director of Workforce and O</w:t>
      </w:r>
      <w:r w:rsidR="76DDEB2C" w:rsidRPr="005B3299">
        <w:rPr>
          <w:rFonts w:ascii="Verdana" w:hAnsi="Verdana"/>
          <w:b/>
          <w:bCs/>
          <w:color w:val="000000" w:themeColor="text1"/>
          <w:sz w:val="24"/>
          <w:szCs w:val="24"/>
        </w:rPr>
        <w:t xml:space="preserve">rganisational </w:t>
      </w:r>
      <w:r w:rsidR="7CC98422" w:rsidRPr="005B3299">
        <w:rPr>
          <w:rFonts w:ascii="Verdana" w:hAnsi="Verdana"/>
          <w:b/>
          <w:bCs/>
          <w:color w:val="000000" w:themeColor="text1"/>
          <w:sz w:val="24"/>
          <w:szCs w:val="24"/>
        </w:rPr>
        <w:t>D</w:t>
      </w:r>
      <w:r w:rsidR="79FEF182" w:rsidRPr="005B3299">
        <w:rPr>
          <w:rFonts w:ascii="Verdana" w:hAnsi="Verdana"/>
          <w:b/>
          <w:bCs/>
          <w:color w:val="000000" w:themeColor="text1"/>
          <w:sz w:val="24"/>
          <w:szCs w:val="24"/>
        </w:rPr>
        <w:t>evelopment</w:t>
      </w:r>
      <w:r w:rsidR="7CC98422" w:rsidRPr="005B3299">
        <w:rPr>
          <w:rFonts w:ascii="Verdana" w:hAnsi="Verdana"/>
          <w:b/>
          <w:bCs/>
          <w:color w:val="000000" w:themeColor="text1"/>
          <w:sz w:val="24"/>
          <w:szCs w:val="24"/>
        </w:rPr>
        <w:t xml:space="preserve"> Report</w:t>
      </w:r>
    </w:p>
    <w:p w14:paraId="153F9FE0" w14:textId="0645791C" w:rsidR="51F4664D" w:rsidRDefault="7CC98422" w:rsidP="002A7D3A">
      <w:pPr>
        <w:spacing w:after="0" w:line="240" w:lineRule="auto"/>
        <w:jc w:val="both"/>
        <w:rPr>
          <w:rFonts w:ascii="Verdana" w:hAnsi="Verdana"/>
          <w:sz w:val="24"/>
          <w:szCs w:val="24"/>
        </w:rPr>
      </w:pPr>
      <w:r w:rsidRPr="009A730B">
        <w:rPr>
          <w:rFonts w:ascii="Verdana" w:hAnsi="Verdana"/>
          <w:sz w:val="24"/>
          <w:szCs w:val="24"/>
        </w:rPr>
        <w:t>During 2025-26, the Director of Workforce and Organisational Development Report – providing routine updates to the Committee on workforce risks, strategic priorities, and progress in delivering agreed workforce objectives across the organisation.</w:t>
      </w:r>
    </w:p>
    <w:p w14:paraId="67C9AC9F" w14:textId="77777777" w:rsidR="00FD7EC5" w:rsidRPr="009A730B" w:rsidRDefault="00FD7EC5" w:rsidP="002A7D3A">
      <w:pPr>
        <w:spacing w:after="0" w:line="240" w:lineRule="auto"/>
        <w:jc w:val="both"/>
        <w:rPr>
          <w:rFonts w:ascii="Verdana" w:hAnsi="Verdana"/>
          <w:sz w:val="24"/>
          <w:szCs w:val="24"/>
        </w:rPr>
      </w:pPr>
    </w:p>
    <w:p w14:paraId="351F11A2" w14:textId="13DD8093" w:rsidR="7CC98422" w:rsidRPr="005B3299" w:rsidRDefault="7CC98422" w:rsidP="00C2615D">
      <w:pPr>
        <w:pStyle w:val="ListParagraph"/>
        <w:numPr>
          <w:ilvl w:val="2"/>
          <w:numId w:val="35"/>
        </w:numPr>
        <w:spacing w:line="240" w:lineRule="auto"/>
        <w:jc w:val="both"/>
        <w:rPr>
          <w:rFonts w:ascii="Verdana" w:hAnsi="Verdana"/>
          <w:b/>
          <w:bCs/>
          <w:color w:val="000000" w:themeColor="text1"/>
          <w:sz w:val="24"/>
          <w:szCs w:val="24"/>
        </w:rPr>
      </w:pPr>
      <w:r w:rsidRPr="005B3299">
        <w:rPr>
          <w:rFonts w:ascii="Verdana" w:hAnsi="Verdana"/>
          <w:b/>
          <w:bCs/>
          <w:color w:val="000000" w:themeColor="text1"/>
          <w:sz w:val="24"/>
          <w:szCs w:val="24"/>
        </w:rPr>
        <w:t>Sickness Absence and Workforce Metrics</w:t>
      </w:r>
    </w:p>
    <w:p w14:paraId="23095730" w14:textId="3A15105F" w:rsidR="0059389B" w:rsidRDefault="7CC98422" w:rsidP="002A7D3A">
      <w:pPr>
        <w:spacing w:after="0" w:line="240" w:lineRule="auto"/>
        <w:jc w:val="both"/>
        <w:rPr>
          <w:rFonts w:ascii="Verdana" w:hAnsi="Verdana"/>
          <w:sz w:val="24"/>
          <w:szCs w:val="24"/>
        </w:rPr>
      </w:pPr>
      <w:r w:rsidRPr="009A730B">
        <w:rPr>
          <w:rFonts w:ascii="Verdana" w:hAnsi="Verdana"/>
          <w:sz w:val="24"/>
          <w:szCs w:val="24"/>
        </w:rPr>
        <w:t>During the reporting period, the Committee received regular reports on sickness absence and workforce metrics. These reports provided oversight of trends and identified hotspots across the organisation, with a particular focus on the impact of mental health‑related absence and the effectiveness of mitigating actions.</w:t>
      </w:r>
    </w:p>
    <w:p w14:paraId="3E71712C" w14:textId="77777777" w:rsidR="00FD7EC5" w:rsidRPr="009A730B" w:rsidRDefault="00FD7EC5" w:rsidP="002A7D3A">
      <w:pPr>
        <w:spacing w:after="0" w:line="240" w:lineRule="auto"/>
        <w:jc w:val="both"/>
        <w:rPr>
          <w:rFonts w:ascii="Verdana" w:hAnsi="Verdana"/>
          <w:sz w:val="24"/>
          <w:szCs w:val="24"/>
        </w:rPr>
      </w:pPr>
    </w:p>
    <w:p w14:paraId="2715A8ED" w14:textId="140476BA" w:rsidR="7CC98422" w:rsidRPr="005B3299" w:rsidRDefault="7CC98422" w:rsidP="00C2615D">
      <w:pPr>
        <w:pStyle w:val="ListParagraph"/>
        <w:numPr>
          <w:ilvl w:val="2"/>
          <w:numId w:val="35"/>
        </w:numPr>
        <w:spacing w:line="240" w:lineRule="auto"/>
        <w:jc w:val="both"/>
        <w:rPr>
          <w:rFonts w:ascii="Verdana" w:hAnsi="Verdana"/>
          <w:b/>
          <w:bCs/>
          <w:color w:val="000000" w:themeColor="text1"/>
          <w:sz w:val="24"/>
          <w:szCs w:val="24"/>
        </w:rPr>
      </w:pPr>
      <w:r w:rsidRPr="005B3299">
        <w:rPr>
          <w:rFonts w:ascii="Verdana" w:hAnsi="Verdana"/>
          <w:b/>
          <w:bCs/>
          <w:color w:val="000000" w:themeColor="text1"/>
          <w:sz w:val="24"/>
          <w:szCs w:val="24"/>
        </w:rPr>
        <w:t>Workforce Risks and Issues by Service Group</w:t>
      </w:r>
    </w:p>
    <w:p w14:paraId="07445628" w14:textId="0C63C8DB" w:rsidR="7CC98422" w:rsidRDefault="7CC98422" w:rsidP="002A7D3A">
      <w:pPr>
        <w:spacing w:after="0" w:line="240" w:lineRule="auto"/>
        <w:jc w:val="both"/>
        <w:rPr>
          <w:rFonts w:ascii="Verdana" w:hAnsi="Verdana"/>
          <w:sz w:val="24"/>
          <w:szCs w:val="24"/>
        </w:rPr>
      </w:pPr>
      <w:r w:rsidRPr="009A730B">
        <w:rPr>
          <w:rFonts w:ascii="Verdana" w:hAnsi="Verdana"/>
          <w:sz w:val="24"/>
          <w:szCs w:val="24"/>
        </w:rPr>
        <w:t>The Committee also considered workforce risks and issues by Service Group on a rotating basis, including targeted deep‑dive reviews, such as Mental Health and Learning Disabilities. These reports supported assurance on service‑specific workforce pressures, risks, and the actions being taken to address them.</w:t>
      </w:r>
    </w:p>
    <w:p w14:paraId="22C5B916" w14:textId="77777777" w:rsidR="00FD7EC5" w:rsidRPr="009A730B" w:rsidRDefault="00FD7EC5" w:rsidP="002A7D3A">
      <w:pPr>
        <w:spacing w:after="0" w:line="240" w:lineRule="auto"/>
        <w:jc w:val="both"/>
        <w:rPr>
          <w:rFonts w:ascii="Verdana" w:hAnsi="Verdana"/>
          <w:sz w:val="24"/>
          <w:szCs w:val="24"/>
        </w:rPr>
      </w:pPr>
    </w:p>
    <w:p w14:paraId="14759AD8" w14:textId="0B2FDFF8" w:rsidR="51F4664D" w:rsidRPr="005B3299" w:rsidRDefault="0059389B" w:rsidP="00C2615D">
      <w:pPr>
        <w:pStyle w:val="ListParagraph"/>
        <w:numPr>
          <w:ilvl w:val="2"/>
          <w:numId w:val="35"/>
        </w:numPr>
        <w:spacing w:line="240" w:lineRule="auto"/>
        <w:jc w:val="both"/>
        <w:rPr>
          <w:rFonts w:ascii="Verdana" w:hAnsi="Verdana"/>
          <w:b/>
          <w:bCs/>
          <w:sz w:val="24"/>
          <w:szCs w:val="24"/>
        </w:rPr>
      </w:pPr>
      <w:r w:rsidRPr="005B3299">
        <w:rPr>
          <w:rFonts w:ascii="Verdana" w:hAnsi="Verdana"/>
          <w:b/>
          <w:bCs/>
          <w:sz w:val="24"/>
          <w:szCs w:val="24"/>
        </w:rPr>
        <w:t>Workforce Risks and Issues by Service Group</w:t>
      </w:r>
    </w:p>
    <w:p w14:paraId="07C09111" w14:textId="7CD0B3F2" w:rsidR="0059389B" w:rsidRDefault="477AAC63" w:rsidP="002A7D3A">
      <w:pPr>
        <w:spacing w:after="0" w:line="240" w:lineRule="auto"/>
        <w:jc w:val="both"/>
        <w:rPr>
          <w:rFonts w:ascii="Verdana" w:hAnsi="Verdana"/>
          <w:color w:val="000000" w:themeColor="text1"/>
          <w:sz w:val="24"/>
          <w:szCs w:val="24"/>
        </w:rPr>
      </w:pPr>
      <w:r w:rsidRPr="009A730B">
        <w:rPr>
          <w:rFonts w:ascii="Verdana" w:hAnsi="Verdana"/>
          <w:color w:val="000000" w:themeColor="text1"/>
          <w:sz w:val="24"/>
          <w:szCs w:val="24"/>
        </w:rPr>
        <w:t>Service Groups reporting regularly during the year included Mental Health and Learning Disabilities, Morriston Service Group, and Primary, Community and Therapies, alongside other Service Groups as required, ensuring the Committee maintained visibility of workforce risks across the organisation.</w:t>
      </w:r>
    </w:p>
    <w:p w14:paraId="731A6C33" w14:textId="77777777" w:rsidR="00C277AF" w:rsidRPr="009A730B" w:rsidRDefault="00C277AF" w:rsidP="002A7D3A">
      <w:pPr>
        <w:spacing w:after="0" w:line="240" w:lineRule="auto"/>
        <w:jc w:val="both"/>
      </w:pPr>
    </w:p>
    <w:p w14:paraId="1D78D6C2" w14:textId="38248B02" w:rsidR="51F4664D" w:rsidRPr="008E11A8" w:rsidRDefault="00337A5A" w:rsidP="00C2615D">
      <w:pPr>
        <w:pStyle w:val="ListParagraph"/>
        <w:numPr>
          <w:ilvl w:val="2"/>
          <w:numId w:val="35"/>
        </w:numPr>
        <w:spacing w:line="240" w:lineRule="auto"/>
        <w:jc w:val="both"/>
        <w:rPr>
          <w:rFonts w:ascii="Verdana" w:hAnsi="Verdana"/>
          <w:b/>
          <w:bCs/>
          <w:color w:val="000000" w:themeColor="text1"/>
          <w:sz w:val="24"/>
          <w:szCs w:val="24"/>
        </w:rPr>
      </w:pPr>
      <w:r w:rsidRPr="008E11A8">
        <w:rPr>
          <w:rFonts w:ascii="Verdana" w:hAnsi="Verdana"/>
          <w:b/>
          <w:bCs/>
          <w:color w:val="000000" w:themeColor="text1"/>
          <w:sz w:val="24"/>
          <w:szCs w:val="24"/>
        </w:rPr>
        <w:t xml:space="preserve">Staff influenza vaccination uptake </w:t>
      </w:r>
    </w:p>
    <w:p w14:paraId="314D4992" w14:textId="7871C239" w:rsidR="49220B0B" w:rsidRDefault="6800D8AA" w:rsidP="002A7D3A">
      <w:pPr>
        <w:spacing w:after="0" w:line="240" w:lineRule="auto"/>
        <w:jc w:val="both"/>
        <w:rPr>
          <w:rFonts w:ascii="Verdana" w:hAnsi="Verdana"/>
          <w:color w:val="000000" w:themeColor="text1"/>
          <w:sz w:val="24"/>
          <w:szCs w:val="24"/>
        </w:rPr>
      </w:pPr>
      <w:r w:rsidRPr="009A730B">
        <w:rPr>
          <w:rFonts w:ascii="Verdana" w:hAnsi="Verdana"/>
          <w:color w:val="000000" w:themeColor="text1"/>
          <w:sz w:val="24"/>
          <w:szCs w:val="24"/>
        </w:rPr>
        <w:t>In June 2025, the Committee received a report on staff influenza vaccination uptake. The Committee noted that uptake for the 2024–25 flu season had reduced and considered actions to improve coverage, including enhanced monitoring, strengthened communication and engagement, and the appointment of service‑level flu leads and peer vaccinators</w:t>
      </w:r>
    </w:p>
    <w:p w14:paraId="7348280C" w14:textId="77777777" w:rsidR="00C277AF" w:rsidRDefault="00C277AF" w:rsidP="00C277AF">
      <w:pPr>
        <w:spacing w:after="0"/>
        <w:jc w:val="both"/>
        <w:rPr>
          <w:rFonts w:ascii="Verdana" w:hAnsi="Verdana"/>
          <w:color w:val="000000" w:themeColor="text1"/>
          <w:sz w:val="24"/>
          <w:szCs w:val="24"/>
        </w:rPr>
      </w:pPr>
    </w:p>
    <w:p w14:paraId="7FAC8533" w14:textId="77777777" w:rsidR="002A7D3A" w:rsidRPr="009A730B" w:rsidRDefault="002A7D3A" w:rsidP="00C277AF">
      <w:pPr>
        <w:spacing w:after="0"/>
        <w:jc w:val="both"/>
        <w:rPr>
          <w:rFonts w:ascii="Verdana" w:hAnsi="Verdana"/>
          <w:color w:val="000000" w:themeColor="text1"/>
          <w:sz w:val="24"/>
          <w:szCs w:val="24"/>
        </w:rPr>
      </w:pPr>
    </w:p>
    <w:p w14:paraId="1ABDC3F5" w14:textId="18293F3E" w:rsidR="65F09CBB" w:rsidRPr="008E11A8" w:rsidRDefault="65F09CBB" w:rsidP="00C2615D">
      <w:pPr>
        <w:pStyle w:val="ListParagraph"/>
        <w:numPr>
          <w:ilvl w:val="2"/>
          <w:numId w:val="35"/>
        </w:numPr>
        <w:jc w:val="both"/>
        <w:rPr>
          <w:rFonts w:ascii="Verdana" w:hAnsi="Verdana"/>
          <w:b/>
          <w:bCs/>
          <w:color w:val="000000" w:themeColor="text1"/>
          <w:sz w:val="24"/>
          <w:szCs w:val="24"/>
        </w:rPr>
      </w:pPr>
      <w:r w:rsidRPr="008E11A8">
        <w:rPr>
          <w:rFonts w:ascii="Verdana" w:hAnsi="Verdana"/>
          <w:b/>
          <w:bCs/>
          <w:color w:val="000000" w:themeColor="text1"/>
          <w:sz w:val="24"/>
          <w:szCs w:val="24"/>
        </w:rPr>
        <w:t>Obstetrics and Gynaecology Performance</w:t>
      </w:r>
    </w:p>
    <w:p w14:paraId="29DCA3EC" w14:textId="5595876A" w:rsidR="3DE072D7" w:rsidRPr="009A730B" w:rsidRDefault="3DE072D7" w:rsidP="002A7D3A">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sz w:val="24"/>
          <w:szCs w:val="24"/>
        </w:rPr>
        <w:t xml:space="preserve">In June 2025, the Workforce and Organisational Development Committee reviewed performance in Obstetrics and Gynaecology, including job planning and recruitment, as part of its consideration of the Health </w:t>
      </w:r>
      <w:r w:rsidRPr="009A730B">
        <w:rPr>
          <w:rFonts w:ascii="Verdana" w:eastAsia="Verdana" w:hAnsi="Verdana" w:cs="Verdana"/>
          <w:sz w:val="24"/>
          <w:szCs w:val="24"/>
        </w:rPr>
        <w:lastRenderedPageBreak/>
        <w:t>Education and Improvement Wales review. The Committee took assurance from the improvements reported and the reduction in the associated risk rating.</w:t>
      </w:r>
    </w:p>
    <w:p w14:paraId="4BC655E4" w14:textId="69EB163A" w:rsidR="49220B0B" w:rsidRPr="009A730B" w:rsidRDefault="49220B0B" w:rsidP="002A7D3A">
      <w:pPr>
        <w:spacing w:after="0" w:line="240" w:lineRule="auto"/>
        <w:jc w:val="both"/>
        <w:rPr>
          <w:rFonts w:ascii="Verdana" w:eastAsia="Verdana" w:hAnsi="Verdana" w:cs="Verdana"/>
          <w:sz w:val="24"/>
          <w:szCs w:val="24"/>
        </w:rPr>
      </w:pPr>
    </w:p>
    <w:p w14:paraId="14C9CB4D" w14:textId="03FAFCAB" w:rsidR="02724266" w:rsidRPr="008E11A8" w:rsidRDefault="02724266" w:rsidP="00C2615D">
      <w:pPr>
        <w:pStyle w:val="ListParagraph"/>
        <w:numPr>
          <w:ilvl w:val="2"/>
          <w:numId w:val="35"/>
        </w:numPr>
        <w:spacing w:after="0" w:line="240" w:lineRule="auto"/>
        <w:jc w:val="both"/>
        <w:rPr>
          <w:rFonts w:ascii="Verdana" w:eastAsia="Verdana" w:hAnsi="Verdana" w:cs="Verdana"/>
          <w:b/>
          <w:bCs/>
          <w:color w:val="000000" w:themeColor="text1"/>
          <w:sz w:val="24"/>
          <w:szCs w:val="24"/>
        </w:rPr>
      </w:pPr>
      <w:r w:rsidRPr="008E11A8">
        <w:rPr>
          <w:rFonts w:ascii="Verdana" w:eastAsia="Verdana" w:hAnsi="Verdana" w:cs="Verdana"/>
          <w:b/>
          <w:bCs/>
          <w:color w:val="000000" w:themeColor="text1"/>
          <w:sz w:val="24"/>
          <w:szCs w:val="24"/>
        </w:rPr>
        <w:t>Staff health and wellbeing update report</w:t>
      </w:r>
    </w:p>
    <w:p w14:paraId="5C39C1FB" w14:textId="2E4EA269" w:rsidR="02724266" w:rsidRPr="009A730B" w:rsidRDefault="02724266" w:rsidP="002A7D3A">
      <w:pPr>
        <w:spacing w:after="0" w:line="240" w:lineRule="auto"/>
        <w:jc w:val="both"/>
        <w:rPr>
          <w:rFonts w:ascii="Verdana" w:eastAsia="Verdana" w:hAnsi="Verdana" w:cs="Verdana"/>
          <w:sz w:val="24"/>
          <w:szCs w:val="24"/>
        </w:rPr>
      </w:pPr>
      <w:r w:rsidRPr="009A730B">
        <w:rPr>
          <w:rFonts w:ascii="Verdana" w:eastAsia="Verdana" w:hAnsi="Verdana" w:cs="Verdana"/>
          <w:sz w:val="24"/>
          <w:szCs w:val="24"/>
        </w:rPr>
        <w:t>The Committee received a Staff Health and Wellbeing Update Report in August 2025, providing oversight of staff wellbeing and sickness absence management.</w:t>
      </w:r>
    </w:p>
    <w:p w14:paraId="0069AA1F" w14:textId="59D88F51" w:rsidR="49220B0B" w:rsidRPr="009A730B" w:rsidRDefault="49220B0B" w:rsidP="002A7D3A">
      <w:pPr>
        <w:spacing w:after="0" w:line="240" w:lineRule="auto"/>
        <w:jc w:val="both"/>
        <w:rPr>
          <w:rFonts w:ascii="Verdana" w:eastAsia="Verdana" w:hAnsi="Verdana" w:cs="Verdana"/>
          <w:sz w:val="24"/>
          <w:szCs w:val="24"/>
        </w:rPr>
      </w:pPr>
    </w:p>
    <w:p w14:paraId="6A534B24" w14:textId="2091ECD9" w:rsidR="4C2CF7CD" w:rsidRPr="008E11A8" w:rsidRDefault="4C2CF7CD" w:rsidP="00C2615D">
      <w:pPr>
        <w:pStyle w:val="ListParagraph"/>
        <w:numPr>
          <w:ilvl w:val="2"/>
          <w:numId w:val="35"/>
        </w:numPr>
        <w:spacing w:line="240" w:lineRule="auto"/>
        <w:jc w:val="both"/>
        <w:rPr>
          <w:rFonts w:ascii="Verdana" w:hAnsi="Verdana"/>
          <w:b/>
          <w:bCs/>
          <w:color w:val="000000" w:themeColor="text1"/>
          <w:sz w:val="24"/>
          <w:szCs w:val="24"/>
        </w:rPr>
      </w:pPr>
      <w:r w:rsidRPr="008E11A8">
        <w:rPr>
          <w:rFonts w:ascii="Verdana" w:hAnsi="Verdana"/>
          <w:b/>
          <w:bCs/>
          <w:color w:val="000000" w:themeColor="text1"/>
          <w:sz w:val="24"/>
          <w:szCs w:val="24"/>
        </w:rPr>
        <w:t>Theatre Performance</w:t>
      </w:r>
      <w:r w:rsidR="146A662C" w:rsidRPr="008E11A8">
        <w:rPr>
          <w:rFonts w:ascii="Verdana" w:hAnsi="Verdana"/>
          <w:b/>
          <w:bCs/>
          <w:color w:val="000000" w:themeColor="text1"/>
          <w:sz w:val="24"/>
          <w:szCs w:val="24"/>
        </w:rPr>
        <w:t xml:space="preserve"> and Sickness Management</w:t>
      </w:r>
    </w:p>
    <w:p w14:paraId="3182A96A" w14:textId="171E36F8" w:rsidR="146A662C" w:rsidRPr="009A730B" w:rsidRDefault="146A662C" w:rsidP="002A7D3A">
      <w:pPr>
        <w:spacing w:line="240" w:lineRule="auto"/>
        <w:jc w:val="both"/>
        <w:rPr>
          <w:rFonts w:ascii="Verdana" w:hAnsi="Verdana"/>
          <w:color w:val="000000" w:themeColor="text1"/>
          <w:sz w:val="24"/>
          <w:szCs w:val="24"/>
        </w:rPr>
      </w:pPr>
      <w:r w:rsidRPr="009A730B">
        <w:rPr>
          <w:rFonts w:ascii="Verdana" w:hAnsi="Verdana"/>
          <w:color w:val="000000" w:themeColor="text1"/>
          <w:sz w:val="24"/>
          <w:szCs w:val="24"/>
        </w:rPr>
        <w:t xml:space="preserve">In October 2025, </w:t>
      </w:r>
      <w:r w:rsidR="0059389B" w:rsidRPr="009A730B">
        <w:rPr>
          <w:rFonts w:ascii="Verdana" w:hAnsi="Verdana"/>
          <w:color w:val="000000" w:themeColor="text1"/>
          <w:sz w:val="24"/>
          <w:szCs w:val="24"/>
        </w:rPr>
        <w:t>the Committee</w:t>
      </w:r>
      <w:r w:rsidRPr="009A730B">
        <w:rPr>
          <w:rFonts w:ascii="Verdana" w:hAnsi="Verdana"/>
          <w:color w:val="000000" w:themeColor="text1"/>
          <w:sz w:val="24"/>
          <w:szCs w:val="24"/>
        </w:rPr>
        <w:t xml:space="preserve"> received a report on Theatre Performance and Sickness Management, including the engagement action plan following completion of the listening and engagement phase. The Committee noted the progress made in addressing sickness absence and improving staff engagement within theatre services.</w:t>
      </w:r>
    </w:p>
    <w:p w14:paraId="20DDDEB8" w14:textId="253937ED" w:rsidR="0EB9FBAE" w:rsidRPr="008E11A8" w:rsidRDefault="0EB9FBAE" w:rsidP="00C2615D">
      <w:pPr>
        <w:pStyle w:val="ListParagraph"/>
        <w:numPr>
          <w:ilvl w:val="2"/>
          <w:numId w:val="35"/>
        </w:numPr>
        <w:spacing w:line="240" w:lineRule="auto"/>
        <w:jc w:val="both"/>
        <w:rPr>
          <w:rFonts w:ascii="Verdana" w:hAnsi="Verdana"/>
          <w:b/>
          <w:bCs/>
          <w:color w:val="000000" w:themeColor="text1"/>
          <w:sz w:val="24"/>
          <w:szCs w:val="24"/>
        </w:rPr>
      </w:pPr>
      <w:r w:rsidRPr="008E11A8">
        <w:rPr>
          <w:rFonts w:ascii="Verdana" w:hAnsi="Verdana"/>
          <w:b/>
          <w:bCs/>
          <w:color w:val="000000" w:themeColor="text1"/>
          <w:sz w:val="24"/>
          <w:szCs w:val="24"/>
        </w:rPr>
        <w:t>Gorseinon Staffing Issues</w:t>
      </w:r>
    </w:p>
    <w:p w14:paraId="1C9D89BF" w14:textId="46BCEBDD" w:rsidR="49220B0B" w:rsidRDefault="0EB9FBAE" w:rsidP="002A7D3A">
      <w:pPr>
        <w:spacing w:line="240" w:lineRule="auto"/>
        <w:jc w:val="both"/>
        <w:rPr>
          <w:rFonts w:ascii="Verdana" w:hAnsi="Verdana"/>
          <w:color w:val="000000" w:themeColor="text1"/>
          <w:sz w:val="24"/>
          <w:szCs w:val="24"/>
        </w:rPr>
      </w:pPr>
      <w:r w:rsidRPr="009A730B">
        <w:rPr>
          <w:rFonts w:ascii="Verdana" w:hAnsi="Verdana"/>
          <w:color w:val="000000" w:themeColor="text1"/>
          <w:sz w:val="24"/>
          <w:szCs w:val="24"/>
        </w:rPr>
        <w:t>In December 2025, the Committee received an update on Gorseinon Staffing Issues following the temporary closure of Gorseinon West Ward and transfer of services to Singleton Hospital. The Committee took assurance from reported improvements in staffing stability, sickness absence, and reduced reliance on agency staff, while noting the need for ongoing oversight and referral of patient safety and quality issues to the Quality and Safety Committee.</w:t>
      </w:r>
    </w:p>
    <w:p w14:paraId="23EA1502" w14:textId="77777777" w:rsidR="00E47B11" w:rsidRPr="009A730B" w:rsidRDefault="00E47B11" w:rsidP="002A7D3A">
      <w:pPr>
        <w:spacing w:line="240" w:lineRule="auto"/>
        <w:jc w:val="both"/>
        <w:rPr>
          <w:rFonts w:ascii="Verdana" w:hAnsi="Verdana"/>
          <w:color w:val="000000" w:themeColor="text1"/>
          <w:sz w:val="24"/>
          <w:szCs w:val="24"/>
        </w:rPr>
      </w:pPr>
    </w:p>
    <w:p w14:paraId="09446DD6" w14:textId="6C356A03" w:rsidR="51F4664D" w:rsidRPr="00C277AF" w:rsidRDefault="0EDDBB52" w:rsidP="00C2615D">
      <w:pPr>
        <w:pStyle w:val="ListParagraph"/>
        <w:numPr>
          <w:ilvl w:val="1"/>
          <w:numId w:val="35"/>
        </w:numPr>
        <w:spacing w:line="240" w:lineRule="auto"/>
        <w:jc w:val="both"/>
        <w:rPr>
          <w:rFonts w:ascii="Verdana" w:hAnsi="Verdana"/>
          <w:b/>
          <w:bCs/>
          <w:color w:val="000000" w:themeColor="text1"/>
          <w:sz w:val="24"/>
          <w:szCs w:val="24"/>
          <w:u w:val="single"/>
        </w:rPr>
      </w:pPr>
      <w:r w:rsidRPr="008E11A8">
        <w:rPr>
          <w:rFonts w:ascii="Verdana" w:hAnsi="Verdana"/>
          <w:b/>
          <w:bCs/>
          <w:color w:val="000000" w:themeColor="text1"/>
          <w:sz w:val="24"/>
          <w:szCs w:val="24"/>
          <w:u w:val="single"/>
        </w:rPr>
        <w:t xml:space="preserve">Staff Experience and Engagement </w:t>
      </w:r>
    </w:p>
    <w:p w14:paraId="595639F4" w14:textId="44908143" w:rsidR="7E0884EA" w:rsidRPr="008E11A8" w:rsidRDefault="008E11A8" w:rsidP="002A7D3A">
      <w:pPr>
        <w:spacing w:line="240" w:lineRule="auto"/>
        <w:jc w:val="both"/>
        <w:rPr>
          <w:rFonts w:ascii="Verdana" w:hAnsi="Verdana"/>
          <w:b/>
          <w:bCs/>
          <w:color w:val="000000" w:themeColor="text1"/>
          <w:sz w:val="24"/>
          <w:szCs w:val="24"/>
        </w:rPr>
      </w:pPr>
      <w:r>
        <w:rPr>
          <w:rFonts w:ascii="Verdana" w:hAnsi="Verdana"/>
          <w:b/>
          <w:bCs/>
          <w:color w:val="000000" w:themeColor="text1"/>
          <w:sz w:val="24"/>
          <w:szCs w:val="24"/>
        </w:rPr>
        <w:t>5.2.</w:t>
      </w:r>
      <w:r w:rsidR="00C277AF">
        <w:rPr>
          <w:rFonts w:ascii="Verdana" w:hAnsi="Verdana"/>
          <w:b/>
          <w:bCs/>
          <w:color w:val="000000" w:themeColor="text1"/>
          <w:sz w:val="24"/>
          <w:szCs w:val="24"/>
        </w:rPr>
        <w:t xml:space="preserve">1 </w:t>
      </w:r>
      <w:r w:rsidR="7E0884EA" w:rsidRPr="008E11A8">
        <w:rPr>
          <w:rFonts w:ascii="Verdana" w:hAnsi="Verdana"/>
          <w:b/>
          <w:bCs/>
          <w:color w:val="000000" w:themeColor="text1"/>
          <w:sz w:val="24"/>
          <w:szCs w:val="24"/>
        </w:rPr>
        <w:t xml:space="preserve">Staff </w:t>
      </w:r>
      <w:r w:rsidR="077DCAE1" w:rsidRPr="008E11A8">
        <w:rPr>
          <w:rFonts w:ascii="Verdana" w:hAnsi="Verdana"/>
          <w:b/>
          <w:bCs/>
          <w:color w:val="000000" w:themeColor="text1"/>
          <w:sz w:val="24"/>
          <w:szCs w:val="24"/>
        </w:rPr>
        <w:t>Survey</w:t>
      </w:r>
      <w:r w:rsidR="655DC67E" w:rsidRPr="008E11A8">
        <w:rPr>
          <w:rFonts w:ascii="Verdana" w:hAnsi="Verdana"/>
          <w:b/>
          <w:bCs/>
          <w:color w:val="000000" w:themeColor="text1"/>
          <w:sz w:val="24"/>
          <w:szCs w:val="24"/>
        </w:rPr>
        <w:t>/Action Plan updates</w:t>
      </w:r>
    </w:p>
    <w:p w14:paraId="522187DB" w14:textId="113CE2CF" w:rsidR="7E0884EA" w:rsidRPr="009A730B" w:rsidRDefault="7E0884EA" w:rsidP="002A7D3A">
      <w:pPr>
        <w:spacing w:after="0" w:line="240" w:lineRule="auto"/>
        <w:jc w:val="both"/>
        <w:rPr>
          <w:rFonts w:ascii="Verdana" w:hAnsi="Verdana"/>
          <w:color w:val="000000" w:themeColor="text1"/>
          <w:sz w:val="24"/>
          <w:szCs w:val="24"/>
        </w:rPr>
      </w:pPr>
      <w:r w:rsidRPr="009A730B">
        <w:rPr>
          <w:rFonts w:ascii="Verdana" w:hAnsi="Verdana"/>
          <w:color w:val="000000" w:themeColor="text1"/>
          <w:sz w:val="24"/>
          <w:szCs w:val="24"/>
        </w:rPr>
        <w:t>The Committee received regular updates on Staff Survey results and associated action plans. These updates were considered at key points in the year and as part of Service Group workforce deep‑dive reviews, providing assurance on progress against agreed actions and measures to improve staff engagement and participation.</w:t>
      </w:r>
    </w:p>
    <w:p w14:paraId="250D7BEE" w14:textId="49F19D80" w:rsidR="51F4664D" w:rsidRPr="009A730B" w:rsidRDefault="51F4664D" w:rsidP="002A7D3A">
      <w:pPr>
        <w:spacing w:line="240" w:lineRule="auto"/>
        <w:jc w:val="both"/>
        <w:rPr>
          <w:rFonts w:ascii="Verdana" w:hAnsi="Verdana"/>
          <w:color w:val="000000" w:themeColor="text1"/>
          <w:sz w:val="24"/>
          <w:szCs w:val="24"/>
        </w:rPr>
      </w:pPr>
    </w:p>
    <w:p w14:paraId="02BDB027" w14:textId="00E8D9A9" w:rsidR="5E487E5F" w:rsidRPr="00C277AF" w:rsidRDefault="5E487E5F" w:rsidP="00C2615D">
      <w:pPr>
        <w:pStyle w:val="ListParagraph"/>
        <w:numPr>
          <w:ilvl w:val="2"/>
          <w:numId w:val="35"/>
        </w:numPr>
        <w:spacing w:line="240" w:lineRule="auto"/>
        <w:jc w:val="both"/>
        <w:rPr>
          <w:rFonts w:ascii="Verdana" w:hAnsi="Verdana"/>
          <w:b/>
          <w:bCs/>
          <w:color w:val="000000" w:themeColor="text1"/>
          <w:sz w:val="24"/>
          <w:szCs w:val="24"/>
        </w:rPr>
      </w:pPr>
      <w:r w:rsidRPr="00C277AF">
        <w:rPr>
          <w:rFonts w:ascii="Verdana" w:hAnsi="Verdana"/>
          <w:b/>
          <w:bCs/>
          <w:color w:val="000000" w:themeColor="text1"/>
          <w:sz w:val="24"/>
          <w:szCs w:val="24"/>
        </w:rPr>
        <w:t>Staff Experience / Culture Updates</w:t>
      </w:r>
    </w:p>
    <w:p w14:paraId="0612A9D1" w14:textId="550CF94D" w:rsidR="5E487E5F" w:rsidRPr="009A730B" w:rsidRDefault="5E487E5F" w:rsidP="002A7D3A">
      <w:pPr>
        <w:spacing w:line="240" w:lineRule="auto"/>
        <w:jc w:val="both"/>
        <w:rPr>
          <w:rFonts w:ascii="Verdana" w:hAnsi="Verdana"/>
          <w:color w:val="000000" w:themeColor="text1"/>
          <w:sz w:val="24"/>
          <w:szCs w:val="24"/>
        </w:rPr>
      </w:pPr>
      <w:r w:rsidRPr="009A730B">
        <w:rPr>
          <w:rFonts w:ascii="Verdana" w:hAnsi="Verdana"/>
          <w:color w:val="000000" w:themeColor="text1"/>
          <w:sz w:val="24"/>
          <w:szCs w:val="24"/>
        </w:rPr>
        <w:t>T</w:t>
      </w:r>
      <w:r w:rsidR="2320C668" w:rsidRPr="009A730B">
        <w:rPr>
          <w:rFonts w:ascii="Verdana" w:hAnsi="Verdana"/>
          <w:color w:val="000000" w:themeColor="text1"/>
          <w:sz w:val="24"/>
          <w:szCs w:val="24"/>
        </w:rPr>
        <w:t>he Committee received updates on staff experience and organisational culture, including progress in relation to values and behaviours, speaking‑up arrangements, and staff engagement activity.</w:t>
      </w:r>
    </w:p>
    <w:p w14:paraId="2A01D3EC" w14:textId="7E0571BF" w:rsidR="002528AD" w:rsidRDefault="2320C668" w:rsidP="002A7D3A">
      <w:pPr>
        <w:spacing w:line="240" w:lineRule="auto"/>
        <w:jc w:val="both"/>
        <w:rPr>
          <w:rFonts w:ascii="Verdana" w:hAnsi="Verdana"/>
          <w:color w:val="000000" w:themeColor="text1"/>
          <w:sz w:val="24"/>
          <w:szCs w:val="24"/>
        </w:rPr>
      </w:pPr>
      <w:r w:rsidRPr="009A730B">
        <w:rPr>
          <w:rFonts w:ascii="Verdana" w:hAnsi="Verdana"/>
          <w:color w:val="000000" w:themeColor="text1"/>
          <w:sz w:val="24"/>
          <w:szCs w:val="24"/>
        </w:rPr>
        <w:t>These updates were considered by the Committee in August 2025, including as part of Service Group workforce reporting, and supported assurance on the actions being taken to strengthen organisational culture and improve staff experience.</w:t>
      </w:r>
    </w:p>
    <w:p w14:paraId="785AB4A9" w14:textId="77777777" w:rsidR="00594B28" w:rsidRPr="009A730B" w:rsidRDefault="00594B28" w:rsidP="002A7D3A">
      <w:pPr>
        <w:spacing w:line="240" w:lineRule="auto"/>
        <w:jc w:val="both"/>
        <w:rPr>
          <w:rFonts w:ascii="Verdana" w:hAnsi="Verdana"/>
          <w:color w:val="000000" w:themeColor="text1"/>
          <w:sz w:val="24"/>
          <w:szCs w:val="24"/>
        </w:rPr>
      </w:pPr>
    </w:p>
    <w:p w14:paraId="72748FB8" w14:textId="6880FD97" w:rsidR="51F4664D" w:rsidRPr="00C277AF" w:rsidRDefault="00073659" w:rsidP="00C2615D">
      <w:pPr>
        <w:pStyle w:val="ListParagraph"/>
        <w:numPr>
          <w:ilvl w:val="2"/>
          <w:numId w:val="35"/>
        </w:numPr>
        <w:spacing w:line="240" w:lineRule="auto"/>
        <w:jc w:val="both"/>
        <w:rPr>
          <w:rFonts w:ascii="Verdana" w:hAnsi="Verdana"/>
          <w:b/>
          <w:bCs/>
          <w:color w:val="000000" w:themeColor="text1"/>
          <w:sz w:val="24"/>
          <w:szCs w:val="24"/>
        </w:rPr>
      </w:pPr>
      <w:r w:rsidRPr="00C277AF">
        <w:rPr>
          <w:rFonts w:ascii="Verdana" w:hAnsi="Verdana"/>
          <w:b/>
          <w:bCs/>
          <w:color w:val="000000" w:themeColor="text1"/>
          <w:sz w:val="24"/>
          <w:szCs w:val="24"/>
        </w:rPr>
        <w:lastRenderedPageBreak/>
        <w:t>Staff Stor</w:t>
      </w:r>
      <w:r w:rsidR="00CE2C8D" w:rsidRPr="00C277AF">
        <w:rPr>
          <w:rFonts w:ascii="Verdana" w:hAnsi="Verdana"/>
          <w:b/>
          <w:bCs/>
          <w:color w:val="000000" w:themeColor="text1"/>
          <w:sz w:val="24"/>
          <w:szCs w:val="24"/>
        </w:rPr>
        <w:t>y</w:t>
      </w:r>
    </w:p>
    <w:p w14:paraId="5CE1CC1F" w14:textId="025D257E" w:rsidR="00206849" w:rsidRPr="009A730B" w:rsidRDefault="00ED24A5" w:rsidP="002A7D3A">
      <w:pPr>
        <w:spacing w:after="0" w:line="240" w:lineRule="auto"/>
        <w:jc w:val="both"/>
        <w:rPr>
          <w:rFonts w:ascii="Verdana" w:hAnsi="Verdana"/>
          <w:color w:val="000000" w:themeColor="text1"/>
          <w:sz w:val="24"/>
          <w:szCs w:val="24"/>
        </w:rPr>
      </w:pPr>
      <w:r w:rsidRPr="009A730B">
        <w:rPr>
          <w:rFonts w:ascii="Verdana" w:hAnsi="Verdana"/>
          <w:color w:val="000000" w:themeColor="text1"/>
          <w:sz w:val="24"/>
          <w:szCs w:val="24"/>
        </w:rPr>
        <w:t xml:space="preserve">From June 2025, the Workforce and Organisational Development Committee introduced Staff Stories as </w:t>
      </w:r>
      <w:r w:rsidR="2FD85C79" w:rsidRPr="009A730B">
        <w:rPr>
          <w:rFonts w:ascii="Verdana" w:hAnsi="Verdana"/>
          <w:color w:val="000000" w:themeColor="text1"/>
          <w:sz w:val="24"/>
          <w:szCs w:val="24"/>
        </w:rPr>
        <w:t>a regular item on</w:t>
      </w:r>
      <w:r w:rsidRPr="009A730B">
        <w:rPr>
          <w:rFonts w:ascii="Verdana" w:hAnsi="Verdana"/>
          <w:color w:val="000000" w:themeColor="text1"/>
          <w:sz w:val="24"/>
          <w:szCs w:val="24"/>
        </w:rPr>
        <w:t xml:space="preserve"> its agenda, providing members with direct insight into staff experience, lived experience and workforce</w:t>
      </w:r>
      <w:r w:rsidRPr="009A730B">
        <w:rPr>
          <w:rFonts w:ascii="Cambria Math" w:hAnsi="Cambria Math" w:cs="Cambria Math"/>
          <w:color w:val="000000" w:themeColor="text1"/>
          <w:sz w:val="24"/>
          <w:szCs w:val="24"/>
        </w:rPr>
        <w:t>‑</w:t>
      </w:r>
      <w:r w:rsidRPr="009A730B">
        <w:rPr>
          <w:rFonts w:ascii="Verdana" w:hAnsi="Verdana"/>
          <w:color w:val="000000" w:themeColor="text1"/>
          <w:sz w:val="24"/>
          <w:szCs w:val="24"/>
        </w:rPr>
        <w:t>related challenges. These sessions supported the Committee</w:t>
      </w:r>
      <w:r w:rsidRPr="009A730B">
        <w:rPr>
          <w:rFonts w:ascii="Verdana" w:hAnsi="Verdana" w:cs="Verdana"/>
          <w:color w:val="000000" w:themeColor="text1"/>
          <w:sz w:val="24"/>
          <w:szCs w:val="24"/>
        </w:rPr>
        <w:t>’</w:t>
      </w:r>
      <w:r w:rsidRPr="009A730B">
        <w:rPr>
          <w:rFonts w:ascii="Verdana" w:hAnsi="Verdana"/>
          <w:color w:val="000000" w:themeColor="text1"/>
          <w:sz w:val="24"/>
          <w:szCs w:val="24"/>
        </w:rPr>
        <w:t>s assurance role by strengthening understanding of operational impact and informing its oversight of workforce risks and improvement actions.</w:t>
      </w:r>
    </w:p>
    <w:p w14:paraId="64C4466D" w14:textId="24F68D84" w:rsidR="002528AD" w:rsidRPr="009A730B" w:rsidRDefault="00206849" w:rsidP="002A7D3A">
      <w:pPr>
        <w:spacing w:after="0" w:line="240" w:lineRule="auto"/>
        <w:jc w:val="both"/>
        <w:rPr>
          <w:rFonts w:ascii="Verdana" w:hAnsi="Verdana"/>
          <w:color w:val="000000" w:themeColor="text1"/>
          <w:sz w:val="24"/>
          <w:szCs w:val="24"/>
        </w:rPr>
      </w:pPr>
      <w:r w:rsidRPr="009A730B">
        <w:rPr>
          <w:rFonts w:ascii="Verdana" w:hAnsi="Verdana"/>
          <w:color w:val="000000" w:themeColor="text1"/>
          <w:sz w:val="24"/>
          <w:szCs w:val="24"/>
        </w:rPr>
        <w:t>The Committee received Staff Stories relating to the Minor Injury Unit, Community Nursing,</w:t>
      </w:r>
      <w:r w:rsidR="00A14DC0" w:rsidRPr="009A730B">
        <w:rPr>
          <w:rFonts w:ascii="Verdana" w:hAnsi="Verdana"/>
          <w:color w:val="000000" w:themeColor="text1"/>
          <w:sz w:val="24"/>
          <w:szCs w:val="24"/>
        </w:rPr>
        <w:t xml:space="preserve"> Internationally Recruited Nurse</w:t>
      </w:r>
      <w:r w:rsidR="38BFB3C9" w:rsidRPr="009A730B">
        <w:rPr>
          <w:rFonts w:ascii="Verdana" w:hAnsi="Verdana"/>
          <w:color w:val="000000" w:themeColor="text1"/>
          <w:sz w:val="24"/>
          <w:szCs w:val="24"/>
        </w:rPr>
        <w:t>s</w:t>
      </w:r>
      <w:r w:rsidRPr="009A730B">
        <w:rPr>
          <w:rFonts w:ascii="Verdana" w:hAnsi="Verdana"/>
          <w:color w:val="000000" w:themeColor="text1"/>
          <w:sz w:val="24"/>
          <w:szCs w:val="24"/>
        </w:rPr>
        <w:t xml:space="preserve"> and Estates, using staff lived experience to inform its assurance, escalation and oversight of workforce risks.</w:t>
      </w:r>
    </w:p>
    <w:p w14:paraId="576CB9E5" w14:textId="77777777" w:rsidR="00206849" w:rsidRPr="009A730B" w:rsidRDefault="00206849" w:rsidP="002A7D3A">
      <w:pPr>
        <w:spacing w:line="240" w:lineRule="auto"/>
        <w:jc w:val="both"/>
        <w:rPr>
          <w:rFonts w:ascii="Verdana" w:hAnsi="Verdana"/>
          <w:color w:val="000000" w:themeColor="text1"/>
          <w:sz w:val="24"/>
          <w:szCs w:val="24"/>
        </w:rPr>
      </w:pPr>
    </w:p>
    <w:p w14:paraId="74020C83" w14:textId="0F324E77" w:rsidR="229E56FF" w:rsidRPr="00C277AF" w:rsidRDefault="229E56FF" w:rsidP="00C2615D">
      <w:pPr>
        <w:pStyle w:val="ListParagraph"/>
        <w:numPr>
          <w:ilvl w:val="2"/>
          <w:numId w:val="35"/>
        </w:numPr>
        <w:spacing w:line="240" w:lineRule="auto"/>
        <w:jc w:val="both"/>
        <w:rPr>
          <w:rFonts w:ascii="Verdana" w:hAnsi="Verdana"/>
          <w:b/>
          <w:bCs/>
          <w:color w:val="000000" w:themeColor="text1"/>
          <w:sz w:val="24"/>
          <w:szCs w:val="24"/>
        </w:rPr>
      </w:pPr>
      <w:r w:rsidRPr="00C277AF">
        <w:rPr>
          <w:rFonts w:ascii="Verdana" w:hAnsi="Verdana"/>
          <w:b/>
          <w:bCs/>
          <w:color w:val="000000" w:themeColor="text1"/>
          <w:sz w:val="24"/>
          <w:szCs w:val="24"/>
        </w:rPr>
        <w:t>Progress against the People Strategy</w:t>
      </w:r>
    </w:p>
    <w:p w14:paraId="14B454E7" w14:textId="1728CE48" w:rsidR="007C425B" w:rsidRPr="009A730B" w:rsidRDefault="229E56FF" w:rsidP="002A7D3A">
      <w:pPr>
        <w:spacing w:after="0" w:line="240" w:lineRule="auto"/>
        <w:jc w:val="both"/>
        <w:rPr>
          <w:rFonts w:ascii="Verdana" w:hAnsi="Verdana"/>
          <w:color w:val="000000" w:themeColor="text1"/>
          <w:sz w:val="24"/>
          <w:szCs w:val="24"/>
        </w:rPr>
      </w:pPr>
      <w:r w:rsidRPr="009A730B">
        <w:rPr>
          <w:rFonts w:ascii="Verdana" w:hAnsi="Verdana"/>
          <w:color w:val="000000" w:themeColor="text1"/>
          <w:sz w:val="24"/>
          <w:szCs w:val="24"/>
        </w:rPr>
        <w:t>In October 2025, the Workforce and Organisational Development Committee received and considered a progress report against the People Strategy 2024–2029, providing assurance on delivery of the People Strategy priorities and the progress made across the reporting period.</w:t>
      </w:r>
    </w:p>
    <w:p w14:paraId="783BC008" w14:textId="77777777" w:rsidR="001F04C6" w:rsidRDefault="001F04C6" w:rsidP="002A7D3A">
      <w:pPr>
        <w:pStyle w:val="ListParagraph"/>
        <w:spacing w:line="240" w:lineRule="auto"/>
        <w:jc w:val="both"/>
        <w:rPr>
          <w:rFonts w:ascii="Verdana" w:hAnsi="Verdana"/>
          <w:b/>
          <w:bCs/>
          <w:color w:val="000000" w:themeColor="text1"/>
          <w:sz w:val="24"/>
          <w:szCs w:val="24"/>
          <w:u w:val="single"/>
        </w:rPr>
      </w:pPr>
    </w:p>
    <w:p w14:paraId="5691EDC3" w14:textId="5F631C26" w:rsidR="51F4664D" w:rsidRPr="00F03865" w:rsidRDefault="6FCE8510" w:rsidP="00C2615D">
      <w:pPr>
        <w:pStyle w:val="ListParagraph"/>
        <w:numPr>
          <w:ilvl w:val="1"/>
          <w:numId w:val="35"/>
        </w:numPr>
        <w:spacing w:line="240" w:lineRule="auto"/>
        <w:jc w:val="both"/>
        <w:rPr>
          <w:rFonts w:ascii="Verdana" w:hAnsi="Verdana"/>
          <w:b/>
          <w:bCs/>
          <w:color w:val="000000" w:themeColor="text1"/>
          <w:sz w:val="24"/>
          <w:szCs w:val="24"/>
          <w:u w:val="single"/>
        </w:rPr>
      </w:pPr>
      <w:r w:rsidRPr="00F03865">
        <w:rPr>
          <w:rFonts w:ascii="Verdana" w:hAnsi="Verdana"/>
          <w:b/>
          <w:bCs/>
          <w:color w:val="000000" w:themeColor="text1"/>
          <w:sz w:val="24"/>
          <w:szCs w:val="24"/>
          <w:u w:val="single"/>
        </w:rPr>
        <w:t>Workforce planning, recruitment and development</w:t>
      </w:r>
    </w:p>
    <w:p w14:paraId="76217A0D" w14:textId="534F7AA6" w:rsidR="5480DF07" w:rsidRPr="00F03865" w:rsidRDefault="00F03865" w:rsidP="002A7D3A">
      <w:pPr>
        <w:spacing w:line="240" w:lineRule="auto"/>
        <w:jc w:val="both"/>
        <w:rPr>
          <w:rFonts w:ascii="Verdana" w:hAnsi="Verdana"/>
          <w:b/>
          <w:bCs/>
          <w:color w:val="000000" w:themeColor="text1"/>
          <w:sz w:val="24"/>
          <w:szCs w:val="24"/>
        </w:rPr>
      </w:pPr>
      <w:r>
        <w:rPr>
          <w:rFonts w:ascii="Verdana" w:hAnsi="Verdana"/>
          <w:b/>
          <w:bCs/>
          <w:color w:val="000000" w:themeColor="text1"/>
          <w:sz w:val="24"/>
          <w:szCs w:val="24"/>
        </w:rPr>
        <w:t xml:space="preserve">5.3.1 </w:t>
      </w:r>
      <w:r w:rsidR="5480DF07" w:rsidRPr="00F03865">
        <w:rPr>
          <w:rFonts w:ascii="Verdana" w:hAnsi="Verdana"/>
          <w:b/>
          <w:bCs/>
          <w:color w:val="000000" w:themeColor="text1"/>
          <w:sz w:val="24"/>
          <w:szCs w:val="24"/>
        </w:rPr>
        <w:t>Workforce Planning Updates</w:t>
      </w:r>
    </w:p>
    <w:p w14:paraId="6050AFEB" w14:textId="61DD354B" w:rsidR="51F4664D" w:rsidRDefault="5480DF07" w:rsidP="002A7D3A">
      <w:pPr>
        <w:spacing w:after="0" w:line="240" w:lineRule="auto"/>
        <w:jc w:val="both"/>
        <w:rPr>
          <w:rFonts w:ascii="Verdana" w:hAnsi="Verdana"/>
          <w:color w:val="000000" w:themeColor="text1"/>
          <w:sz w:val="24"/>
          <w:szCs w:val="24"/>
        </w:rPr>
      </w:pPr>
      <w:r w:rsidRPr="009A730B">
        <w:rPr>
          <w:rFonts w:ascii="Verdana" w:hAnsi="Verdana"/>
          <w:color w:val="000000" w:themeColor="text1"/>
          <w:sz w:val="24"/>
          <w:szCs w:val="24"/>
        </w:rPr>
        <w:t>The Committee received workforce planning updates in June 2025, covering establishment, recruitment, turnover, training pipelines, and alignment with service plans, providing assurance on the development of a more structured and strategic approach to workforce planning across the organisation.</w:t>
      </w:r>
    </w:p>
    <w:p w14:paraId="226145D9" w14:textId="77777777" w:rsidR="00F03865" w:rsidRPr="007C425B" w:rsidRDefault="00F03865" w:rsidP="002A7D3A">
      <w:pPr>
        <w:spacing w:after="0" w:line="240" w:lineRule="auto"/>
        <w:jc w:val="both"/>
        <w:rPr>
          <w:rFonts w:ascii="Verdana" w:hAnsi="Verdana"/>
          <w:color w:val="000000" w:themeColor="text1"/>
          <w:sz w:val="24"/>
          <w:szCs w:val="24"/>
        </w:rPr>
      </w:pPr>
    </w:p>
    <w:p w14:paraId="318C2E17" w14:textId="66887C45" w:rsidR="5480DF07" w:rsidRPr="00F03865" w:rsidRDefault="5480DF07" w:rsidP="00C2615D">
      <w:pPr>
        <w:pStyle w:val="ListParagraph"/>
        <w:numPr>
          <w:ilvl w:val="2"/>
          <w:numId w:val="35"/>
        </w:numPr>
        <w:spacing w:line="240" w:lineRule="auto"/>
        <w:jc w:val="both"/>
        <w:rPr>
          <w:rFonts w:ascii="Verdana" w:hAnsi="Verdana"/>
          <w:b/>
          <w:bCs/>
          <w:color w:val="000000" w:themeColor="text1"/>
          <w:sz w:val="24"/>
          <w:szCs w:val="24"/>
        </w:rPr>
      </w:pPr>
      <w:r w:rsidRPr="00F03865">
        <w:rPr>
          <w:rFonts w:ascii="Verdana" w:hAnsi="Verdana"/>
          <w:b/>
          <w:bCs/>
          <w:color w:val="000000" w:themeColor="text1"/>
          <w:sz w:val="24"/>
          <w:szCs w:val="24"/>
        </w:rPr>
        <w:t>Education, Training and HEIW Updates</w:t>
      </w:r>
    </w:p>
    <w:p w14:paraId="0794D53F" w14:textId="2DDF7787" w:rsidR="094F2F9C" w:rsidRDefault="094F2F9C" w:rsidP="002A7D3A">
      <w:pPr>
        <w:spacing w:after="0" w:line="240" w:lineRule="auto"/>
        <w:jc w:val="both"/>
        <w:rPr>
          <w:rFonts w:ascii="Verdana" w:hAnsi="Verdana"/>
          <w:color w:val="000000" w:themeColor="text1"/>
          <w:sz w:val="24"/>
          <w:szCs w:val="24"/>
        </w:rPr>
      </w:pPr>
      <w:r w:rsidRPr="009A730B">
        <w:rPr>
          <w:rFonts w:ascii="Verdana" w:hAnsi="Verdana"/>
          <w:color w:val="000000" w:themeColor="text1"/>
          <w:sz w:val="24"/>
          <w:szCs w:val="24"/>
        </w:rPr>
        <w:t>In June 2025, the Committee received an update on education, training and Health Education and Improvement Wales (HEIW) matters. The update covered student intake, trainee placements, and feedback from external review activity, providing assurance on workforce education pipelines and training quality.</w:t>
      </w:r>
    </w:p>
    <w:p w14:paraId="57B24057" w14:textId="77777777" w:rsidR="00D14AA7" w:rsidRPr="009A730B" w:rsidRDefault="00D14AA7" w:rsidP="002A7D3A">
      <w:pPr>
        <w:spacing w:after="0" w:line="240" w:lineRule="auto"/>
        <w:jc w:val="both"/>
        <w:rPr>
          <w:rFonts w:ascii="Verdana" w:hAnsi="Verdana"/>
          <w:color w:val="000000" w:themeColor="text1"/>
          <w:sz w:val="24"/>
          <w:szCs w:val="24"/>
        </w:rPr>
      </w:pPr>
    </w:p>
    <w:p w14:paraId="5203AC83" w14:textId="794C22FC" w:rsidR="001F04C6" w:rsidRPr="009A730B" w:rsidRDefault="094F2F9C" w:rsidP="008C385F">
      <w:pPr>
        <w:spacing w:line="240" w:lineRule="auto"/>
        <w:jc w:val="both"/>
        <w:rPr>
          <w:rFonts w:ascii="Verdana" w:hAnsi="Verdana"/>
          <w:color w:val="000000" w:themeColor="text1"/>
          <w:sz w:val="24"/>
          <w:szCs w:val="24"/>
        </w:rPr>
      </w:pPr>
      <w:r w:rsidRPr="009A730B">
        <w:rPr>
          <w:rFonts w:ascii="Verdana" w:hAnsi="Verdana"/>
          <w:color w:val="000000" w:themeColor="text1"/>
          <w:sz w:val="24"/>
          <w:szCs w:val="24"/>
        </w:rPr>
        <w:t>Education and training updates were considered at key points in the year, reflecting their role as a recurring area of Committee assurance rather than a standing agenda item.</w:t>
      </w:r>
    </w:p>
    <w:p w14:paraId="4067B1B9" w14:textId="50483D7D" w:rsidR="5F69893A" w:rsidRPr="00F03865" w:rsidRDefault="5F69893A" w:rsidP="00C2615D">
      <w:pPr>
        <w:pStyle w:val="ListParagraph"/>
        <w:numPr>
          <w:ilvl w:val="2"/>
          <w:numId w:val="35"/>
        </w:numPr>
        <w:jc w:val="both"/>
        <w:rPr>
          <w:rFonts w:ascii="Verdana" w:hAnsi="Verdana"/>
          <w:b/>
          <w:bCs/>
          <w:color w:val="000000" w:themeColor="text1"/>
          <w:sz w:val="24"/>
          <w:szCs w:val="24"/>
        </w:rPr>
      </w:pPr>
      <w:r w:rsidRPr="00F03865">
        <w:rPr>
          <w:rFonts w:ascii="Verdana" w:hAnsi="Verdana"/>
          <w:b/>
          <w:bCs/>
          <w:color w:val="000000" w:themeColor="text1"/>
          <w:sz w:val="24"/>
          <w:szCs w:val="24"/>
        </w:rPr>
        <w:t xml:space="preserve">Recruitment and Retention Updates </w:t>
      </w:r>
    </w:p>
    <w:p w14:paraId="2EB86DEF" w14:textId="185B36B9" w:rsidR="5F69893A" w:rsidRPr="009A730B" w:rsidRDefault="5F69893A" w:rsidP="00F03865">
      <w:pPr>
        <w:spacing w:after="0" w:line="240" w:lineRule="auto"/>
        <w:jc w:val="both"/>
        <w:rPr>
          <w:rFonts w:ascii="Verdana" w:hAnsi="Verdana"/>
          <w:color w:val="000000" w:themeColor="text1"/>
          <w:sz w:val="24"/>
          <w:szCs w:val="24"/>
        </w:rPr>
      </w:pPr>
      <w:r w:rsidRPr="009A730B">
        <w:rPr>
          <w:rFonts w:ascii="Verdana" w:hAnsi="Verdana"/>
          <w:color w:val="000000" w:themeColor="text1"/>
          <w:sz w:val="24"/>
          <w:szCs w:val="24"/>
        </w:rPr>
        <w:t xml:space="preserve">In June 2025 – Recruitment activity, over‑recruitment, workforce pipelines, and retention implications were discussed as part of wider workforce planning and establishment management. </w:t>
      </w:r>
      <w:r w:rsidR="73817617" w:rsidRPr="009A730B">
        <w:rPr>
          <w:rFonts w:ascii="Verdana" w:hAnsi="Verdana"/>
          <w:color w:val="000000" w:themeColor="text1"/>
          <w:sz w:val="24"/>
          <w:szCs w:val="24"/>
        </w:rPr>
        <w:t xml:space="preserve">In </w:t>
      </w:r>
      <w:r w:rsidRPr="009A730B">
        <w:rPr>
          <w:rFonts w:ascii="Verdana" w:hAnsi="Verdana"/>
          <w:color w:val="000000" w:themeColor="text1"/>
          <w:sz w:val="24"/>
          <w:szCs w:val="24"/>
        </w:rPr>
        <w:t xml:space="preserve">August 2025 – A formal </w:t>
      </w:r>
      <w:r w:rsidRPr="009A730B">
        <w:rPr>
          <w:rFonts w:ascii="Verdana" w:hAnsi="Verdana"/>
          <w:color w:val="000000" w:themeColor="text1"/>
          <w:sz w:val="24"/>
          <w:szCs w:val="24"/>
        </w:rPr>
        <w:lastRenderedPageBreak/>
        <w:t xml:space="preserve">Workforce Recruitment and Retention Report was received by the Committee (including retire‑and‑return, time‑to‑hire, and retention actions) </w:t>
      </w:r>
    </w:p>
    <w:p w14:paraId="2CD4399D" w14:textId="77777777" w:rsidR="00F03865" w:rsidRDefault="00F03865" w:rsidP="00F03865">
      <w:pPr>
        <w:spacing w:after="0" w:line="240" w:lineRule="auto"/>
        <w:jc w:val="both"/>
        <w:rPr>
          <w:rFonts w:ascii="Verdana" w:hAnsi="Verdana"/>
          <w:color w:val="000000" w:themeColor="text1"/>
          <w:sz w:val="24"/>
          <w:szCs w:val="24"/>
        </w:rPr>
      </w:pPr>
    </w:p>
    <w:p w14:paraId="3920B554" w14:textId="32673DFC" w:rsidR="5F69893A" w:rsidRPr="009A730B" w:rsidRDefault="5F69893A" w:rsidP="00F03865">
      <w:pPr>
        <w:spacing w:after="0" w:line="240" w:lineRule="auto"/>
        <w:jc w:val="both"/>
        <w:rPr>
          <w:rFonts w:ascii="Verdana" w:hAnsi="Verdana"/>
          <w:color w:val="000000" w:themeColor="text1"/>
          <w:sz w:val="24"/>
          <w:szCs w:val="24"/>
        </w:rPr>
      </w:pPr>
      <w:r w:rsidRPr="009A730B">
        <w:rPr>
          <w:rFonts w:ascii="Verdana" w:hAnsi="Verdana"/>
          <w:color w:val="000000" w:themeColor="text1"/>
          <w:sz w:val="24"/>
          <w:szCs w:val="24"/>
        </w:rPr>
        <w:t>In October 2025, the Committee received an update on recruitment and retention, including progress against strategic workforce priorities. Recruitment and retention were considered as a recurring area of Committee assurance during the year, supporting oversight of workforce sustainability and capacity.</w:t>
      </w:r>
    </w:p>
    <w:p w14:paraId="1DB43191" w14:textId="1061D744" w:rsidR="51F4664D" w:rsidRPr="009A730B" w:rsidRDefault="51F4664D" w:rsidP="51F4664D">
      <w:pPr>
        <w:jc w:val="both"/>
        <w:rPr>
          <w:rFonts w:ascii="Verdana" w:hAnsi="Verdana"/>
          <w:color w:val="000000" w:themeColor="text1"/>
          <w:sz w:val="24"/>
          <w:szCs w:val="24"/>
        </w:rPr>
      </w:pPr>
    </w:p>
    <w:p w14:paraId="303554D8" w14:textId="7BCFFC6A" w:rsidR="09402B48" w:rsidRPr="00F03865" w:rsidRDefault="09402B48" w:rsidP="00C2615D">
      <w:pPr>
        <w:pStyle w:val="ListParagraph"/>
        <w:numPr>
          <w:ilvl w:val="2"/>
          <w:numId w:val="35"/>
        </w:numPr>
        <w:spacing w:after="0"/>
        <w:jc w:val="both"/>
        <w:rPr>
          <w:rFonts w:ascii="Verdana" w:hAnsi="Verdana"/>
          <w:b/>
          <w:bCs/>
          <w:color w:val="000000" w:themeColor="text1"/>
          <w:sz w:val="24"/>
          <w:szCs w:val="24"/>
        </w:rPr>
      </w:pPr>
      <w:r w:rsidRPr="00F03865">
        <w:rPr>
          <w:rFonts w:ascii="Verdana" w:hAnsi="Verdana"/>
          <w:b/>
          <w:bCs/>
          <w:color w:val="000000" w:themeColor="text1"/>
          <w:sz w:val="24"/>
          <w:szCs w:val="24"/>
        </w:rPr>
        <w:t>Therapies and Audiology Workforce Planning</w:t>
      </w:r>
    </w:p>
    <w:p w14:paraId="58DC7323" w14:textId="77777777" w:rsidR="00F03865" w:rsidRDefault="00F03865" w:rsidP="00F03865">
      <w:pPr>
        <w:spacing w:after="0"/>
        <w:jc w:val="both"/>
        <w:rPr>
          <w:rFonts w:ascii="Verdana" w:hAnsi="Verdana"/>
          <w:color w:val="000000" w:themeColor="text1"/>
          <w:sz w:val="24"/>
          <w:szCs w:val="24"/>
        </w:rPr>
      </w:pPr>
    </w:p>
    <w:p w14:paraId="208EF755" w14:textId="114A51F8" w:rsidR="6C31052C" w:rsidRPr="009A730B" w:rsidRDefault="6C31052C" w:rsidP="00F03865">
      <w:pPr>
        <w:spacing w:after="0"/>
        <w:jc w:val="both"/>
        <w:rPr>
          <w:rFonts w:ascii="Verdana" w:hAnsi="Verdana"/>
          <w:color w:val="000000" w:themeColor="text1"/>
          <w:sz w:val="24"/>
          <w:szCs w:val="24"/>
        </w:rPr>
      </w:pPr>
      <w:r w:rsidRPr="009A730B">
        <w:rPr>
          <w:rFonts w:ascii="Verdana" w:hAnsi="Verdana"/>
          <w:color w:val="000000" w:themeColor="text1"/>
          <w:sz w:val="24"/>
          <w:szCs w:val="24"/>
        </w:rPr>
        <w:t>In April 2025, the Committee received a Therapies and Audiology Workforce Planning presentation. The report set out a structured 12‑month and 5‑year workforce planning approach, supported by a defined action plan, and focused on recruitment pipelines, retention, role development, and succession planning. The Committee took assurance from the information presented and endorsed the recommendations outlined within the report.</w:t>
      </w:r>
    </w:p>
    <w:p w14:paraId="32D79D9F" w14:textId="430BB269" w:rsidR="49220B0B" w:rsidRPr="009A730B" w:rsidRDefault="49220B0B" w:rsidP="49220B0B">
      <w:pPr>
        <w:jc w:val="both"/>
        <w:rPr>
          <w:rFonts w:ascii="Verdana" w:hAnsi="Verdana"/>
          <w:color w:val="000000" w:themeColor="text1"/>
          <w:sz w:val="24"/>
          <w:szCs w:val="24"/>
        </w:rPr>
      </w:pPr>
    </w:p>
    <w:p w14:paraId="0C91FD10" w14:textId="0438E76D" w:rsidR="51F4664D" w:rsidRPr="00F03865" w:rsidRDefault="57D511D3" w:rsidP="00C2615D">
      <w:pPr>
        <w:pStyle w:val="ListParagraph"/>
        <w:numPr>
          <w:ilvl w:val="2"/>
          <w:numId w:val="35"/>
        </w:numPr>
        <w:jc w:val="both"/>
        <w:rPr>
          <w:rFonts w:ascii="Verdana" w:hAnsi="Verdana"/>
          <w:b/>
          <w:bCs/>
          <w:color w:val="000000" w:themeColor="text1"/>
          <w:sz w:val="24"/>
          <w:szCs w:val="24"/>
        </w:rPr>
      </w:pPr>
      <w:r w:rsidRPr="00F03865">
        <w:rPr>
          <w:rFonts w:ascii="Verdana" w:hAnsi="Verdana"/>
          <w:b/>
          <w:bCs/>
          <w:color w:val="000000" w:themeColor="text1"/>
          <w:sz w:val="24"/>
          <w:szCs w:val="24"/>
        </w:rPr>
        <w:t xml:space="preserve">Health Education and Improvement Wales Review, job planning, recruitment and performance in Obstetrics and Gynaecology </w:t>
      </w:r>
    </w:p>
    <w:p w14:paraId="32DD2F72" w14:textId="5C3934C2" w:rsidR="51F4664D" w:rsidRPr="009A730B" w:rsidRDefault="18519FDA" w:rsidP="49220B0B">
      <w:pPr>
        <w:jc w:val="both"/>
        <w:rPr>
          <w:rFonts w:ascii="Verdana" w:hAnsi="Verdana"/>
          <w:color w:val="000000" w:themeColor="text1"/>
          <w:sz w:val="24"/>
          <w:szCs w:val="24"/>
        </w:rPr>
      </w:pPr>
      <w:r w:rsidRPr="009A730B">
        <w:rPr>
          <w:rFonts w:ascii="Verdana" w:hAnsi="Verdana"/>
          <w:color w:val="000000" w:themeColor="text1"/>
          <w:sz w:val="24"/>
          <w:szCs w:val="24"/>
        </w:rPr>
        <w:t>The Committee received assurance in June 2025 on progress following the Health Education and Improvement Wales review of Obstetrics and Gynaecology, including job planning, recruitment and performance.</w:t>
      </w:r>
    </w:p>
    <w:p w14:paraId="495CDC81" w14:textId="6A820D13" w:rsidR="51F4664D" w:rsidRPr="00D14AA7" w:rsidRDefault="538A6B8B" w:rsidP="00C2615D">
      <w:pPr>
        <w:pStyle w:val="ListParagraph"/>
        <w:numPr>
          <w:ilvl w:val="2"/>
          <w:numId w:val="35"/>
        </w:numPr>
        <w:jc w:val="both"/>
        <w:rPr>
          <w:rFonts w:ascii="Verdana" w:hAnsi="Verdana"/>
          <w:b/>
          <w:bCs/>
          <w:color w:val="000000" w:themeColor="text1"/>
          <w:sz w:val="24"/>
          <w:szCs w:val="24"/>
        </w:rPr>
      </w:pPr>
      <w:r w:rsidRPr="00D14AA7">
        <w:rPr>
          <w:rFonts w:ascii="Verdana" w:hAnsi="Verdana"/>
          <w:b/>
          <w:bCs/>
          <w:color w:val="000000" w:themeColor="text1"/>
          <w:sz w:val="24"/>
          <w:szCs w:val="24"/>
        </w:rPr>
        <w:t>Effective Rostering of the Nursing Workforce</w:t>
      </w:r>
    </w:p>
    <w:p w14:paraId="3B7FE58F" w14:textId="0B29D80A" w:rsidR="51F4664D" w:rsidRPr="009A730B" w:rsidRDefault="538A6B8B" w:rsidP="49220B0B">
      <w:pPr>
        <w:jc w:val="both"/>
        <w:rPr>
          <w:rFonts w:ascii="Verdana" w:hAnsi="Verdana"/>
          <w:color w:val="000000" w:themeColor="text1"/>
          <w:sz w:val="24"/>
          <w:szCs w:val="24"/>
        </w:rPr>
      </w:pPr>
      <w:r w:rsidRPr="009A730B">
        <w:rPr>
          <w:rFonts w:ascii="Verdana" w:hAnsi="Verdana"/>
          <w:color w:val="000000" w:themeColor="text1"/>
          <w:sz w:val="24"/>
          <w:szCs w:val="24"/>
        </w:rPr>
        <w:t>In October 2025, the Committee received a report on effective rostering of the nursing workforce. The Committee took some assurance from the arrangements in place and requested further detailed reporting to provide additional assurance.</w:t>
      </w:r>
    </w:p>
    <w:p w14:paraId="29A912C7" w14:textId="0AA7DAFF" w:rsidR="51F4664D" w:rsidRPr="00D14AA7" w:rsidRDefault="5F69893A" w:rsidP="00C2615D">
      <w:pPr>
        <w:pStyle w:val="ListParagraph"/>
        <w:numPr>
          <w:ilvl w:val="1"/>
          <w:numId w:val="35"/>
        </w:numPr>
        <w:jc w:val="both"/>
        <w:rPr>
          <w:rFonts w:ascii="Verdana" w:hAnsi="Verdana"/>
          <w:b/>
          <w:bCs/>
          <w:color w:val="000000" w:themeColor="text1"/>
          <w:sz w:val="24"/>
          <w:szCs w:val="24"/>
          <w:u w:val="single"/>
        </w:rPr>
      </w:pPr>
      <w:r w:rsidRPr="00D14AA7">
        <w:rPr>
          <w:rFonts w:ascii="Verdana" w:hAnsi="Verdana"/>
          <w:b/>
          <w:bCs/>
          <w:color w:val="000000" w:themeColor="text1"/>
          <w:sz w:val="24"/>
          <w:szCs w:val="24"/>
          <w:u w:val="single"/>
        </w:rPr>
        <w:t>Organisational development and equality</w:t>
      </w:r>
    </w:p>
    <w:p w14:paraId="110ADB39" w14:textId="4CBBB8CE" w:rsidR="38559C69" w:rsidRPr="00D14AA7" w:rsidRDefault="00D14AA7" w:rsidP="00D14AA7">
      <w:pPr>
        <w:jc w:val="both"/>
        <w:rPr>
          <w:rFonts w:ascii="Verdana" w:hAnsi="Verdana"/>
          <w:b/>
          <w:bCs/>
          <w:color w:val="000000" w:themeColor="text1"/>
          <w:sz w:val="24"/>
          <w:szCs w:val="24"/>
        </w:rPr>
      </w:pPr>
      <w:r>
        <w:rPr>
          <w:rFonts w:ascii="Verdana" w:hAnsi="Verdana"/>
          <w:b/>
          <w:bCs/>
          <w:color w:val="000000" w:themeColor="text1"/>
          <w:sz w:val="24"/>
          <w:szCs w:val="24"/>
        </w:rPr>
        <w:t xml:space="preserve">5.4.1 </w:t>
      </w:r>
      <w:r w:rsidR="38559C69" w:rsidRPr="00D14AA7">
        <w:rPr>
          <w:rFonts w:ascii="Verdana" w:hAnsi="Verdana"/>
          <w:b/>
          <w:bCs/>
          <w:color w:val="000000" w:themeColor="text1"/>
          <w:sz w:val="24"/>
          <w:szCs w:val="24"/>
        </w:rPr>
        <w:t>Equality, Diversity and Inclusion Updates – including compliance with statutory duties, Welsh language considerations, and widening access initiatives.</w:t>
      </w:r>
    </w:p>
    <w:p w14:paraId="7E01E85D" w14:textId="3B6FCBB9" w:rsidR="38559C69" w:rsidRPr="009A730B" w:rsidRDefault="38559C69" w:rsidP="00D14AA7">
      <w:pPr>
        <w:spacing w:after="0"/>
        <w:jc w:val="both"/>
        <w:rPr>
          <w:rFonts w:ascii="Verdana" w:hAnsi="Verdana"/>
          <w:color w:val="000000" w:themeColor="text1"/>
          <w:sz w:val="24"/>
          <w:szCs w:val="24"/>
        </w:rPr>
      </w:pPr>
      <w:r w:rsidRPr="009A730B">
        <w:rPr>
          <w:rFonts w:ascii="Verdana" w:hAnsi="Verdana"/>
          <w:color w:val="000000" w:themeColor="text1"/>
          <w:sz w:val="24"/>
          <w:szCs w:val="24"/>
        </w:rPr>
        <w:t>In December 2025, the Committee received an update on Equality, Diversity and Inclusion, including compliance with statutory duties, Welsh language considerations, and widening access initiatives. Equality and inclusion matters were considered on a recurring basis during the year, including through subsequent assurance reports, reflecting their ongoing importance to workforce governance and organisational culture.</w:t>
      </w:r>
    </w:p>
    <w:p w14:paraId="57D1CA61" w14:textId="2B59C5A2" w:rsidR="51F4664D" w:rsidRPr="009A730B" w:rsidRDefault="51F4664D" w:rsidP="51F4664D">
      <w:pPr>
        <w:jc w:val="both"/>
        <w:rPr>
          <w:rFonts w:ascii="Verdana" w:hAnsi="Verdana"/>
          <w:b/>
          <w:bCs/>
          <w:color w:val="70AD47" w:themeColor="accent6"/>
          <w:sz w:val="24"/>
          <w:szCs w:val="24"/>
        </w:rPr>
      </w:pPr>
    </w:p>
    <w:p w14:paraId="21708B65" w14:textId="1809A456" w:rsidR="51C9336C" w:rsidRPr="00D14AA7" w:rsidRDefault="51C9336C" w:rsidP="00C2615D">
      <w:pPr>
        <w:pStyle w:val="ListParagraph"/>
        <w:numPr>
          <w:ilvl w:val="2"/>
          <w:numId w:val="35"/>
        </w:numPr>
        <w:jc w:val="both"/>
        <w:rPr>
          <w:rFonts w:ascii="Verdana" w:hAnsi="Verdana"/>
          <w:b/>
          <w:bCs/>
          <w:color w:val="000000" w:themeColor="text1"/>
          <w:sz w:val="24"/>
          <w:szCs w:val="24"/>
        </w:rPr>
      </w:pPr>
      <w:r w:rsidRPr="00D14AA7">
        <w:rPr>
          <w:rFonts w:ascii="Verdana" w:hAnsi="Verdana"/>
          <w:b/>
          <w:bCs/>
          <w:color w:val="000000" w:themeColor="text1"/>
          <w:sz w:val="24"/>
          <w:szCs w:val="24"/>
        </w:rPr>
        <w:lastRenderedPageBreak/>
        <w:t>Organisational Development and Culture Reports – supporting leadership development and organisational effectiveness.</w:t>
      </w:r>
    </w:p>
    <w:p w14:paraId="32331A30" w14:textId="2A5BDAB7" w:rsidR="51C9336C" w:rsidRPr="009A730B" w:rsidRDefault="51C9336C" w:rsidP="00D14AA7">
      <w:pPr>
        <w:spacing w:after="0"/>
        <w:jc w:val="both"/>
        <w:rPr>
          <w:rFonts w:ascii="Verdana" w:hAnsi="Verdana"/>
          <w:color w:val="000000" w:themeColor="text1"/>
          <w:sz w:val="24"/>
          <w:szCs w:val="24"/>
        </w:rPr>
      </w:pPr>
      <w:r w:rsidRPr="009A730B">
        <w:rPr>
          <w:rFonts w:ascii="Verdana" w:hAnsi="Verdana"/>
          <w:color w:val="000000" w:themeColor="text1"/>
          <w:sz w:val="24"/>
          <w:szCs w:val="24"/>
        </w:rPr>
        <w:t>In October 2025, the Committee received an Organisational Development and Culture report, supporting assurance on leadership development and organisational effectiveness. Organisational development and culture considerations were also reflected throughout the year within wider workforce and staff experience reporting.</w:t>
      </w:r>
    </w:p>
    <w:p w14:paraId="046A4BDC" w14:textId="77777777" w:rsidR="00D14AA7" w:rsidRPr="00D14AA7" w:rsidRDefault="00D14AA7" w:rsidP="004F6B24">
      <w:pPr>
        <w:jc w:val="both"/>
        <w:rPr>
          <w:rFonts w:ascii="Verdana" w:hAnsi="Verdana"/>
          <w:b/>
          <w:bCs/>
          <w:color w:val="000000" w:themeColor="text1"/>
          <w:sz w:val="24"/>
          <w:szCs w:val="24"/>
        </w:rPr>
      </w:pPr>
    </w:p>
    <w:p w14:paraId="369C5783" w14:textId="7A0736EC" w:rsidR="51F4664D" w:rsidRPr="00D14AA7" w:rsidRDefault="4C2C85AC" w:rsidP="00C2615D">
      <w:pPr>
        <w:pStyle w:val="ListParagraph"/>
        <w:numPr>
          <w:ilvl w:val="1"/>
          <w:numId w:val="35"/>
        </w:numPr>
        <w:jc w:val="both"/>
        <w:rPr>
          <w:rFonts w:ascii="Verdana" w:hAnsi="Verdana"/>
          <w:b/>
          <w:bCs/>
          <w:sz w:val="24"/>
          <w:szCs w:val="24"/>
          <w:u w:val="single"/>
        </w:rPr>
      </w:pPr>
      <w:r w:rsidRPr="00D14AA7">
        <w:rPr>
          <w:rFonts w:ascii="Verdana" w:hAnsi="Verdana"/>
          <w:b/>
          <w:bCs/>
          <w:sz w:val="24"/>
          <w:szCs w:val="24"/>
          <w:u w:val="single"/>
        </w:rPr>
        <w:t>Workforce and OD</w:t>
      </w:r>
      <w:r w:rsidR="4E265E01" w:rsidRPr="00D14AA7">
        <w:rPr>
          <w:rFonts w:ascii="Verdana" w:hAnsi="Verdana"/>
          <w:b/>
          <w:bCs/>
          <w:sz w:val="24"/>
          <w:szCs w:val="24"/>
        </w:rPr>
        <w:t xml:space="preserve"> </w:t>
      </w:r>
      <w:r w:rsidR="3245D362" w:rsidRPr="00D14AA7">
        <w:rPr>
          <w:rFonts w:ascii="Verdana" w:hAnsi="Verdana"/>
          <w:b/>
          <w:bCs/>
          <w:sz w:val="24"/>
          <w:szCs w:val="24"/>
        </w:rPr>
        <w:t xml:space="preserve"> </w:t>
      </w:r>
    </w:p>
    <w:p w14:paraId="035768D9" w14:textId="7E6EC626" w:rsidR="00A21C51" w:rsidRPr="00D14AA7" w:rsidRDefault="00D14AA7" w:rsidP="00D14AA7">
      <w:pPr>
        <w:spacing w:before="240" w:after="240"/>
        <w:jc w:val="both"/>
        <w:rPr>
          <w:rFonts w:ascii="Verdana" w:eastAsia="Verdana" w:hAnsi="Verdana" w:cs="Verdana"/>
          <w:b/>
          <w:bCs/>
          <w:color w:val="000000" w:themeColor="text1"/>
          <w:sz w:val="24"/>
          <w:szCs w:val="24"/>
        </w:rPr>
      </w:pPr>
      <w:r>
        <w:rPr>
          <w:rFonts w:ascii="Verdana" w:eastAsia="Verdana" w:hAnsi="Verdana" w:cs="Verdana"/>
          <w:b/>
          <w:bCs/>
          <w:color w:val="000000" w:themeColor="text1"/>
          <w:sz w:val="24"/>
          <w:szCs w:val="24"/>
        </w:rPr>
        <w:t xml:space="preserve">5.5.1 </w:t>
      </w:r>
      <w:r w:rsidR="045D9E9F" w:rsidRPr="00D14AA7">
        <w:rPr>
          <w:rFonts w:ascii="Verdana" w:eastAsia="Verdana" w:hAnsi="Verdana" w:cs="Verdana"/>
          <w:b/>
          <w:bCs/>
          <w:color w:val="000000" w:themeColor="text1"/>
          <w:sz w:val="24"/>
          <w:szCs w:val="24"/>
        </w:rPr>
        <w:t xml:space="preserve">Speaking Up Safely &amp; Guardian Service End of Year Report </w:t>
      </w:r>
    </w:p>
    <w:p w14:paraId="1A70CF74" w14:textId="575D12DA" w:rsidR="00A21C51" w:rsidRDefault="55ABAD8A" w:rsidP="001F04C6">
      <w:pPr>
        <w:spacing w:after="0" w:line="240" w:lineRule="auto"/>
        <w:jc w:val="both"/>
        <w:rPr>
          <w:rFonts w:ascii="Verdana" w:eastAsia="Verdana" w:hAnsi="Verdana" w:cs="Verdana"/>
          <w:sz w:val="24"/>
          <w:szCs w:val="24"/>
        </w:rPr>
      </w:pPr>
      <w:r w:rsidRPr="009A730B">
        <w:rPr>
          <w:rFonts w:ascii="Verdana" w:eastAsia="Verdana" w:hAnsi="Verdana" w:cs="Verdana"/>
          <w:sz w:val="24"/>
          <w:szCs w:val="24"/>
        </w:rPr>
        <w:t>In August 2025, the Committee received the Speaking Up Safely and Guardian Service End of Year Report for 2024–25. The report provided assurance on Guardian Service activity and progress in delivering actions arising from Internal Audit recommendations.</w:t>
      </w:r>
    </w:p>
    <w:p w14:paraId="6769E91C" w14:textId="77777777" w:rsidR="001F04C6" w:rsidRPr="009A730B" w:rsidRDefault="001F04C6" w:rsidP="001F04C6">
      <w:pPr>
        <w:spacing w:after="0" w:line="240" w:lineRule="auto"/>
        <w:jc w:val="both"/>
        <w:rPr>
          <w:rFonts w:ascii="Verdana" w:eastAsia="Verdana" w:hAnsi="Verdana" w:cs="Verdana"/>
          <w:sz w:val="24"/>
          <w:szCs w:val="24"/>
        </w:rPr>
      </w:pPr>
    </w:p>
    <w:p w14:paraId="094E1887" w14:textId="68D1CC04" w:rsidR="004F6B24" w:rsidRPr="009B1E25" w:rsidRDefault="55ABAD8A" w:rsidP="001F04C6">
      <w:pPr>
        <w:spacing w:after="0" w:line="240" w:lineRule="auto"/>
        <w:jc w:val="both"/>
      </w:pPr>
      <w:r w:rsidRPr="009A730B">
        <w:rPr>
          <w:rFonts w:ascii="Verdana" w:eastAsia="Verdana" w:hAnsi="Verdana" w:cs="Verdana"/>
          <w:sz w:val="24"/>
          <w:szCs w:val="24"/>
        </w:rPr>
        <w:t>Further progress updates were received during the year, including in February 2026, when the Committee noted that most actions had been completed and agreed to receive future updates on a six‑monthly basis.</w:t>
      </w:r>
    </w:p>
    <w:p w14:paraId="3B058E95" w14:textId="0E2A3E7A" w:rsidR="00A21C51" w:rsidRPr="00D14AA7" w:rsidRDefault="6A8443F9" w:rsidP="00C2615D">
      <w:pPr>
        <w:pStyle w:val="ListParagraph"/>
        <w:numPr>
          <w:ilvl w:val="2"/>
          <w:numId w:val="35"/>
        </w:numPr>
        <w:spacing w:before="240" w:after="240"/>
        <w:jc w:val="both"/>
        <w:rPr>
          <w:rFonts w:ascii="Verdana" w:eastAsia="Verdana" w:hAnsi="Verdana" w:cs="Verdana"/>
          <w:color w:val="000000" w:themeColor="text1"/>
          <w:sz w:val="24"/>
          <w:szCs w:val="24"/>
        </w:rPr>
      </w:pPr>
      <w:r w:rsidRPr="00D14AA7">
        <w:rPr>
          <w:rFonts w:ascii="Verdana" w:eastAsia="Verdana" w:hAnsi="Verdana" w:cs="Verdana"/>
          <w:b/>
          <w:bCs/>
          <w:color w:val="000000" w:themeColor="text1"/>
          <w:sz w:val="24"/>
          <w:szCs w:val="24"/>
        </w:rPr>
        <w:t>Workforce Metrics</w:t>
      </w:r>
    </w:p>
    <w:p w14:paraId="7109C835" w14:textId="55608940" w:rsidR="00A21C51" w:rsidRDefault="4825E2EA" w:rsidP="001F04C6">
      <w:pPr>
        <w:spacing w:after="0" w:line="240" w:lineRule="auto"/>
        <w:jc w:val="both"/>
        <w:rPr>
          <w:rFonts w:ascii="Verdana" w:eastAsia="Verdana" w:hAnsi="Verdana" w:cs="Verdana"/>
          <w:sz w:val="24"/>
          <w:szCs w:val="24"/>
        </w:rPr>
      </w:pPr>
      <w:r w:rsidRPr="009A730B">
        <w:rPr>
          <w:rFonts w:ascii="Verdana" w:eastAsia="Verdana" w:hAnsi="Verdana" w:cs="Verdana"/>
          <w:sz w:val="24"/>
          <w:szCs w:val="24"/>
        </w:rPr>
        <w:t>As a standing agenda item, the Committee received regular reports on performance against key workforce metrics. These reports included, but were not limited to, sickness absence rates and compliance with mandatory and statutory training requirements. The information supported ongoing monitoring and provided assurance on workforce performance and delivery of organisational priorities.</w:t>
      </w:r>
    </w:p>
    <w:p w14:paraId="1B10568C" w14:textId="77777777" w:rsidR="001F04C6" w:rsidRPr="009A730B" w:rsidRDefault="001F04C6" w:rsidP="001F04C6">
      <w:pPr>
        <w:spacing w:after="0" w:line="240" w:lineRule="auto"/>
        <w:jc w:val="both"/>
        <w:rPr>
          <w:rFonts w:ascii="Verdana" w:eastAsia="Verdana" w:hAnsi="Verdana" w:cs="Verdana"/>
          <w:sz w:val="24"/>
          <w:szCs w:val="24"/>
        </w:rPr>
      </w:pPr>
    </w:p>
    <w:p w14:paraId="0B57CCEB" w14:textId="477D619C" w:rsidR="00A21C51" w:rsidRPr="00B6186B" w:rsidRDefault="6B0A4675" w:rsidP="00C2615D">
      <w:pPr>
        <w:pStyle w:val="ListParagraph"/>
        <w:numPr>
          <w:ilvl w:val="2"/>
          <w:numId w:val="35"/>
        </w:numPr>
        <w:spacing w:after="0"/>
        <w:jc w:val="both"/>
        <w:rPr>
          <w:rFonts w:ascii="Verdana" w:hAnsi="Verdana" w:cs="Arial"/>
          <w:b/>
          <w:bCs/>
          <w:color w:val="000000" w:themeColor="text1"/>
          <w:sz w:val="24"/>
          <w:szCs w:val="24"/>
        </w:rPr>
      </w:pPr>
      <w:r w:rsidRPr="00B6186B">
        <w:rPr>
          <w:rFonts w:ascii="Verdana" w:hAnsi="Verdana" w:cs="Arial"/>
          <w:b/>
          <w:bCs/>
          <w:color w:val="000000" w:themeColor="text1"/>
          <w:sz w:val="24"/>
          <w:szCs w:val="24"/>
        </w:rPr>
        <w:t>Medical Workforce Efficiencies</w:t>
      </w:r>
    </w:p>
    <w:p w14:paraId="5EC31221" w14:textId="744CF18A" w:rsidR="00A21C51" w:rsidRPr="009A730B" w:rsidRDefault="2CF83D98" w:rsidP="51F4664D">
      <w:pPr>
        <w:spacing w:after="0"/>
        <w:jc w:val="both"/>
        <w:rPr>
          <w:rFonts w:ascii="Verdana" w:eastAsia="Verdana" w:hAnsi="Verdana" w:cs="Verdana"/>
          <w:sz w:val="24"/>
          <w:szCs w:val="24"/>
        </w:rPr>
      </w:pPr>
      <w:r w:rsidRPr="009A730B">
        <w:rPr>
          <w:rFonts w:ascii="Verdana" w:eastAsia="Verdana" w:hAnsi="Verdana" w:cs="Verdana"/>
          <w:sz w:val="24"/>
          <w:szCs w:val="24"/>
        </w:rPr>
        <w:t>Medical workforce efficiencies were considered by the Committee in February 2026 as part of its scrutiny of variable pay, job planning, and medical workforce deployment. Ongoing oversight was provided through established medical workforce governance arrangements, with issues escalated to the Committee by exception where required.</w:t>
      </w:r>
    </w:p>
    <w:p w14:paraId="021E1354" w14:textId="29A77447" w:rsidR="00A21C51" w:rsidRPr="009A730B" w:rsidRDefault="00A21C51" w:rsidP="51F4664D">
      <w:pPr>
        <w:spacing w:after="0"/>
        <w:jc w:val="both"/>
        <w:rPr>
          <w:rFonts w:ascii="Verdana" w:eastAsia="Verdana" w:hAnsi="Verdana" w:cs="Verdana"/>
          <w:sz w:val="24"/>
          <w:szCs w:val="24"/>
        </w:rPr>
      </w:pPr>
    </w:p>
    <w:p w14:paraId="77332580" w14:textId="373008DC" w:rsidR="00A21C51" w:rsidRPr="00B6186B" w:rsidRDefault="040CDA74" w:rsidP="00C2615D">
      <w:pPr>
        <w:pStyle w:val="ListParagraph"/>
        <w:numPr>
          <w:ilvl w:val="2"/>
          <w:numId w:val="35"/>
        </w:numPr>
        <w:spacing w:after="0"/>
        <w:jc w:val="both"/>
        <w:rPr>
          <w:rFonts w:ascii="Verdana" w:eastAsia="Verdana" w:hAnsi="Verdana" w:cs="Verdana"/>
          <w:b/>
          <w:bCs/>
          <w:color w:val="000000" w:themeColor="text1"/>
          <w:sz w:val="24"/>
          <w:szCs w:val="24"/>
        </w:rPr>
      </w:pPr>
      <w:r w:rsidRPr="00B6186B">
        <w:rPr>
          <w:rFonts w:ascii="Verdana" w:eastAsia="Verdana" w:hAnsi="Verdana" w:cs="Verdana"/>
          <w:b/>
          <w:bCs/>
          <w:color w:val="000000" w:themeColor="text1"/>
          <w:sz w:val="24"/>
          <w:szCs w:val="24"/>
        </w:rPr>
        <w:t>Workforce Improvement Plan for Maternity</w:t>
      </w:r>
    </w:p>
    <w:p w14:paraId="1C6F04B1" w14:textId="1C050FB7" w:rsidR="040CDA74" w:rsidRPr="009A730B" w:rsidRDefault="040CDA74" w:rsidP="00473AFB">
      <w:pPr>
        <w:spacing w:after="0" w:line="240" w:lineRule="auto"/>
        <w:jc w:val="both"/>
        <w:rPr>
          <w:rFonts w:ascii="Verdana" w:eastAsia="Verdana" w:hAnsi="Verdana" w:cs="Verdana"/>
          <w:sz w:val="24"/>
          <w:szCs w:val="24"/>
        </w:rPr>
      </w:pPr>
      <w:r w:rsidRPr="009A730B">
        <w:rPr>
          <w:rFonts w:ascii="Verdana" w:eastAsia="Verdana" w:hAnsi="Verdana" w:cs="Verdana"/>
          <w:sz w:val="24"/>
          <w:szCs w:val="24"/>
        </w:rPr>
        <w:t>The Committee received maternity staffing updates during the year, including in October 2025. A detailed workforce improvement plan for Maternity Services was subsequently presented to the Committee in February 2026, providing assurance on staffing establishment, recruitment, sickness absence management, staff wellbeing, and delivery of actions arising from external review activity.</w:t>
      </w:r>
    </w:p>
    <w:p w14:paraId="3C86510D" w14:textId="791EDF24" w:rsidR="51F4664D" w:rsidRPr="009A730B" w:rsidRDefault="51F4664D" w:rsidP="49220B0B">
      <w:pPr>
        <w:spacing w:after="0"/>
        <w:jc w:val="both"/>
        <w:rPr>
          <w:rFonts w:ascii="Verdana" w:eastAsia="Verdana" w:hAnsi="Verdana" w:cs="Verdana"/>
          <w:color w:val="000000" w:themeColor="text1"/>
          <w:sz w:val="24"/>
          <w:szCs w:val="24"/>
        </w:rPr>
      </w:pPr>
    </w:p>
    <w:p w14:paraId="049F0674" w14:textId="36D4DC16" w:rsidR="49220B0B" w:rsidRPr="00C2615D" w:rsidRDefault="00473AFB" w:rsidP="00C2615D">
      <w:pPr>
        <w:spacing w:after="0"/>
        <w:jc w:val="both"/>
        <w:rPr>
          <w:rFonts w:ascii="Verdana" w:eastAsia="Verdana" w:hAnsi="Verdana" w:cs="Verdana"/>
          <w:b/>
          <w:bCs/>
          <w:color w:val="000000" w:themeColor="text1"/>
          <w:sz w:val="24"/>
          <w:szCs w:val="24"/>
        </w:rPr>
      </w:pPr>
      <w:r>
        <w:rPr>
          <w:rFonts w:ascii="Verdana" w:eastAsia="Verdana" w:hAnsi="Verdana" w:cs="Verdana"/>
          <w:b/>
          <w:bCs/>
          <w:color w:val="000000" w:themeColor="text1"/>
          <w:sz w:val="24"/>
          <w:szCs w:val="24"/>
        </w:rPr>
        <w:t xml:space="preserve">5.5.5 </w:t>
      </w:r>
      <w:r w:rsidR="3DA5DA0F" w:rsidRPr="00473AFB">
        <w:rPr>
          <w:rFonts w:ascii="Verdana" w:eastAsia="Verdana" w:hAnsi="Verdana" w:cs="Verdana"/>
          <w:b/>
          <w:bCs/>
          <w:color w:val="000000" w:themeColor="text1"/>
          <w:sz w:val="24"/>
          <w:szCs w:val="24"/>
        </w:rPr>
        <w:t>Health Board’s Workforce Planning</w:t>
      </w:r>
    </w:p>
    <w:p w14:paraId="60CB0A91" w14:textId="7328418B" w:rsidR="00A21C51" w:rsidRPr="009A730B" w:rsidRDefault="2F58928E" w:rsidP="00473AFB">
      <w:pPr>
        <w:spacing w:after="0" w:line="240" w:lineRule="auto"/>
        <w:jc w:val="both"/>
        <w:rPr>
          <w:rFonts w:ascii="Verdana" w:eastAsia="Verdana" w:hAnsi="Verdana" w:cs="Verdana"/>
          <w:sz w:val="24"/>
          <w:szCs w:val="24"/>
        </w:rPr>
      </w:pPr>
      <w:r w:rsidRPr="009A730B">
        <w:rPr>
          <w:rFonts w:ascii="Verdana" w:eastAsia="Verdana" w:hAnsi="Verdana" w:cs="Verdana"/>
          <w:sz w:val="24"/>
          <w:szCs w:val="24"/>
        </w:rPr>
        <w:t>Health Board workforce planning was a standing agenda item for the Committee during the year. The Committee received regular updates on the development and delivery of the Strategic Workforce Plan, including progress against agreed milestones, workforce benchmarking, and alignment with the annual planning cycle. These reports supported assurance on the Health Board’s capacity and capability to deliver its strategic objectives.</w:t>
      </w:r>
    </w:p>
    <w:p w14:paraId="6B00105F" w14:textId="3319B4D1" w:rsidR="51F4664D" w:rsidRPr="00473AFB" w:rsidRDefault="51F4664D" w:rsidP="00473AFB">
      <w:pPr>
        <w:spacing w:after="0"/>
        <w:jc w:val="both"/>
        <w:rPr>
          <w:rFonts w:ascii="Verdana" w:eastAsia="Verdana" w:hAnsi="Verdana" w:cs="Verdana"/>
          <w:sz w:val="24"/>
          <w:szCs w:val="24"/>
        </w:rPr>
      </w:pPr>
    </w:p>
    <w:p w14:paraId="60692B4A" w14:textId="4C207773" w:rsidR="51F4664D" w:rsidRPr="00C2615D" w:rsidRDefault="6B0A4675" w:rsidP="00C2615D">
      <w:pPr>
        <w:pStyle w:val="ListParagraph"/>
        <w:numPr>
          <w:ilvl w:val="2"/>
          <w:numId w:val="36"/>
        </w:numPr>
        <w:spacing w:after="0" w:line="240" w:lineRule="auto"/>
        <w:jc w:val="both"/>
        <w:rPr>
          <w:rFonts w:ascii="Verdana" w:hAnsi="Verdana" w:cs="Arial"/>
          <w:b/>
          <w:bCs/>
          <w:color w:val="000000" w:themeColor="text1"/>
          <w:sz w:val="24"/>
          <w:szCs w:val="24"/>
        </w:rPr>
      </w:pPr>
      <w:r w:rsidRPr="00473AFB">
        <w:rPr>
          <w:rFonts w:ascii="Verdana" w:hAnsi="Verdana" w:cs="Arial"/>
          <w:b/>
          <w:bCs/>
          <w:color w:val="000000" w:themeColor="text1"/>
          <w:sz w:val="24"/>
          <w:szCs w:val="24"/>
        </w:rPr>
        <w:t>Health Board Risk Register</w:t>
      </w:r>
    </w:p>
    <w:p w14:paraId="37EC7C09" w14:textId="28316649" w:rsidR="51F4664D" w:rsidRPr="009A730B" w:rsidRDefault="44B05E6A" w:rsidP="00473AFB">
      <w:pPr>
        <w:spacing w:after="0" w:line="240" w:lineRule="auto"/>
        <w:jc w:val="both"/>
        <w:rPr>
          <w:rFonts w:ascii="Verdana" w:eastAsia="Verdana" w:hAnsi="Verdana" w:cs="Verdana"/>
          <w:sz w:val="24"/>
          <w:szCs w:val="24"/>
        </w:rPr>
      </w:pPr>
      <w:r w:rsidRPr="009A730B">
        <w:rPr>
          <w:rFonts w:ascii="Verdana" w:eastAsia="Verdana" w:hAnsi="Verdana" w:cs="Verdana"/>
          <w:sz w:val="24"/>
          <w:szCs w:val="24"/>
        </w:rPr>
        <w:t>The Committee received a quarterly risk report, providing oversight of the risks allocated to it from the Health Board Risk Register. The report set out the nature and severity of these risks, together with the mitigating actions in place to manage and reduce their impact. This enabled the Committee to effectively discharge its responsibilities for risk assurance within its delegated areas of accountability.</w:t>
      </w:r>
    </w:p>
    <w:p w14:paraId="249F87A3" w14:textId="77777777" w:rsidR="0059389B" w:rsidRPr="009A730B" w:rsidRDefault="0059389B" w:rsidP="51F4664D">
      <w:pPr>
        <w:spacing w:after="0"/>
        <w:jc w:val="both"/>
        <w:rPr>
          <w:rFonts w:ascii="Verdana" w:eastAsia="Verdana" w:hAnsi="Verdana" w:cs="Verdana"/>
          <w:sz w:val="24"/>
          <w:szCs w:val="24"/>
        </w:rPr>
      </w:pPr>
    </w:p>
    <w:p w14:paraId="53124D68" w14:textId="3650C5C0" w:rsidR="49220B0B" w:rsidRPr="00C2615D" w:rsidRDefault="08B16C65" w:rsidP="00C2615D">
      <w:pPr>
        <w:pStyle w:val="ListParagraph"/>
        <w:numPr>
          <w:ilvl w:val="2"/>
          <w:numId w:val="36"/>
        </w:numPr>
        <w:spacing w:after="0"/>
        <w:jc w:val="both"/>
        <w:rPr>
          <w:rFonts w:ascii="Verdana" w:eastAsia="Verdana" w:hAnsi="Verdana" w:cs="Verdana"/>
          <w:color w:val="000000" w:themeColor="text1"/>
          <w:sz w:val="24"/>
          <w:szCs w:val="24"/>
        </w:rPr>
      </w:pPr>
      <w:r w:rsidRPr="00473AFB">
        <w:rPr>
          <w:rFonts w:ascii="Verdana" w:eastAsia="Verdana" w:hAnsi="Verdana" w:cs="Verdana"/>
          <w:b/>
          <w:bCs/>
          <w:color w:val="000000" w:themeColor="text1"/>
          <w:sz w:val="24"/>
          <w:szCs w:val="24"/>
        </w:rPr>
        <w:t>Digitally Ready Workforce</w:t>
      </w:r>
      <w:r w:rsidRPr="00473AFB">
        <w:rPr>
          <w:rFonts w:ascii="Verdana" w:eastAsia="Verdana" w:hAnsi="Verdana" w:cs="Verdana"/>
          <w:color w:val="000000" w:themeColor="text1"/>
          <w:sz w:val="24"/>
          <w:szCs w:val="24"/>
        </w:rPr>
        <w:t xml:space="preserve"> </w:t>
      </w:r>
    </w:p>
    <w:p w14:paraId="226DB348" w14:textId="54943A16" w:rsidR="1436F674" w:rsidRPr="009A730B" w:rsidRDefault="1436F674" w:rsidP="00473AFB">
      <w:pPr>
        <w:spacing w:after="0" w:line="240" w:lineRule="auto"/>
        <w:jc w:val="both"/>
        <w:rPr>
          <w:rFonts w:ascii="Verdana" w:eastAsia="Verdana" w:hAnsi="Verdana" w:cs="Verdana"/>
          <w:sz w:val="24"/>
          <w:szCs w:val="24"/>
        </w:rPr>
      </w:pPr>
      <w:r w:rsidRPr="009A730B">
        <w:rPr>
          <w:rFonts w:ascii="Verdana" w:eastAsia="Verdana" w:hAnsi="Verdana" w:cs="Verdana"/>
          <w:sz w:val="24"/>
          <w:szCs w:val="24"/>
        </w:rPr>
        <w:t>In October 2025, the Committee received a Digitally Ready Workforce Report, which outlined progress and proposed next steps to support workforce digital readiness. The Committee referred the report to the Digital, Data, Research and Innovation Committee for further oversight</w:t>
      </w:r>
      <w:r w:rsidR="1C27C1A6" w:rsidRPr="009A730B">
        <w:rPr>
          <w:rFonts w:ascii="Verdana" w:eastAsia="Verdana" w:hAnsi="Verdana" w:cs="Verdana"/>
          <w:sz w:val="24"/>
          <w:szCs w:val="24"/>
        </w:rPr>
        <w:t>.</w:t>
      </w:r>
    </w:p>
    <w:p w14:paraId="31FAB6FB" w14:textId="7FA65879" w:rsidR="49220B0B" w:rsidRPr="009A730B" w:rsidRDefault="49220B0B" w:rsidP="49220B0B">
      <w:pPr>
        <w:spacing w:after="0"/>
        <w:jc w:val="both"/>
        <w:rPr>
          <w:rFonts w:ascii="Verdana" w:eastAsia="Verdana" w:hAnsi="Verdana" w:cs="Verdana"/>
          <w:color w:val="000000" w:themeColor="text1"/>
          <w:sz w:val="24"/>
          <w:szCs w:val="24"/>
        </w:rPr>
      </w:pPr>
    </w:p>
    <w:p w14:paraId="58F81266" w14:textId="206EF45F" w:rsidR="49220B0B" w:rsidRPr="00C2615D" w:rsidRDefault="1C27C1A6" w:rsidP="00C2615D">
      <w:pPr>
        <w:pStyle w:val="ListParagraph"/>
        <w:numPr>
          <w:ilvl w:val="2"/>
          <w:numId w:val="36"/>
        </w:numPr>
        <w:spacing w:after="0"/>
        <w:jc w:val="both"/>
        <w:rPr>
          <w:rFonts w:ascii="Verdana" w:eastAsia="Verdana" w:hAnsi="Verdana" w:cs="Verdana"/>
          <w:b/>
          <w:bCs/>
          <w:color w:val="000000" w:themeColor="text1"/>
          <w:sz w:val="24"/>
          <w:szCs w:val="24"/>
        </w:rPr>
      </w:pPr>
      <w:r w:rsidRPr="00E50E5C">
        <w:rPr>
          <w:rFonts w:ascii="Verdana" w:eastAsia="Verdana" w:hAnsi="Verdana" w:cs="Verdana"/>
          <w:b/>
          <w:bCs/>
          <w:color w:val="000000" w:themeColor="text1"/>
          <w:sz w:val="24"/>
          <w:szCs w:val="24"/>
        </w:rPr>
        <w:t>Annual Presentation of Nurse Staffing Levels</w:t>
      </w:r>
    </w:p>
    <w:p w14:paraId="0B0426A0" w14:textId="1CC85FB5" w:rsidR="1C27C1A6" w:rsidRPr="009A730B" w:rsidRDefault="1C27C1A6" w:rsidP="00473AFB">
      <w:pPr>
        <w:spacing w:after="0" w:line="240" w:lineRule="auto"/>
        <w:jc w:val="both"/>
        <w:rPr>
          <w:rFonts w:ascii="Verdana" w:eastAsia="Verdana" w:hAnsi="Verdana" w:cs="Verdana"/>
          <w:sz w:val="24"/>
          <w:szCs w:val="24"/>
        </w:rPr>
      </w:pPr>
      <w:r w:rsidRPr="009A730B">
        <w:rPr>
          <w:rFonts w:ascii="Verdana" w:eastAsia="Verdana" w:hAnsi="Verdana" w:cs="Verdana"/>
          <w:sz w:val="24"/>
          <w:szCs w:val="24"/>
        </w:rPr>
        <w:t xml:space="preserve">In December 2025, the Committee received the Annual Nurse Staffing Levels (Wales) Act 2016 report, providing assurance of compliance with the statutory requirements for Section 25B wards. The report presented the annual mandatory calculation of nurse staffing levels and the outcomes of the bi‑annual acuity audits undertaken during the reporting period. </w:t>
      </w:r>
    </w:p>
    <w:p w14:paraId="5F7813F3" w14:textId="3E065ABD" w:rsidR="49220B0B" w:rsidRDefault="49220B0B" w:rsidP="49220B0B">
      <w:pPr>
        <w:spacing w:after="0"/>
        <w:jc w:val="both"/>
        <w:rPr>
          <w:rFonts w:ascii="Verdana" w:eastAsia="Verdana" w:hAnsi="Verdana" w:cs="Verdana"/>
          <w:sz w:val="24"/>
          <w:szCs w:val="24"/>
        </w:rPr>
      </w:pPr>
    </w:p>
    <w:p w14:paraId="6FAD1648" w14:textId="77777777" w:rsidR="001F04C6" w:rsidRPr="009A730B" w:rsidRDefault="001F04C6" w:rsidP="49220B0B">
      <w:pPr>
        <w:spacing w:after="0"/>
        <w:jc w:val="both"/>
        <w:rPr>
          <w:rFonts w:ascii="Verdana" w:eastAsia="Verdana" w:hAnsi="Verdana" w:cs="Verdana"/>
          <w:sz w:val="24"/>
          <w:szCs w:val="24"/>
        </w:rPr>
      </w:pPr>
    </w:p>
    <w:p w14:paraId="02B8E3ED" w14:textId="03DC5248" w:rsidR="00487CD2" w:rsidRPr="00473AFB" w:rsidRDefault="000A65D1" w:rsidP="00C2615D">
      <w:pPr>
        <w:pStyle w:val="ListParagraph"/>
        <w:numPr>
          <w:ilvl w:val="2"/>
          <w:numId w:val="36"/>
        </w:numPr>
        <w:spacing w:before="120" w:after="120" w:line="240" w:lineRule="auto"/>
        <w:jc w:val="both"/>
        <w:rPr>
          <w:rFonts w:ascii="Verdana" w:hAnsi="Verdana"/>
          <w:b/>
          <w:bCs/>
          <w:color w:val="000000" w:themeColor="text1"/>
          <w:sz w:val="24"/>
          <w:szCs w:val="24"/>
        </w:rPr>
      </w:pPr>
      <w:r w:rsidRPr="00473AFB">
        <w:rPr>
          <w:rFonts w:ascii="Verdana" w:hAnsi="Verdana"/>
          <w:b/>
          <w:bCs/>
          <w:color w:val="000000" w:themeColor="text1"/>
          <w:sz w:val="24"/>
          <w:szCs w:val="24"/>
        </w:rPr>
        <w:t xml:space="preserve">Organised </w:t>
      </w:r>
      <w:r w:rsidR="17F55C5C" w:rsidRPr="00473AFB">
        <w:rPr>
          <w:rFonts w:ascii="Verdana" w:hAnsi="Verdana"/>
          <w:b/>
          <w:bCs/>
          <w:color w:val="000000" w:themeColor="text1"/>
          <w:sz w:val="24"/>
          <w:szCs w:val="24"/>
        </w:rPr>
        <w:t xml:space="preserve">for </w:t>
      </w:r>
      <w:r w:rsidRPr="00473AFB">
        <w:rPr>
          <w:rFonts w:ascii="Verdana" w:hAnsi="Verdana"/>
          <w:b/>
          <w:bCs/>
          <w:color w:val="000000" w:themeColor="text1"/>
          <w:sz w:val="24"/>
          <w:szCs w:val="24"/>
        </w:rPr>
        <w:t>Success Programme</w:t>
      </w:r>
    </w:p>
    <w:p w14:paraId="00BB9802" w14:textId="2D5616D1" w:rsidR="000A65D1" w:rsidRPr="009A730B" w:rsidRDefault="40ADDE53" w:rsidP="0057260C">
      <w:pPr>
        <w:spacing w:after="0" w:line="240" w:lineRule="auto"/>
        <w:jc w:val="both"/>
        <w:rPr>
          <w:rFonts w:ascii="Verdana" w:hAnsi="Verdana"/>
          <w:color w:val="000000" w:themeColor="text1"/>
          <w:sz w:val="24"/>
          <w:szCs w:val="24"/>
        </w:rPr>
      </w:pPr>
      <w:r w:rsidRPr="009A730B">
        <w:rPr>
          <w:rFonts w:ascii="Verdana" w:hAnsi="Verdana"/>
          <w:color w:val="000000" w:themeColor="text1"/>
          <w:sz w:val="24"/>
          <w:szCs w:val="24"/>
        </w:rPr>
        <w:t>The Committee received several reports providing updates on the Organised for Success Programme. The Programme was subsequently agreed for inclusion as a standing item within the Workforce and Organisational Development Committee’s work programme for the forthcoming year.</w:t>
      </w:r>
    </w:p>
    <w:p w14:paraId="7E4D8E9B" w14:textId="77777777" w:rsidR="0059389B" w:rsidRPr="009A730B" w:rsidRDefault="0059389B" w:rsidP="000A65D1">
      <w:pPr>
        <w:spacing w:before="120" w:after="120" w:line="240" w:lineRule="auto"/>
        <w:jc w:val="both"/>
        <w:rPr>
          <w:rFonts w:ascii="Verdana" w:hAnsi="Verdana"/>
          <w:color w:val="000000" w:themeColor="text1"/>
          <w:sz w:val="24"/>
          <w:szCs w:val="24"/>
        </w:rPr>
      </w:pPr>
    </w:p>
    <w:p w14:paraId="4682EF73" w14:textId="25B24A09" w:rsidR="006143CC" w:rsidRPr="00E50E5C" w:rsidRDefault="006143CC" w:rsidP="00C2615D">
      <w:pPr>
        <w:pStyle w:val="ListParagraph"/>
        <w:numPr>
          <w:ilvl w:val="2"/>
          <w:numId w:val="36"/>
        </w:numPr>
        <w:spacing w:after="0" w:line="240" w:lineRule="auto"/>
        <w:jc w:val="both"/>
        <w:rPr>
          <w:rFonts w:ascii="Verdana" w:hAnsi="Verdana" w:cs="Arial"/>
          <w:b/>
          <w:bCs/>
          <w:color w:val="000000" w:themeColor="text1"/>
          <w:sz w:val="24"/>
          <w:szCs w:val="24"/>
        </w:rPr>
      </w:pPr>
      <w:r w:rsidRPr="00E50E5C">
        <w:rPr>
          <w:rFonts w:ascii="Verdana" w:hAnsi="Verdana" w:cs="Arial"/>
          <w:b/>
          <w:bCs/>
          <w:color w:val="000000" w:themeColor="text1"/>
          <w:sz w:val="24"/>
          <w:szCs w:val="24"/>
        </w:rPr>
        <w:t>Key issue reports from other groups</w:t>
      </w:r>
    </w:p>
    <w:p w14:paraId="2828D8F5" w14:textId="77777777" w:rsidR="006143CC" w:rsidRPr="009A730B" w:rsidRDefault="6C0A70DC" w:rsidP="009C0243">
      <w:pPr>
        <w:spacing w:after="0" w:line="240" w:lineRule="auto"/>
        <w:jc w:val="both"/>
        <w:rPr>
          <w:rFonts w:ascii="Verdana" w:eastAsia="Calibri" w:hAnsi="Verdana" w:cs="Arial"/>
          <w:sz w:val="24"/>
          <w:szCs w:val="24"/>
        </w:rPr>
      </w:pPr>
      <w:r w:rsidRPr="009A730B">
        <w:rPr>
          <w:rFonts w:ascii="Verdana" w:eastAsia="Calibri" w:hAnsi="Verdana" w:cs="Arial"/>
          <w:sz w:val="24"/>
          <w:szCs w:val="24"/>
        </w:rPr>
        <w:t xml:space="preserve">The following reports were received from other groups: </w:t>
      </w:r>
    </w:p>
    <w:p w14:paraId="2E1563C8" w14:textId="3CAB2F39" w:rsidR="006143CC" w:rsidRPr="009A730B" w:rsidRDefault="006143CC" w:rsidP="00C2615D">
      <w:pPr>
        <w:numPr>
          <w:ilvl w:val="0"/>
          <w:numId w:val="58"/>
        </w:numPr>
        <w:spacing w:after="0" w:line="240" w:lineRule="auto"/>
        <w:contextualSpacing/>
        <w:jc w:val="both"/>
        <w:rPr>
          <w:rFonts w:ascii="Verdana" w:eastAsia="Calibri" w:hAnsi="Verdana" w:cs="Arial"/>
          <w:sz w:val="24"/>
          <w:szCs w:val="24"/>
        </w:rPr>
      </w:pPr>
      <w:r w:rsidRPr="009A730B">
        <w:rPr>
          <w:rFonts w:ascii="Verdana" w:eastAsia="Calibri" w:hAnsi="Verdana" w:cs="Arial"/>
          <w:sz w:val="24"/>
          <w:szCs w:val="24"/>
        </w:rPr>
        <w:t>Therapies And Health Science Group</w:t>
      </w:r>
      <w:r w:rsidR="00CE22EC" w:rsidRPr="009A730B">
        <w:rPr>
          <w:rFonts w:ascii="Verdana" w:eastAsia="Calibri" w:hAnsi="Verdana" w:cs="Arial"/>
          <w:sz w:val="24"/>
          <w:szCs w:val="24"/>
        </w:rPr>
        <w:t>;</w:t>
      </w:r>
    </w:p>
    <w:p w14:paraId="05A1BC50" w14:textId="35B4A10F" w:rsidR="006143CC" w:rsidRPr="009A730B" w:rsidRDefault="006143CC" w:rsidP="00C2615D">
      <w:pPr>
        <w:numPr>
          <w:ilvl w:val="0"/>
          <w:numId w:val="58"/>
        </w:numPr>
        <w:spacing w:after="0" w:line="240" w:lineRule="auto"/>
        <w:contextualSpacing/>
        <w:jc w:val="both"/>
        <w:rPr>
          <w:rFonts w:ascii="Verdana" w:eastAsia="Calibri" w:hAnsi="Verdana" w:cs="Arial"/>
          <w:sz w:val="24"/>
          <w:szCs w:val="24"/>
        </w:rPr>
      </w:pPr>
      <w:r w:rsidRPr="009A730B">
        <w:rPr>
          <w:rFonts w:ascii="Verdana" w:eastAsia="Calibri" w:hAnsi="Verdana" w:cs="Arial"/>
          <w:sz w:val="24"/>
          <w:szCs w:val="24"/>
        </w:rPr>
        <w:t>Workforce Delivery Group</w:t>
      </w:r>
      <w:r w:rsidR="00CE22EC" w:rsidRPr="009A730B">
        <w:rPr>
          <w:rFonts w:ascii="Verdana" w:eastAsia="Calibri" w:hAnsi="Verdana" w:cs="Arial"/>
          <w:sz w:val="24"/>
          <w:szCs w:val="24"/>
        </w:rPr>
        <w:t xml:space="preserve">; </w:t>
      </w:r>
    </w:p>
    <w:p w14:paraId="28C1F592" w14:textId="506F9846" w:rsidR="006143CC" w:rsidRPr="009A730B" w:rsidRDefault="006143CC" w:rsidP="00C2615D">
      <w:pPr>
        <w:numPr>
          <w:ilvl w:val="0"/>
          <w:numId w:val="58"/>
        </w:numPr>
        <w:spacing w:after="0" w:line="240" w:lineRule="auto"/>
        <w:contextualSpacing/>
        <w:jc w:val="both"/>
        <w:rPr>
          <w:rFonts w:ascii="Verdana" w:eastAsia="Calibri" w:hAnsi="Verdana" w:cs="Arial"/>
          <w:sz w:val="24"/>
          <w:szCs w:val="24"/>
        </w:rPr>
      </w:pPr>
      <w:r w:rsidRPr="009A730B">
        <w:rPr>
          <w:rFonts w:ascii="Verdana" w:eastAsia="Calibri" w:hAnsi="Verdana" w:cs="Arial"/>
          <w:sz w:val="24"/>
          <w:szCs w:val="24"/>
        </w:rPr>
        <w:t>Nursing Midwifery Board</w:t>
      </w:r>
      <w:r w:rsidR="00CE22EC" w:rsidRPr="009A730B">
        <w:rPr>
          <w:rFonts w:ascii="Verdana" w:eastAsia="Calibri" w:hAnsi="Verdana" w:cs="Arial"/>
          <w:sz w:val="24"/>
          <w:szCs w:val="24"/>
        </w:rPr>
        <w:t>;</w:t>
      </w:r>
    </w:p>
    <w:p w14:paraId="5120C40B" w14:textId="0931E591" w:rsidR="006143CC" w:rsidRPr="00C2615D" w:rsidRDefault="006143CC" w:rsidP="00C2615D">
      <w:pPr>
        <w:numPr>
          <w:ilvl w:val="0"/>
          <w:numId w:val="58"/>
        </w:numPr>
        <w:spacing w:after="0" w:line="240" w:lineRule="auto"/>
        <w:contextualSpacing/>
        <w:jc w:val="both"/>
        <w:rPr>
          <w:rFonts w:ascii="Verdana" w:eastAsia="Calibri" w:hAnsi="Verdana" w:cs="Arial"/>
          <w:sz w:val="24"/>
          <w:szCs w:val="24"/>
        </w:rPr>
      </w:pPr>
      <w:r w:rsidRPr="009A730B">
        <w:rPr>
          <w:rFonts w:ascii="Verdana" w:eastAsia="Calibri" w:hAnsi="Verdana" w:cs="Arial"/>
          <w:sz w:val="24"/>
          <w:szCs w:val="24"/>
        </w:rPr>
        <w:t>Welsh Language Delivery Group</w:t>
      </w:r>
      <w:r w:rsidR="00CE22EC" w:rsidRPr="009A730B">
        <w:rPr>
          <w:rFonts w:ascii="Verdana" w:eastAsia="Calibri" w:hAnsi="Verdana" w:cs="Arial"/>
          <w:sz w:val="24"/>
          <w:szCs w:val="24"/>
        </w:rPr>
        <w:t>;</w:t>
      </w:r>
    </w:p>
    <w:p w14:paraId="4F84A0C1" w14:textId="51CD38FD" w:rsidR="03F514A8" w:rsidRPr="009A730B" w:rsidRDefault="00E50E5C" w:rsidP="49220B0B">
      <w:pPr>
        <w:rPr>
          <w:rFonts w:ascii="Verdana" w:hAnsi="Verdana"/>
          <w:b/>
          <w:bCs/>
          <w:color w:val="000000" w:themeColor="text1"/>
          <w:sz w:val="24"/>
          <w:szCs w:val="24"/>
          <w:u w:val="single"/>
        </w:rPr>
      </w:pPr>
      <w:r>
        <w:rPr>
          <w:rFonts w:ascii="Verdana" w:hAnsi="Verdana"/>
          <w:b/>
          <w:bCs/>
          <w:color w:val="000000" w:themeColor="text1"/>
          <w:sz w:val="24"/>
          <w:szCs w:val="24"/>
          <w:u w:val="single"/>
        </w:rPr>
        <w:lastRenderedPageBreak/>
        <w:t xml:space="preserve">5.6 </w:t>
      </w:r>
      <w:r w:rsidR="03F514A8" w:rsidRPr="009A730B">
        <w:rPr>
          <w:rFonts w:ascii="Verdana" w:hAnsi="Verdana"/>
          <w:b/>
          <w:bCs/>
          <w:color w:val="000000" w:themeColor="text1"/>
          <w:sz w:val="24"/>
          <w:szCs w:val="24"/>
          <w:u w:val="single"/>
        </w:rPr>
        <w:t>Governance and Assurance</w:t>
      </w:r>
    </w:p>
    <w:p w14:paraId="048F5ED8" w14:textId="68C74E7E" w:rsidR="03F514A8" w:rsidRPr="009A730B" w:rsidRDefault="03F514A8" w:rsidP="00E50E5C">
      <w:pPr>
        <w:spacing w:line="240" w:lineRule="auto"/>
        <w:rPr>
          <w:rFonts w:ascii="Verdana" w:hAnsi="Verdana"/>
          <w:sz w:val="24"/>
          <w:szCs w:val="24"/>
        </w:rPr>
      </w:pPr>
      <w:r w:rsidRPr="009A730B">
        <w:rPr>
          <w:rFonts w:ascii="Verdana" w:hAnsi="Verdana"/>
          <w:sz w:val="24"/>
          <w:szCs w:val="24"/>
        </w:rPr>
        <w:t>During the 2025-26 reporting period, the Committee reviewed its Work Programme to ensure alignment with priorities and forward planning. The Action Log was a standing agenda item at each meeting, supporting effective monitoring of actions and delivery.</w:t>
      </w:r>
    </w:p>
    <w:p w14:paraId="13DD8D99" w14:textId="53FE5393" w:rsidR="00E50E5C" w:rsidRPr="0057260C" w:rsidRDefault="03F514A8" w:rsidP="00E50E5C">
      <w:pPr>
        <w:spacing w:line="240" w:lineRule="auto"/>
        <w:rPr>
          <w:rFonts w:ascii="Verdana" w:hAnsi="Verdana"/>
          <w:sz w:val="24"/>
          <w:szCs w:val="24"/>
        </w:rPr>
      </w:pPr>
      <w:r w:rsidRPr="009A730B">
        <w:rPr>
          <w:rFonts w:ascii="Verdana" w:hAnsi="Verdana"/>
          <w:sz w:val="24"/>
          <w:szCs w:val="24"/>
        </w:rPr>
        <w:t>The Committee also undertook a periodic review of its effectiveness, including self‑assessment, to support continuous improvement in governance and assurance arrangements.</w:t>
      </w:r>
    </w:p>
    <w:p w14:paraId="292F5F7B" w14:textId="481385BD" w:rsidR="51F4664D" w:rsidRPr="0057260C" w:rsidRDefault="00E50E5C" w:rsidP="0057260C">
      <w:pPr>
        <w:spacing w:line="240" w:lineRule="auto"/>
        <w:rPr>
          <w:rFonts w:ascii="Verdana" w:hAnsi="Verdana"/>
          <w:b/>
          <w:bCs/>
          <w:sz w:val="24"/>
          <w:szCs w:val="24"/>
        </w:rPr>
      </w:pPr>
      <w:r w:rsidRPr="00E50E5C">
        <w:rPr>
          <w:rFonts w:ascii="Verdana" w:hAnsi="Verdana"/>
          <w:b/>
          <w:bCs/>
          <w:sz w:val="24"/>
          <w:szCs w:val="24"/>
        </w:rPr>
        <w:t xml:space="preserve">5.6.1 </w:t>
      </w:r>
      <w:r w:rsidR="000163AE" w:rsidRPr="00E50E5C">
        <w:rPr>
          <w:rFonts w:ascii="Verdana" w:hAnsi="Verdana"/>
          <w:b/>
          <w:bCs/>
          <w:sz w:val="24"/>
          <w:szCs w:val="24"/>
          <w:u w:val="single"/>
        </w:rPr>
        <w:t>Internal Audit</w:t>
      </w:r>
    </w:p>
    <w:p w14:paraId="6125B92F" w14:textId="7089D01F" w:rsidR="000163AE" w:rsidRPr="009A730B" w:rsidRDefault="2E603E03" w:rsidP="51F4664D">
      <w:pPr>
        <w:spacing w:after="0"/>
        <w:rPr>
          <w:rFonts w:ascii="Verdana" w:hAnsi="Verdana"/>
          <w:color w:val="000000" w:themeColor="text1"/>
          <w:sz w:val="24"/>
          <w:szCs w:val="24"/>
        </w:rPr>
      </w:pPr>
      <w:r w:rsidRPr="009A730B">
        <w:rPr>
          <w:rFonts w:ascii="Verdana" w:hAnsi="Verdana"/>
          <w:color w:val="000000" w:themeColor="text1"/>
          <w:sz w:val="24"/>
          <w:szCs w:val="24"/>
        </w:rPr>
        <w:t>The following internal audit reports were received through 202</w:t>
      </w:r>
      <w:r w:rsidR="6E764891" w:rsidRPr="009A730B">
        <w:rPr>
          <w:rFonts w:ascii="Verdana" w:hAnsi="Verdana"/>
          <w:color w:val="000000" w:themeColor="text1"/>
          <w:sz w:val="24"/>
          <w:szCs w:val="24"/>
        </w:rPr>
        <w:t>5</w:t>
      </w:r>
      <w:r w:rsidRPr="009A730B">
        <w:rPr>
          <w:rFonts w:ascii="Verdana" w:hAnsi="Verdana"/>
          <w:color w:val="000000" w:themeColor="text1"/>
          <w:sz w:val="24"/>
          <w:szCs w:val="24"/>
        </w:rPr>
        <w:t>/2</w:t>
      </w:r>
      <w:r w:rsidR="7526B1DB" w:rsidRPr="009A730B">
        <w:rPr>
          <w:rFonts w:ascii="Verdana" w:hAnsi="Verdana"/>
          <w:color w:val="000000" w:themeColor="text1"/>
          <w:sz w:val="24"/>
          <w:szCs w:val="24"/>
        </w:rPr>
        <w:t>6</w:t>
      </w:r>
      <w:r w:rsidRPr="009A730B">
        <w:rPr>
          <w:rFonts w:ascii="Verdana" w:hAnsi="Verdana"/>
          <w:color w:val="000000" w:themeColor="text1"/>
          <w:sz w:val="24"/>
          <w:szCs w:val="24"/>
        </w:rPr>
        <w:t>:</w:t>
      </w:r>
    </w:p>
    <w:p w14:paraId="1585B6DB" w14:textId="1E927BD5" w:rsidR="17E063F3" w:rsidRPr="009A730B" w:rsidRDefault="2A65D6F1" w:rsidP="00C2615D">
      <w:pPr>
        <w:pStyle w:val="ListParagraph"/>
        <w:numPr>
          <w:ilvl w:val="0"/>
          <w:numId w:val="14"/>
        </w:numPr>
        <w:spacing w:after="0"/>
        <w:rPr>
          <w:color w:val="000000" w:themeColor="text1"/>
        </w:rPr>
      </w:pPr>
      <w:r w:rsidRPr="009A730B">
        <w:rPr>
          <w:rFonts w:ascii="Verdana" w:eastAsia="Verdana" w:hAnsi="Verdana" w:cs="Verdana"/>
          <w:color w:val="000000" w:themeColor="text1"/>
          <w:sz w:val="24"/>
          <w:szCs w:val="24"/>
        </w:rPr>
        <w:t>A revised action plan and the risks associated with the limited assurance internal audit report on Speaking Up Safely</w:t>
      </w:r>
    </w:p>
    <w:p w14:paraId="7A437CD0" w14:textId="77777777" w:rsidR="0059389B" w:rsidRPr="009A730B" w:rsidRDefault="0059389B" w:rsidP="0059389B">
      <w:pPr>
        <w:spacing w:after="0"/>
        <w:rPr>
          <w:color w:val="000000" w:themeColor="text1"/>
        </w:rPr>
      </w:pPr>
    </w:p>
    <w:p w14:paraId="6537BC94" w14:textId="77777777" w:rsidR="00473AFB" w:rsidRPr="009A730B" w:rsidRDefault="00473AFB" w:rsidP="0059389B">
      <w:pPr>
        <w:pStyle w:val="ListParagraph"/>
        <w:spacing w:after="0"/>
        <w:rPr>
          <w:color w:val="000000" w:themeColor="text1"/>
        </w:rPr>
      </w:pPr>
    </w:p>
    <w:p w14:paraId="4ED875CD" w14:textId="5E1F669F" w:rsidR="006143CC" w:rsidRPr="009A730B" w:rsidRDefault="00E212C7" w:rsidP="49220B0B">
      <w:pPr>
        <w:autoSpaceDE w:val="0"/>
        <w:autoSpaceDN w:val="0"/>
        <w:adjustRightInd w:val="0"/>
        <w:spacing w:after="0" w:line="240" w:lineRule="auto"/>
        <w:jc w:val="center"/>
        <w:rPr>
          <w:rFonts w:ascii="Verdana" w:hAnsi="Verdana" w:cs="Arial"/>
          <w:b/>
          <w:bCs/>
          <w:sz w:val="24"/>
          <w:szCs w:val="24"/>
          <w:u w:val="single"/>
        </w:rPr>
      </w:pPr>
      <w:r w:rsidRPr="009A730B">
        <w:rPr>
          <w:rFonts w:ascii="Verdana" w:hAnsi="Verdana" w:cs="Arial"/>
          <w:b/>
          <w:bCs/>
          <w:sz w:val="24"/>
          <w:szCs w:val="24"/>
          <w:u w:val="single"/>
        </w:rPr>
        <w:t>Section</w:t>
      </w:r>
      <w:r w:rsidR="00076750" w:rsidRPr="009A730B">
        <w:rPr>
          <w:rFonts w:ascii="Verdana" w:hAnsi="Verdana" w:cs="Arial"/>
          <w:b/>
          <w:bCs/>
          <w:sz w:val="24"/>
          <w:szCs w:val="24"/>
          <w:u w:val="single"/>
        </w:rPr>
        <w:t xml:space="preserve"> 6</w:t>
      </w:r>
    </w:p>
    <w:p w14:paraId="7D13E091" w14:textId="5CDCEBAE" w:rsidR="00E212C7" w:rsidRPr="009A730B" w:rsidRDefault="00E212C7" w:rsidP="49220B0B">
      <w:pPr>
        <w:autoSpaceDE w:val="0"/>
        <w:autoSpaceDN w:val="0"/>
        <w:adjustRightInd w:val="0"/>
        <w:spacing w:after="0" w:line="240" w:lineRule="auto"/>
        <w:jc w:val="center"/>
        <w:rPr>
          <w:rFonts w:ascii="Verdana" w:hAnsi="Verdana" w:cs="Arial"/>
          <w:b/>
          <w:bCs/>
          <w:sz w:val="24"/>
          <w:szCs w:val="24"/>
          <w:u w:val="single"/>
        </w:rPr>
      </w:pPr>
      <w:r w:rsidRPr="009A730B">
        <w:rPr>
          <w:rFonts w:ascii="Verdana" w:hAnsi="Verdana" w:cs="Arial"/>
          <w:b/>
          <w:bCs/>
          <w:sz w:val="24"/>
          <w:szCs w:val="24"/>
          <w:u w:val="single"/>
        </w:rPr>
        <w:t>Population Health Committee</w:t>
      </w:r>
    </w:p>
    <w:p w14:paraId="07902903" w14:textId="0BFC116C" w:rsidR="6F2B4365" w:rsidRPr="009A730B" w:rsidRDefault="6F2B4365" w:rsidP="49220B0B">
      <w:pPr>
        <w:spacing w:after="0" w:line="240" w:lineRule="auto"/>
        <w:jc w:val="both"/>
        <w:rPr>
          <w:rFonts w:ascii="Verdana" w:eastAsia="Verdana" w:hAnsi="Verdana" w:cs="Verdana"/>
          <w:sz w:val="24"/>
          <w:szCs w:val="24"/>
        </w:rPr>
      </w:pPr>
    </w:p>
    <w:p w14:paraId="24163A64" w14:textId="1CFC8211" w:rsidR="6F2B4365" w:rsidRPr="009A730B" w:rsidRDefault="35A500A0" w:rsidP="49220B0B">
      <w:pPr>
        <w:spacing w:after="0" w:line="240" w:lineRule="auto"/>
        <w:jc w:val="both"/>
        <w:rPr>
          <w:rFonts w:ascii="Verdana" w:eastAsia="Verdana" w:hAnsi="Verdana" w:cs="Verdana"/>
          <w:sz w:val="24"/>
          <w:szCs w:val="24"/>
        </w:rPr>
      </w:pPr>
      <w:r w:rsidRPr="009A730B">
        <w:rPr>
          <w:rFonts w:ascii="Verdana" w:eastAsia="Verdana" w:hAnsi="Verdana" w:cs="Verdana"/>
          <w:sz w:val="24"/>
          <w:szCs w:val="24"/>
        </w:rPr>
        <w:t>The Population Health Committee exists to advise and assure the Board that the Health Board is adopting and embedding a population health approach across the organisation.</w:t>
      </w:r>
    </w:p>
    <w:p w14:paraId="53769B03" w14:textId="6339D03F" w:rsidR="6F2B4365" w:rsidRPr="009A730B" w:rsidRDefault="6F2B4365" w:rsidP="49220B0B">
      <w:pPr>
        <w:spacing w:after="0" w:line="240" w:lineRule="auto"/>
        <w:jc w:val="both"/>
        <w:rPr>
          <w:rFonts w:ascii="Verdana" w:eastAsia="Verdana" w:hAnsi="Verdana" w:cs="Verdana"/>
          <w:sz w:val="24"/>
          <w:szCs w:val="24"/>
        </w:rPr>
      </w:pPr>
    </w:p>
    <w:p w14:paraId="0F8628BC" w14:textId="6D491ECB" w:rsidR="6F2B4365" w:rsidRPr="009A730B" w:rsidRDefault="35A500A0" w:rsidP="49220B0B">
      <w:pPr>
        <w:spacing w:after="0" w:line="240" w:lineRule="auto"/>
        <w:jc w:val="both"/>
      </w:pPr>
      <w:r w:rsidRPr="009A730B">
        <w:rPr>
          <w:rFonts w:ascii="Verdana" w:eastAsia="Verdana" w:hAnsi="Verdana" w:cs="Verdana"/>
          <w:sz w:val="24"/>
          <w:szCs w:val="24"/>
        </w:rPr>
        <w:t>Specifically, the Committee acts as the “public health conscience” of the organisation, ensuring that decisions, strategies and services consider prevention, health improvement, inequalities and the wider determinants of health, rather than focusing solely on treatment or activity levels</w:t>
      </w:r>
    </w:p>
    <w:p w14:paraId="1D5B7D69" w14:textId="53A5183E" w:rsidR="6F2B4365" w:rsidRPr="009A730B" w:rsidRDefault="6F2B4365" w:rsidP="49220B0B">
      <w:pPr>
        <w:spacing w:after="0" w:line="240" w:lineRule="auto"/>
        <w:jc w:val="both"/>
        <w:rPr>
          <w:rFonts w:ascii="Verdana" w:eastAsia="Verdana" w:hAnsi="Verdana" w:cs="Verdana"/>
          <w:sz w:val="24"/>
          <w:szCs w:val="24"/>
        </w:rPr>
      </w:pPr>
    </w:p>
    <w:p w14:paraId="0FA7D0F3" w14:textId="4051999A" w:rsidR="49220B0B" w:rsidRPr="009A730B" w:rsidRDefault="5A6F4298" w:rsidP="00B943C6">
      <w:pPr>
        <w:spacing w:line="240" w:lineRule="auto"/>
        <w:jc w:val="both"/>
        <w:rPr>
          <w:rFonts w:ascii="Verdana" w:hAnsi="Verdana"/>
          <w:sz w:val="24"/>
          <w:szCs w:val="24"/>
        </w:rPr>
      </w:pPr>
      <w:r w:rsidRPr="009A730B">
        <w:rPr>
          <w:rFonts w:ascii="Verdana" w:hAnsi="Verdana"/>
          <w:sz w:val="24"/>
          <w:szCs w:val="24"/>
        </w:rPr>
        <w:t>During 202</w:t>
      </w:r>
      <w:r w:rsidR="57F4FEAD" w:rsidRPr="009A730B">
        <w:rPr>
          <w:rFonts w:ascii="Verdana" w:hAnsi="Verdana"/>
          <w:sz w:val="24"/>
          <w:szCs w:val="24"/>
        </w:rPr>
        <w:t>5</w:t>
      </w:r>
      <w:r w:rsidRPr="009A730B">
        <w:rPr>
          <w:rFonts w:ascii="Verdana" w:hAnsi="Verdana"/>
          <w:sz w:val="24"/>
          <w:szCs w:val="24"/>
        </w:rPr>
        <w:t>/2</w:t>
      </w:r>
      <w:r w:rsidR="47073572" w:rsidRPr="009A730B">
        <w:rPr>
          <w:rFonts w:ascii="Verdana" w:hAnsi="Verdana"/>
          <w:sz w:val="24"/>
          <w:szCs w:val="24"/>
        </w:rPr>
        <w:t>6</w:t>
      </w:r>
      <w:r w:rsidRPr="009A730B">
        <w:rPr>
          <w:rFonts w:ascii="Verdana" w:hAnsi="Verdana"/>
          <w:sz w:val="24"/>
          <w:szCs w:val="24"/>
        </w:rPr>
        <w:t xml:space="preserve"> the following reports were received;</w:t>
      </w:r>
    </w:p>
    <w:p w14:paraId="60993C44" w14:textId="03745BAF" w:rsidR="5C192B37" w:rsidRPr="00B943C6" w:rsidRDefault="5C192B37" w:rsidP="00C2615D">
      <w:pPr>
        <w:pStyle w:val="ListParagraph"/>
        <w:numPr>
          <w:ilvl w:val="1"/>
          <w:numId w:val="37"/>
        </w:numPr>
        <w:spacing w:line="240" w:lineRule="auto"/>
        <w:jc w:val="both"/>
        <w:rPr>
          <w:rFonts w:ascii="Verdana" w:hAnsi="Verdana"/>
          <w:b/>
          <w:bCs/>
          <w:sz w:val="24"/>
          <w:szCs w:val="24"/>
        </w:rPr>
      </w:pPr>
      <w:r w:rsidRPr="00B943C6">
        <w:rPr>
          <w:rFonts w:ascii="Verdana" w:hAnsi="Verdana"/>
          <w:b/>
          <w:bCs/>
          <w:sz w:val="24"/>
          <w:szCs w:val="24"/>
        </w:rPr>
        <w:t>Risk Register and Alerts</w:t>
      </w:r>
    </w:p>
    <w:p w14:paraId="35C299FF" w14:textId="752DED80" w:rsidR="2F34950D" w:rsidRPr="009A730B" w:rsidRDefault="2F34950D" w:rsidP="00B943C6">
      <w:pPr>
        <w:spacing w:line="240" w:lineRule="auto"/>
        <w:jc w:val="both"/>
        <w:rPr>
          <w:rFonts w:ascii="Verdana" w:hAnsi="Verdana"/>
          <w:sz w:val="24"/>
          <w:szCs w:val="24"/>
        </w:rPr>
      </w:pPr>
      <w:r w:rsidRPr="009A730B">
        <w:rPr>
          <w:rFonts w:ascii="Verdana" w:hAnsi="Verdana"/>
          <w:sz w:val="24"/>
          <w:szCs w:val="24"/>
        </w:rPr>
        <w:t>In June 2025, the Committee received the Population Health Risk Register and response to alerts. The Committee reviewed the strategic population health risk (HBR99), relating to the implementation of the Population Health Strategy, and took assurance that appropriate controls, management actions and escalation arrangements were in place through the Health Board’s Risk Assurance Framework.</w:t>
      </w:r>
    </w:p>
    <w:p w14:paraId="6228F4BA" w14:textId="2ABDEA6C" w:rsidR="49220B0B" w:rsidRDefault="2F34950D" w:rsidP="00B943C6">
      <w:pPr>
        <w:spacing w:line="240" w:lineRule="auto"/>
        <w:jc w:val="both"/>
        <w:rPr>
          <w:rFonts w:ascii="Verdana" w:hAnsi="Verdana"/>
          <w:sz w:val="24"/>
          <w:szCs w:val="24"/>
        </w:rPr>
      </w:pPr>
      <w:r w:rsidRPr="009A730B">
        <w:rPr>
          <w:rFonts w:ascii="Verdana" w:hAnsi="Verdana"/>
          <w:sz w:val="24"/>
          <w:szCs w:val="24"/>
        </w:rPr>
        <w:t>In March 2026, the Committee received the Strategic and Corporate Risk Registers. The Committee reviewed population health‑related strategic and corporate risks, including risks relating to health inequalities and partnership working, and noted that appropriate governance and review arrangements were in place, with no requirement for escalation or formal alerts to the Board at that time.</w:t>
      </w:r>
    </w:p>
    <w:p w14:paraId="7DAD5B40" w14:textId="77777777" w:rsidR="00C2615D" w:rsidRDefault="00C2615D" w:rsidP="00B943C6">
      <w:pPr>
        <w:spacing w:line="240" w:lineRule="auto"/>
        <w:jc w:val="both"/>
        <w:rPr>
          <w:rFonts w:ascii="Verdana" w:hAnsi="Verdana"/>
          <w:sz w:val="24"/>
          <w:szCs w:val="24"/>
        </w:rPr>
      </w:pPr>
    </w:p>
    <w:p w14:paraId="57766B03" w14:textId="77777777" w:rsidR="00C2615D" w:rsidRPr="009A730B" w:rsidRDefault="00C2615D" w:rsidP="00B943C6">
      <w:pPr>
        <w:spacing w:line="240" w:lineRule="auto"/>
        <w:jc w:val="both"/>
        <w:rPr>
          <w:rFonts w:ascii="Verdana" w:hAnsi="Verdana"/>
          <w:sz w:val="24"/>
          <w:szCs w:val="24"/>
        </w:rPr>
      </w:pPr>
    </w:p>
    <w:p w14:paraId="5BA733C7" w14:textId="351000D2" w:rsidR="48831D83" w:rsidRPr="00B943C6" w:rsidRDefault="48831D83" w:rsidP="00C2615D">
      <w:pPr>
        <w:pStyle w:val="ListParagraph"/>
        <w:numPr>
          <w:ilvl w:val="1"/>
          <w:numId w:val="37"/>
        </w:numPr>
        <w:spacing w:line="240" w:lineRule="auto"/>
        <w:jc w:val="both"/>
        <w:rPr>
          <w:rFonts w:ascii="Verdana" w:hAnsi="Verdana"/>
          <w:b/>
          <w:bCs/>
          <w:sz w:val="24"/>
          <w:szCs w:val="24"/>
        </w:rPr>
      </w:pPr>
      <w:r w:rsidRPr="00B943C6">
        <w:rPr>
          <w:rFonts w:ascii="Verdana" w:hAnsi="Verdana"/>
          <w:b/>
          <w:bCs/>
          <w:sz w:val="24"/>
          <w:szCs w:val="24"/>
        </w:rPr>
        <w:lastRenderedPageBreak/>
        <w:t xml:space="preserve">Cancer Mortality </w:t>
      </w:r>
    </w:p>
    <w:p w14:paraId="5DAAD951" w14:textId="182EBA1B" w:rsidR="00B943C6" w:rsidRPr="009A730B" w:rsidRDefault="5835EB99" w:rsidP="00B943C6">
      <w:pPr>
        <w:spacing w:line="240" w:lineRule="auto"/>
        <w:jc w:val="both"/>
        <w:rPr>
          <w:rFonts w:ascii="Verdana" w:hAnsi="Verdana"/>
          <w:sz w:val="24"/>
          <w:szCs w:val="24"/>
        </w:rPr>
      </w:pPr>
      <w:r w:rsidRPr="009A730B">
        <w:rPr>
          <w:rFonts w:ascii="Verdana" w:hAnsi="Verdana"/>
          <w:sz w:val="24"/>
          <w:szCs w:val="24"/>
        </w:rPr>
        <w:t xml:space="preserve">In September 2025, the Committee received a report on Cancer Mortality and agreed to alert the Board to key statistical findings, particularly in relation to cancer mortality and associated inequalities within Swansea Bay University Health Board. </w:t>
      </w:r>
    </w:p>
    <w:p w14:paraId="0F0EB28A" w14:textId="772F3D0C" w:rsidR="49220B0B" w:rsidRPr="0057260C" w:rsidRDefault="7BE2C4C6" w:rsidP="00C2615D">
      <w:pPr>
        <w:pStyle w:val="ListParagraph"/>
        <w:numPr>
          <w:ilvl w:val="1"/>
          <w:numId w:val="37"/>
        </w:numPr>
        <w:spacing w:line="240" w:lineRule="auto"/>
        <w:jc w:val="both"/>
        <w:rPr>
          <w:rFonts w:ascii="Verdana" w:hAnsi="Verdana"/>
          <w:b/>
          <w:bCs/>
          <w:sz w:val="24"/>
          <w:szCs w:val="24"/>
        </w:rPr>
      </w:pPr>
      <w:r w:rsidRPr="00B943C6">
        <w:rPr>
          <w:rFonts w:ascii="Verdana" w:hAnsi="Verdana"/>
          <w:b/>
          <w:bCs/>
          <w:sz w:val="24"/>
          <w:szCs w:val="24"/>
        </w:rPr>
        <w:t xml:space="preserve">Lung Cancer Screening </w:t>
      </w:r>
    </w:p>
    <w:p w14:paraId="55E29740" w14:textId="65AC730B" w:rsidR="49220B0B" w:rsidRPr="009A730B" w:rsidRDefault="7BE2C4C6" w:rsidP="00B943C6">
      <w:pPr>
        <w:spacing w:line="240" w:lineRule="auto"/>
        <w:jc w:val="both"/>
        <w:rPr>
          <w:rFonts w:ascii="Verdana" w:hAnsi="Verdana"/>
          <w:sz w:val="24"/>
          <w:szCs w:val="24"/>
        </w:rPr>
      </w:pPr>
      <w:r w:rsidRPr="009A730B">
        <w:rPr>
          <w:rFonts w:ascii="Verdana" w:hAnsi="Verdana"/>
          <w:sz w:val="24"/>
          <w:szCs w:val="24"/>
        </w:rPr>
        <w:t>In December 2025, the Committee received a report on Lung Cancer Screening. The Committee noted that lung cancer remains the leading cause of cancer‑related deaths in Wales and recognised the importance of early diagnosis through lung cancer screening in improving outcomes.</w:t>
      </w:r>
    </w:p>
    <w:p w14:paraId="0D3E6040" w14:textId="72A79FEC" w:rsidR="473C4FB2" w:rsidRPr="00B943C6" w:rsidRDefault="473C4FB2" w:rsidP="00C2615D">
      <w:pPr>
        <w:pStyle w:val="ListParagraph"/>
        <w:numPr>
          <w:ilvl w:val="1"/>
          <w:numId w:val="37"/>
        </w:numPr>
        <w:spacing w:line="240" w:lineRule="auto"/>
        <w:jc w:val="both"/>
        <w:rPr>
          <w:rFonts w:ascii="Verdana" w:eastAsia="Verdana" w:hAnsi="Verdana" w:cs="Verdana"/>
          <w:b/>
          <w:bCs/>
          <w:sz w:val="24"/>
          <w:szCs w:val="24"/>
        </w:rPr>
      </w:pPr>
      <w:r w:rsidRPr="00B943C6">
        <w:rPr>
          <w:rFonts w:ascii="Verdana" w:eastAsia="Verdana" w:hAnsi="Verdana" w:cs="Verdana"/>
          <w:b/>
          <w:bCs/>
          <w:sz w:val="24"/>
          <w:szCs w:val="24"/>
        </w:rPr>
        <w:t>Response to the limited assurance internal audit report on the Public Health Strategy</w:t>
      </w:r>
    </w:p>
    <w:p w14:paraId="460F17E1" w14:textId="33710CEA" w:rsidR="49220B0B" w:rsidRPr="009A730B" w:rsidRDefault="473C4FB2" w:rsidP="00B943C6">
      <w:pPr>
        <w:spacing w:line="240" w:lineRule="auto"/>
        <w:jc w:val="both"/>
        <w:rPr>
          <w:rFonts w:ascii="Verdana" w:hAnsi="Verdana"/>
          <w:sz w:val="24"/>
          <w:szCs w:val="24"/>
        </w:rPr>
      </w:pPr>
      <w:r w:rsidRPr="009A730B">
        <w:rPr>
          <w:rFonts w:ascii="Verdana" w:hAnsi="Verdana"/>
          <w:sz w:val="24"/>
          <w:szCs w:val="24"/>
        </w:rPr>
        <w:t>The Committee received an internal audit report in June 2025, including the management response to a limited assurance report on the Public Health Strategy. The Committee reviewed the response and received assurance on the actions being taken to address the findings of the audit</w:t>
      </w:r>
    </w:p>
    <w:p w14:paraId="6E6A2C0C" w14:textId="60F944B9" w:rsidR="792E11D3" w:rsidRPr="00B943C6" w:rsidRDefault="792E11D3" w:rsidP="00C2615D">
      <w:pPr>
        <w:pStyle w:val="ListParagraph"/>
        <w:numPr>
          <w:ilvl w:val="1"/>
          <w:numId w:val="37"/>
        </w:numPr>
        <w:spacing w:line="240" w:lineRule="auto"/>
        <w:jc w:val="both"/>
        <w:rPr>
          <w:rFonts w:ascii="Verdana" w:hAnsi="Verdana"/>
          <w:b/>
          <w:bCs/>
          <w:sz w:val="24"/>
          <w:szCs w:val="24"/>
        </w:rPr>
      </w:pPr>
      <w:r w:rsidRPr="00B943C6">
        <w:rPr>
          <w:rFonts w:ascii="Verdana" w:hAnsi="Verdana"/>
          <w:b/>
          <w:bCs/>
          <w:sz w:val="24"/>
          <w:szCs w:val="24"/>
        </w:rPr>
        <w:t>Inequalities in premature mortality from cardiovascular disease</w:t>
      </w:r>
    </w:p>
    <w:p w14:paraId="1A1357D8" w14:textId="3C3E1114" w:rsidR="49220B0B" w:rsidRPr="009A730B" w:rsidRDefault="792E11D3" w:rsidP="00B943C6">
      <w:pPr>
        <w:spacing w:line="240" w:lineRule="auto"/>
        <w:jc w:val="both"/>
        <w:rPr>
          <w:rFonts w:ascii="Verdana" w:hAnsi="Verdana"/>
          <w:sz w:val="24"/>
          <w:szCs w:val="24"/>
        </w:rPr>
      </w:pPr>
      <w:r w:rsidRPr="009A730B">
        <w:rPr>
          <w:rFonts w:ascii="Verdana" w:hAnsi="Verdana"/>
          <w:sz w:val="24"/>
          <w:szCs w:val="24"/>
        </w:rPr>
        <w:t xml:space="preserve">In December 2025, the Population Health Committee received a report on inequalities in premature mortality from cardiovascular disease. </w:t>
      </w:r>
    </w:p>
    <w:p w14:paraId="15C2DCEA" w14:textId="5D6EED67" w:rsidR="2B74D5A5" w:rsidRPr="00B943C6" w:rsidRDefault="2B74D5A5" w:rsidP="00C2615D">
      <w:pPr>
        <w:pStyle w:val="ListParagraph"/>
        <w:numPr>
          <w:ilvl w:val="1"/>
          <w:numId w:val="37"/>
        </w:numPr>
        <w:spacing w:line="240" w:lineRule="auto"/>
        <w:jc w:val="both"/>
        <w:rPr>
          <w:rFonts w:ascii="Verdana" w:hAnsi="Verdana"/>
          <w:b/>
          <w:bCs/>
          <w:sz w:val="24"/>
          <w:szCs w:val="24"/>
        </w:rPr>
      </w:pPr>
      <w:r w:rsidRPr="00B943C6">
        <w:rPr>
          <w:rFonts w:ascii="Verdana" w:hAnsi="Verdana"/>
          <w:b/>
          <w:bCs/>
          <w:sz w:val="24"/>
          <w:szCs w:val="24"/>
        </w:rPr>
        <w:t>Early evaluation of the impact of maternal RSV vaccinations on infant respiratory hospitalisations and associated costs</w:t>
      </w:r>
    </w:p>
    <w:p w14:paraId="0785EB19" w14:textId="0B4390AD" w:rsidR="49220B0B" w:rsidRDefault="2B74D5A5" w:rsidP="0057260C">
      <w:pPr>
        <w:spacing w:after="0" w:line="240" w:lineRule="auto"/>
        <w:jc w:val="both"/>
        <w:rPr>
          <w:rFonts w:ascii="Verdana" w:hAnsi="Verdana"/>
          <w:sz w:val="24"/>
          <w:szCs w:val="24"/>
        </w:rPr>
      </w:pPr>
      <w:r w:rsidRPr="009A730B">
        <w:rPr>
          <w:rFonts w:ascii="Verdana" w:hAnsi="Verdana"/>
          <w:sz w:val="24"/>
          <w:szCs w:val="24"/>
        </w:rPr>
        <w:t xml:space="preserve">The Committee received a report on the early evaluation of the impact of maternal </w:t>
      </w:r>
      <w:r w:rsidR="262C13A0" w:rsidRPr="009A730B">
        <w:rPr>
          <w:rFonts w:ascii="Verdana" w:eastAsia="Verdana" w:hAnsi="Verdana" w:cs="Verdana"/>
          <w:sz w:val="24"/>
          <w:szCs w:val="24"/>
        </w:rPr>
        <w:t>Respiratory Syncytial Virus (</w:t>
      </w:r>
      <w:r w:rsidRPr="009A730B">
        <w:rPr>
          <w:rFonts w:ascii="Verdana" w:eastAsia="Verdana" w:hAnsi="Verdana" w:cs="Verdana"/>
          <w:sz w:val="24"/>
          <w:szCs w:val="24"/>
        </w:rPr>
        <w:t>RSV</w:t>
      </w:r>
      <w:r w:rsidR="17C6C1D6" w:rsidRPr="009A730B">
        <w:rPr>
          <w:rFonts w:ascii="Verdana" w:eastAsia="Verdana" w:hAnsi="Verdana" w:cs="Verdana"/>
          <w:sz w:val="24"/>
          <w:szCs w:val="24"/>
        </w:rPr>
        <w:t>)</w:t>
      </w:r>
      <w:r w:rsidRPr="009A730B">
        <w:rPr>
          <w:rFonts w:ascii="Verdana" w:hAnsi="Verdana"/>
          <w:sz w:val="24"/>
          <w:szCs w:val="24"/>
        </w:rPr>
        <w:t xml:space="preserve"> vaccinations on infant respiratory hospitalisations and associated costs in March 2026. The Committee considered the findings and advised on the key outcomes and strategic implications, including the need to increase maternal vaccine uptake, particularly within areas of higher deprivation, and highlighted concerns regarding the sustainability of the programme due to short‑term funding arrangements. </w:t>
      </w:r>
    </w:p>
    <w:p w14:paraId="600EF15D" w14:textId="77777777" w:rsidR="0057260C" w:rsidRPr="009A730B" w:rsidRDefault="0057260C" w:rsidP="0057260C">
      <w:pPr>
        <w:spacing w:after="0" w:line="240" w:lineRule="auto"/>
        <w:jc w:val="both"/>
        <w:rPr>
          <w:rFonts w:ascii="Verdana" w:hAnsi="Verdana"/>
          <w:sz w:val="24"/>
          <w:szCs w:val="24"/>
        </w:rPr>
      </w:pPr>
    </w:p>
    <w:p w14:paraId="6E3096E4" w14:textId="4BF467D1" w:rsidR="696C592E" w:rsidRPr="00B943C6" w:rsidRDefault="696C592E" w:rsidP="00C2615D">
      <w:pPr>
        <w:pStyle w:val="ListParagraph"/>
        <w:numPr>
          <w:ilvl w:val="1"/>
          <w:numId w:val="37"/>
        </w:numPr>
        <w:spacing w:line="240" w:lineRule="auto"/>
        <w:jc w:val="both"/>
        <w:rPr>
          <w:rFonts w:ascii="Verdana" w:hAnsi="Verdana"/>
          <w:b/>
          <w:bCs/>
          <w:sz w:val="24"/>
          <w:szCs w:val="24"/>
        </w:rPr>
      </w:pPr>
      <w:r w:rsidRPr="00B943C6">
        <w:rPr>
          <w:rFonts w:ascii="Verdana" w:hAnsi="Verdana"/>
          <w:b/>
          <w:bCs/>
          <w:sz w:val="24"/>
          <w:szCs w:val="24"/>
        </w:rPr>
        <w:t>Smoking Cessation &amp; Service Fragility</w:t>
      </w:r>
    </w:p>
    <w:p w14:paraId="32633CCF" w14:textId="4C415A07" w:rsidR="6C91AE17" w:rsidRPr="009A730B" w:rsidRDefault="6C91AE17" w:rsidP="00B943C6">
      <w:pPr>
        <w:spacing w:line="240" w:lineRule="auto"/>
        <w:jc w:val="both"/>
        <w:rPr>
          <w:rFonts w:ascii="Verdana" w:hAnsi="Verdana"/>
          <w:sz w:val="24"/>
          <w:szCs w:val="24"/>
        </w:rPr>
      </w:pPr>
      <w:r w:rsidRPr="009A730B">
        <w:rPr>
          <w:rFonts w:ascii="Verdana" w:hAnsi="Verdana"/>
          <w:sz w:val="24"/>
          <w:szCs w:val="24"/>
        </w:rPr>
        <w:t>During the reporting period, the Committee received an update on smoking cessation services and considered the sustainability of current provision in December 2025. The Committee noted that smoking cessation services play a critical role in reducing health inequalities and improving long‑term population health outcomes; however, concerns were raised regarding the fragility of these services due to their reliance on short‑term, non‑recurrent the Welsh Government funding arrangements.</w:t>
      </w:r>
    </w:p>
    <w:p w14:paraId="0117BD69" w14:textId="03B3C1BA" w:rsidR="49220B0B" w:rsidRPr="009A730B" w:rsidRDefault="6C91AE17" w:rsidP="00B943C6">
      <w:pPr>
        <w:spacing w:line="240" w:lineRule="auto"/>
        <w:jc w:val="both"/>
        <w:rPr>
          <w:rFonts w:ascii="Verdana" w:hAnsi="Verdana"/>
          <w:sz w:val="24"/>
          <w:szCs w:val="24"/>
        </w:rPr>
      </w:pPr>
      <w:r w:rsidRPr="009A730B">
        <w:rPr>
          <w:rFonts w:ascii="Verdana" w:hAnsi="Verdana"/>
          <w:sz w:val="24"/>
          <w:szCs w:val="24"/>
        </w:rPr>
        <w:t xml:space="preserve">The Committee discussed the increasing expectations placed on smoking cessation services, particularly in the context of national programmes and </w:t>
      </w:r>
      <w:r w:rsidRPr="009A730B">
        <w:rPr>
          <w:rFonts w:ascii="Verdana" w:hAnsi="Verdana"/>
          <w:sz w:val="24"/>
          <w:szCs w:val="24"/>
        </w:rPr>
        <w:lastRenderedPageBreak/>
        <w:t>pathway‑based approaches and recognised the associated pressures on workforce capacity and service resilience. The Committee agreed to continue to monitor this area closely and to escalate concerns where appropriate, recognising the potential impact of service fragility on population health outcomes and health inequality reduction.</w:t>
      </w:r>
    </w:p>
    <w:p w14:paraId="5F460A63" w14:textId="4F042EBD" w:rsidR="2BD6B42F" w:rsidRPr="00DF448C" w:rsidRDefault="2BD6B42F" w:rsidP="00C2615D">
      <w:pPr>
        <w:pStyle w:val="ListParagraph"/>
        <w:numPr>
          <w:ilvl w:val="1"/>
          <w:numId w:val="37"/>
        </w:numPr>
        <w:spacing w:line="240" w:lineRule="auto"/>
        <w:jc w:val="both"/>
        <w:rPr>
          <w:rFonts w:ascii="Verdana" w:hAnsi="Verdana"/>
          <w:b/>
          <w:bCs/>
          <w:sz w:val="24"/>
          <w:szCs w:val="24"/>
        </w:rPr>
      </w:pPr>
      <w:r w:rsidRPr="00DF448C">
        <w:rPr>
          <w:rFonts w:ascii="Verdana" w:hAnsi="Verdana"/>
          <w:b/>
          <w:bCs/>
          <w:sz w:val="24"/>
          <w:szCs w:val="24"/>
        </w:rPr>
        <w:t>State of the Population Report</w:t>
      </w:r>
    </w:p>
    <w:p w14:paraId="16925209" w14:textId="4958EFB3" w:rsidR="49220B0B" w:rsidRPr="009A730B" w:rsidRDefault="36372610" w:rsidP="00B943C6">
      <w:pPr>
        <w:spacing w:line="240" w:lineRule="auto"/>
        <w:jc w:val="both"/>
        <w:rPr>
          <w:rFonts w:ascii="Verdana" w:hAnsi="Verdana"/>
          <w:sz w:val="24"/>
          <w:szCs w:val="24"/>
        </w:rPr>
      </w:pPr>
      <w:r w:rsidRPr="009A730B">
        <w:rPr>
          <w:rFonts w:ascii="Verdana" w:hAnsi="Verdana"/>
          <w:sz w:val="24"/>
          <w:szCs w:val="24"/>
        </w:rPr>
        <w:t>The Committee received the State of the Population Report in March 2026, which provided an evidence‑based overview of population health outcomes and inequalities across Swansea Bay. The report highlighted persistent health inequalities and the influence of socio‑economic factors on health outcomes and service demand. The Committee recognised the value of the report in informing strategic planning and reinforcing the importance of prevention, early intervention and partnership working.</w:t>
      </w:r>
    </w:p>
    <w:p w14:paraId="4A913394" w14:textId="68EAAE52" w:rsidR="76424C58" w:rsidRPr="00DF448C" w:rsidRDefault="76424C58" w:rsidP="00C2615D">
      <w:pPr>
        <w:pStyle w:val="ListParagraph"/>
        <w:numPr>
          <w:ilvl w:val="1"/>
          <w:numId w:val="37"/>
        </w:numPr>
        <w:spacing w:line="240" w:lineRule="auto"/>
        <w:jc w:val="both"/>
        <w:rPr>
          <w:rFonts w:ascii="Verdana" w:hAnsi="Verdana"/>
          <w:b/>
          <w:bCs/>
          <w:sz w:val="24"/>
          <w:szCs w:val="24"/>
        </w:rPr>
      </w:pPr>
      <w:r w:rsidRPr="00DF448C">
        <w:rPr>
          <w:rFonts w:ascii="Verdana" w:hAnsi="Verdana"/>
          <w:b/>
          <w:bCs/>
          <w:sz w:val="24"/>
          <w:szCs w:val="24"/>
        </w:rPr>
        <w:t>Performance of the Implementation of the Vaccine Equity Plan (VEP)</w:t>
      </w:r>
    </w:p>
    <w:p w14:paraId="719C5FE2" w14:textId="1A7EB46B" w:rsidR="002A7D3A" w:rsidRPr="009A730B" w:rsidRDefault="76424C58" w:rsidP="00B943C6">
      <w:pPr>
        <w:spacing w:line="240" w:lineRule="auto"/>
        <w:jc w:val="both"/>
        <w:rPr>
          <w:rFonts w:ascii="Verdana" w:hAnsi="Verdana"/>
          <w:sz w:val="24"/>
          <w:szCs w:val="24"/>
        </w:rPr>
      </w:pPr>
      <w:r w:rsidRPr="009A730B">
        <w:rPr>
          <w:rFonts w:ascii="Verdana" w:hAnsi="Verdana"/>
          <w:sz w:val="24"/>
          <w:szCs w:val="24"/>
        </w:rPr>
        <w:t>The Committee received a report on the performance of the implementation of the Vaccine Equity Plan (VEP) in September 2025. The report provided assurance on progress made to address barriers to vaccine uptake and improve equitable access to immunisation services, particularly for underserved and seldom‑heard communities. The Committee noted the embedding of learning from the COVID‑19 vaccination programme and the use of targeted, community‑focused approaches, and supported the continuation of this programme of work.</w:t>
      </w:r>
    </w:p>
    <w:p w14:paraId="7124F754" w14:textId="4CBEEE56" w:rsidR="40E5E406" w:rsidRPr="00DF448C" w:rsidRDefault="40E5E406" w:rsidP="00C2615D">
      <w:pPr>
        <w:pStyle w:val="ListParagraph"/>
        <w:numPr>
          <w:ilvl w:val="1"/>
          <w:numId w:val="37"/>
        </w:numPr>
        <w:spacing w:line="240" w:lineRule="auto"/>
        <w:jc w:val="both"/>
        <w:rPr>
          <w:rFonts w:ascii="Verdana" w:hAnsi="Verdana"/>
          <w:b/>
          <w:bCs/>
          <w:sz w:val="24"/>
          <w:szCs w:val="24"/>
        </w:rPr>
      </w:pPr>
      <w:r w:rsidRPr="00DF448C">
        <w:rPr>
          <w:rFonts w:ascii="Verdana" w:hAnsi="Verdana"/>
          <w:b/>
          <w:bCs/>
          <w:sz w:val="24"/>
          <w:szCs w:val="24"/>
        </w:rPr>
        <w:t>Director of Public Health Annual Report</w:t>
      </w:r>
    </w:p>
    <w:p w14:paraId="16FD4846" w14:textId="20B3B19B" w:rsidR="00687134" w:rsidRPr="009A730B" w:rsidRDefault="40E5E406" w:rsidP="00B943C6">
      <w:pPr>
        <w:spacing w:line="240" w:lineRule="auto"/>
        <w:jc w:val="both"/>
        <w:rPr>
          <w:rFonts w:ascii="Verdana" w:hAnsi="Verdana"/>
          <w:sz w:val="24"/>
          <w:szCs w:val="24"/>
        </w:rPr>
      </w:pPr>
      <w:r w:rsidRPr="009A730B">
        <w:rPr>
          <w:rFonts w:ascii="Verdana" w:hAnsi="Verdana"/>
          <w:sz w:val="24"/>
          <w:szCs w:val="24"/>
        </w:rPr>
        <w:t>The Committee received the Director of Public Health Annual Report in March 2026, which provided an independent professional assessment of the health of local communities and priorities for population health improvement. The report highlighted the scale of ongoing health inequalities, the impact of preventable illness and premature mortality, and the importance of sustained investment in prevention, early intervention and system‑wide collaboration. The Committee recognised the value of the report in informing strategic planning and reinforcing a population‑health‑led approach across the organisation.</w:t>
      </w:r>
    </w:p>
    <w:p w14:paraId="05767406" w14:textId="24211D2E" w:rsidR="16091698" w:rsidRPr="00687134" w:rsidRDefault="16091698" w:rsidP="00C2615D">
      <w:pPr>
        <w:pStyle w:val="ListParagraph"/>
        <w:numPr>
          <w:ilvl w:val="1"/>
          <w:numId w:val="37"/>
        </w:numPr>
        <w:spacing w:line="240" w:lineRule="auto"/>
        <w:jc w:val="both"/>
        <w:rPr>
          <w:rFonts w:ascii="Verdana" w:hAnsi="Verdana"/>
          <w:b/>
          <w:bCs/>
          <w:sz w:val="24"/>
          <w:szCs w:val="24"/>
        </w:rPr>
      </w:pPr>
      <w:r w:rsidRPr="00687134">
        <w:rPr>
          <w:rFonts w:ascii="Verdana" w:hAnsi="Verdana"/>
          <w:b/>
          <w:bCs/>
          <w:sz w:val="24"/>
          <w:szCs w:val="24"/>
        </w:rPr>
        <w:t>Staff and Population Vaccination update</w:t>
      </w:r>
    </w:p>
    <w:p w14:paraId="1B6DF053" w14:textId="19D2428A" w:rsidR="1C64436D" w:rsidRPr="009A730B" w:rsidRDefault="1C64436D" w:rsidP="00B943C6">
      <w:pPr>
        <w:spacing w:line="240" w:lineRule="auto"/>
        <w:jc w:val="both"/>
        <w:rPr>
          <w:rFonts w:ascii="Verdana" w:hAnsi="Verdana"/>
          <w:sz w:val="24"/>
          <w:szCs w:val="24"/>
        </w:rPr>
      </w:pPr>
      <w:r w:rsidRPr="009A730B">
        <w:rPr>
          <w:rFonts w:ascii="Verdana" w:hAnsi="Verdana"/>
          <w:sz w:val="24"/>
          <w:szCs w:val="24"/>
        </w:rPr>
        <w:t>The Committee received an update on staff flu vaccination in June 2025, which provided assurance on uptake and delivery of the programme across the Health Board. The Committee noted the continued importance of staff vaccination in protecting workforce resilience and patient safety and supported ongoing efforts to promote uptake.</w:t>
      </w:r>
    </w:p>
    <w:p w14:paraId="237AB666" w14:textId="580AD135" w:rsidR="49220B0B" w:rsidRPr="009A730B" w:rsidRDefault="5F9043FF" w:rsidP="00B943C6">
      <w:pPr>
        <w:spacing w:line="240" w:lineRule="auto"/>
        <w:jc w:val="both"/>
        <w:rPr>
          <w:rFonts w:ascii="Verdana" w:hAnsi="Verdana"/>
          <w:sz w:val="24"/>
          <w:szCs w:val="24"/>
        </w:rPr>
      </w:pPr>
      <w:r w:rsidRPr="009A730B">
        <w:rPr>
          <w:rFonts w:ascii="Verdana" w:hAnsi="Verdana"/>
          <w:sz w:val="24"/>
          <w:szCs w:val="24"/>
        </w:rPr>
        <w:t xml:space="preserve">The Committee also received a report on flu vaccination for the population in June 2025, which outlined progress in vaccination uptake and delivery across priority population groups. The Committee recognised the role of the </w:t>
      </w:r>
      <w:r w:rsidRPr="009A730B">
        <w:rPr>
          <w:rFonts w:ascii="Verdana" w:hAnsi="Verdana"/>
          <w:sz w:val="24"/>
          <w:szCs w:val="24"/>
        </w:rPr>
        <w:lastRenderedPageBreak/>
        <w:t>programme in reducing avoidable illness and pressure on services and noted the importance of targeted approaches to address inequalities in uptake.</w:t>
      </w:r>
    </w:p>
    <w:p w14:paraId="6CE82BC9" w14:textId="0857D2C4" w:rsidR="5F9043FF" w:rsidRPr="00687134" w:rsidRDefault="5F9043FF" w:rsidP="00C2615D">
      <w:pPr>
        <w:pStyle w:val="ListParagraph"/>
        <w:numPr>
          <w:ilvl w:val="1"/>
          <w:numId w:val="37"/>
        </w:numPr>
        <w:spacing w:line="240" w:lineRule="auto"/>
        <w:jc w:val="both"/>
        <w:rPr>
          <w:rFonts w:ascii="Verdana" w:hAnsi="Verdana"/>
          <w:b/>
          <w:bCs/>
          <w:sz w:val="24"/>
          <w:szCs w:val="24"/>
        </w:rPr>
      </w:pPr>
      <w:r w:rsidRPr="00687134">
        <w:rPr>
          <w:rFonts w:ascii="Verdana" w:hAnsi="Verdana"/>
          <w:b/>
          <w:bCs/>
          <w:sz w:val="24"/>
          <w:szCs w:val="24"/>
        </w:rPr>
        <w:t xml:space="preserve">Food In Hospitals </w:t>
      </w:r>
    </w:p>
    <w:p w14:paraId="53B3EDC6" w14:textId="53222436" w:rsidR="49220B0B" w:rsidRPr="009A730B" w:rsidRDefault="5F9043FF" w:rsidP="00B943C6">
      <w:pPr>
        <w:spacing w:line="240" w:lineRule="auto"/>
        <w:jc w:val="both"/>
        <w:rPr>
          <w:rFonts w:ascii="Verdana" w:hAnsi="Verdana"/>
          <w:sz w:val="24"/>
          <w:szCs w:val="24"/>
        </w:rPr>
      </w:pPr>
      <w:r w:rsidRPr="009A730B">
        <w:rPr>
          <w:rFonts w:ascii="Verdana" w:hAnsi="Verdana"/>
          <w:sz w:val="24"/>
          <w:szCs w:val="24"/>
        </w:rPr>
        <w:t>In September 2025, the Committee received a report on food in hospitals, highlighting the impact of the hospital food environment on population health and the importance of progressing healthier and more sustainable food provision through strengthened governance and future contract renewal.</w:t>
      </w:r>
    </w:p>
    <w:p w14:paraId="06636283" w14:textId="14007BB8" w:rsidR="6CE78BAB" w:rsidRPr="00687134" w:rsidRDefault="6CE78BAB" w:rsidP="00C2615D">
      <w:pPr>
        <w:pStyle w:val="ListParagraph"/>
        <w:numPr>
          <w:ilvl w:val="1"/>
          <w:numId w:val="37"/>
        </w:numPr>
        <w:spacing w:line="240" w:lineRule="auto"/>
        <w:jc w:val="both"/>
        <w:rPr>
          <w:rFonts w:ascii="Verdana" w:hAnsi="Verdana"/>
          <w:b/>
          <w:bCs/>
          <w:sz w:val="24"/>
          <w:szCs w:val="24"/>
        </w:rPr>
      </w:pPr>
      <w:r w:rsidRPr="00687134">
        <w:rPr>
          <w:rFonts w:ascii="Verdana" w:hAnsi="Verdana"/>
          <w:b/>
          <w:bCs/>
          <w:sz w:val="24"/>
          <w:szCs w:val="24"/>
        </w:rPr>
        <w:t>Child Measurement Programme Wales Update</w:t>
      </w:r>
    </w:p>
    <w:p w14:paraId="519929F2" w14:textId="02117740" w:rsidR="49220B0B" w:rsidRPr="0057260C" w:rsidRDefault="6CE78BAB" w:rsidP="00B943C6">
      <w:pPr>
        <w:spacing w:line="240" w:lineRule="auto"/>
        <w:jc w:val="both"/>
        <w:rPr>
          <w:rFonts w:ascii="Verdana" w:hAnsi="Verdana"/>
          <w:sz w:val="24"/>
          <w:szCs w:val="24"/>
        </w:rPr>
      </w:pPr>
      <w:r w:rsidRPr="009A730B">
        <w:rPr>
          <w:rFonts w:ascii="Verdana" w:hAnsi="Verdana"/>
          <w:sz w:val="24"/>
          <w:szCs w:val="24"/>
        </w:rPr>
        <w:t>In December 2025, the Committee received an update on the Child Measurement Programme Wales, which highlighted rising childhood obesity and the importance of sustained, system‑wide partnership action to address healthy weight and health inequalities.</w:t>
      </w:r>
    </w:p>
    <w:p w14:paraId="1512310E" w14:textId="46559D43" w:rsidR="7286BDD3" w:rsidRPr="00687134" w:rsidRDefault="7286BDD3" w:rsidP="00C2615D">
      <w:pPr>
        <w:pStyle w:val="ListParagraph"/>
        <w:numPr>
          <w:ilvl w:val="1"/>
          <w:numId w:val="37"/>
        </w:numPr>
        <w:spacing w:line="240" w:lineRule="auto"/>
        <w:jc w:val="both"/>
        <w:rPr>
          <w:rFonts w:ascii="Verdana" w:hAnsi="Verdana"/>
          <w:b/>
          <w:bCs/>
          <w:sz w:val="24"/>
          <w:szCs w:val="24"/>
        </w:rPr>
      </w:pPr>
      <w:r w:rsidRPr="00687134">
        <w:rPr>
          <w:rFonts w:ascii="Verdana" w:hAnsi="Verdana"/>
          <w:b/>
          <w:bCs/>
          <w:sz w:val="24"/>
          <w:szCs w:val="24"/>
        </w:rPr>
        <w:t>Designed to Smile Scheme</w:t>
      </w:r>
    </w:p>
    <w:p w14:paraId="1EE50953" w14:textId="478A5DB5" w:rsidR="002A7D3A" w:rsidRPr="009A730B" w:rsidRDefault="7286BDD3" w:rsidP="00B943C6">
      <w:pPr>
        <w:spacing w:line="240" w:lineRule="auto"/>
        <w:jc w:val="both"/>
        <w:rPr>
          <w:rFonts w:ascii="Verdana" w:hAnsi="Verdana"/>
          <w:sz w:val="24"/>
          <w:szCs w:val="24"/>
        </w:rPr>
      </w:pPr>
      <w:r w:rsidRPr="009A730B">
        <w:rPr>
          <w:rFonts w:ascii="Verdana" w:hAnsi="Verdana"/>
          <w:sz w:val="24"/>
          <w:szCs w:val="24"/>
        </w:rPr>
        <w:t>The Committee received the Designed to Smile Scheme report in March 2026, which provided assurance on programme delivery and its contribution to improving children’s oral health and reducing inequalities</w:t>
      </w:r>
    </w:p>
    <w:p w14:paraId="69471245" w14:textId="0D31C21C" w:rsidR="2BCC2230" w:rsidRPr="00687134" w:rsidRDefault="2BCC2230" w:rsidP="00C2615D">
      <w:pPr>
        <w:pStyle w:val="ListParagraph"/>
        <w:numPr>
          <w:ilvl w:val="1"/>
          <w:numId w:val="37"/>
        </w:numPr>
        <w:spacing w:line="240" w:lineRule="auto"/>
        <w:jc w:val="both"/>
        <w:rPr>
          <w:rFonts w:ascii="Verdana" w:hAnsi="Verdana"/>
          <w:b/>
          <w:bCs/>
          <w:sz w:val="24"/>
          <w:szCs w:val="24"/>
        </w:rPr>
      </w:pPr>
      <w:r w:rsidRPr="00687134">
        <w:rPr>
          <w:rFonts w:ascii="Verdana" w:hAnsi="Verdana"/>
          <w:b/>
          <w:bCs/>
          <w:sz w:val="24"/>
          <w:szCs w:val="24"/>
        </w:rPr>
        <w:t>Earthing the Population Health Strategy – Drivers for Change</w:t>
      </w:r>
    </w:p>
    <w:p w14:paraId="1E6680E8" w14:textId="35D7FFC7" w:rsidR="00687134" w:rsidRPr="009A730B" w:rsidRDefault="339F110A" w:rsidP="00B943C6">
      <w:pPr>
        <w:spacing w:line="240" w:lineRule="auto"/>
        <w:jc w:val="both"/>
        <w:rPr>
          <w:rFonts w:ascii="Verdana" w:hAnsi="Verdana"/>
          <w:sz w:val="24"/>
          <w:szCs w:val="24"/>
        </w:rPr>
      </w:pPr>
      <w:r w:rsidRPr="009A730B">
        <w:rPr>
          <w:rFonts w:ascii="Verdana" w:hAnsi="Verdana"/>
          <w:sz w:val="24"/>
          <w:szCs w:val="24"/>
        </w:rPr>
        <w:t>In June 2025, the Committee received a report on earthing the Population Health Strategy – Drivers for Change, which outlined progress in translating strategic priorities into action through clarified roles, ownership and partnership working</w:t>
      </w:r>
    </w:p>
    <w:p w14:paraId="4C0CF6DE" w14:textId="145DF866" w:rsidR="49220B0B" w:rsidRPr="0057260C" w:rsidRDefault="6181412F" w:rsidP="00C2615D">
      <w:pPr>
        <w:pStyle w:val="ListParagraph"/>
        <w:numPr>
          <w:ilvl w:val="1"/>
          <w:numId w:val="37"/>
        </w:numPr>
        <w:spacing w:line="240" w:lineRule="auto"/>
        <w:jc w:val="both"/>
        <w:rPr>
          <w:rFonts w:ascii="Verdana" w:hAnsi="Verdana"/>
          <w:b/>
          <w:bCs/>
          <w:sz w:val="24"/>
          <w:szCs w:val="24"/>
        </w:rPr>
      </w:pPr>
      <w:r w:rsidRPr="00687134">
        <w:rPr>
          <w:rFonts w:ascii="Verdana" w:hAnsi="Verdana"/>
          <w:b/>
          <w:bCs/>
          <w:sz w:val="24"/>
          <w:szCs w:val="24"/>
        </w:rPr>
        <w:t>Regional Whole Systems Approach to Healthy Weight</w:t>
      </w:r>
    </w:p>
    <w:p w14:paraId="7B2E2D09" w14:textId="6FA25FB7" w:rsidR="49220B0B" w:rsidRPr="00A23308" w:rsidRDefault="6181412F" w:rsidP="00B943C6">
      <w:pPr>
        <w:spacing w:line="240" w:lineRule="auto"/>
        <w:jc w:val="both"/>
        <w:rPr>
          <w:rFonts w:ascii="Verdana" w:hAnsi="Verdana"/>
          <w:sz w:val="24"/>
          <w:szCs w:val="24"/>
        </w:rPr>
      </w:pPr>
      <w:r w:rsidRPr="009A730B">
        <w:rPr>
          <w:rFonts w:ascii="Verdana" w:hAnsi="Verdana"/>
          <w:sz w:val="24"/>
          <w:szCs w:val="24"/>
        </w:rPr>
        <w:t>In December 2025, the Committee received an update on the Regional Whole Systems Approach to healthy weight, highlighting progress in system‑wide partnership working and the strategic importance of addressing obesity and health inequalities through sustained collaborative action.</w:t>
      </w:r>
    </w:p>
    <w:p w14:paraId="3624FFF3" w14:textId="4BB20F31" w:rsidR="0A2F51B8" w:rsidRPr="00A23308" w:rsidRDefault="0A2F51B8" w:rsidP="00C2615D">
      <w:pPr>
        <w:pStyle w:val="ListParagraph"/>
        <w:numPr>
          <w:ilvl w:val="1"/>
          <w:numId w:val="37"/>
        </w:numPr>
        <w:spacing w:line="240" w:lineRule="auto"/>
        <w:jc w:val="both"/>
        <w:rPr>
          <w:rFonts w:ascii="Verdana" w:hAnsi="Verdana"/>
          <w:b/>
          <w:bCs/>
          <w:sz w:val="24"/>
          <w:szCs w:val="24"/>
        </w:rPr>
      </w:pPr>
      <w:r w:rsidRPr="00A23308">
        <w:rPr>
          <w:rFonts w:ascii="Verdana" w:hAnsi="Verdana"/>
          <w:b/>
          <w:bCs/>
          <w:sz w:val="24"/>
          <w:szCs w:val="24"/>
        </w:rPr>
        <w:t>All</w:t>
      </w:r>
      <w:r w:rsidRPr="00A23308">
        <w:rPr>
          <w:rFonts w:ascii="Cambria Math" w:hAnsi="Cambria Math" w:cs="Cambria Math"/>
          <w:b/>
          <w:sz w:val="24"/>
          <w:szCs w:val="24"/>
        </w:rPr>
        <w:t>‑</w:t>
      </w:r>
      <w:r w:rsidRPr="00A23308">
        <w:rPr>
          <w:rFonts w:ascii="Verdana" w:hAnsi="Verdana"/>
          <w:b/>
          <w:bCs/>
          <w:sz w:val="24"/>
          <w:szCs w:val="24"/>
        </w:rPr>
        <w:t>Wales Diabetes Prevention Programme</w:t>
      </w:r>
    </w:p>
    <w:p w14:paraId="44AE7250" w14:textId="130ECEF1" w:rsidR="6934F71B" w:rsidRPr="009A730B" w:rsidRDefault="6934F71B" w:rsidP="00B943C6">
      <w:pPr>
        <w:spacing w:line="240" w:lineRule="auto"/>
        <w:jc w:val="both"/>
        <w:rPr>
          <w:rFonts w:ascii="Verdana" w:hAnsi="Verdana"/>
          <w:sz w:val="24"/>
          <w:szCs w:val="24"/>
        </w:rPr>
      </w:pPr>
      <w:r w:rsidRPr="009A730B">
        <w:rPr>
          <w:rFonts w:ascii="Verdana" w:hAnsi="Verdana"/>
          <w:sz w:val="24"/>
          <w:szCs w:val="24"/>
        </w:rPr>
        <w:t xml:space="preserve">The Committee received a report on the All‑Wales Diabetes Prevention Programme in September 2025, which outlined progress in programme delivery and highlighted significant risks associated with the sustainability of funding. The Committee agreed that the financial risks should be escalated to the Board, noting that national evaluation findings were awaited. </w:t>
      </w:r>
    </w:p>
    <w:p w14:paraId="4941C7CA" w14:textId="1E160571" w:rsidR="49220B0B" w:rsidRPr="0057260C" w:rsidRDefault="6934F71B" w:rsidP="0057260C">
      <w:pPr>
        <w:spacing w:line="240" w:lineRule="auto"/>
        <w:jc w:val="both"/>
        <w:rPr>
          <w:rFonts w:ascii="Verdana" w:hAnsi="Verdana"/>
          <w:sz w:val="24"/>
          <w:szCs w:val="24"/>
        </w:rPr>
      </w:pPr>
      <w:r w:rsidRPr="009A730B">
        <w:rPr>
          <w:rFonts w:ascii="Verdana" w:hAnsi="Verdana"/>
          <w:sz w:val="24"/>
          <w:szCs w:val="24"/>
        </w:rPr>
        <w:t xml:space="preserve">A further verbal update was received in March 2026, which confirmed ongoing delivery across clusters but highlighted continued and emerging risks relating to reduced external funding, workforce capacity constraints and the need to redesign the delivery model. The Committee noted the </w:t>
      </w:r>
      <w:r w:rsidRPr="009A730B">
        <w:rPr>
          <w:rFonts w:ascii="Verdana" w:hAnsi="Verdana"/>
          <w:sz w:val="24"/>
          <w:szCs w:val="24"/>
        </w:rPr>
        <w:lastRenderedPageBreak/>
        <w:t xml:space="preserve">potential impact on programme sustainability and supported continued Board‑level oversight of </w:t>
      </w:r>
      <w:r w:rsidR="00D37535" w:rsidRPr="009A730B">
        <w:rPr>
          <w:rFonts w:ascii="Verdana" w:hAnsi="Verdana"/>
          <w:sz w:val="24"/>
          <w:szCs w:val="24"/>
        </w:rPr>
        <w:t>this risk</w:t>
      </w:r>
      <w:r w:rsidR="0057260C">
        <w:rPr>
          <w:rFonts w:ascii="Verdana" w:hAnsi="Verdana"/>
          <w:sz w:val="24"/>
          <w:szCs w:val="24"/>
        </w:rPr>
        <w:t>.</w:t>
      </w:r>
    </w:p>
    <w:p w14:paraId="178F917B" w14:textId="458DA35E" w:rsidR="33937D30" w:rsidRPr="00A23308" w:rsidRDefault="33937D30" w:rsidP="00C2615D">
      <w:pPr>
        <w:pStyle w:val="ListParagraph"/>
        <w:numPr>
          <w:ilvl w:val="1"/>
          <w:numId w:val="37"/>
        </w:numPr>
        <w:spacing w:line="240" w:lineRule="auto"/>
        <w:jc w:val="both"/>
        <w:rPr>
          <w:rFonts w:ascii="Verdana" w:hAnsi="Verdana"/>
          <w:b/>
          <w:bCs/>
          <w:sz w:val="24"/>
          <w:szCs w:val="24"/>
        </w:rPr>
      </w:pPr>
      <w:r w:rsidRPr="00A23308">
        <w:rPr>
          <w:rFonts w:ascii="Verdana" w:hAnsi="Verdana"/>
          <w:b/>
          <w:bCs/>
          <w:sz w:val="24"/>
          <w:szCs w:val="24"/>
        </w:rPr>
        <w:t>Staff Story – Partnership Working with Trusted Community Voices</w:t>
      </w:r>
    </w:p>
    <w:p w14:paraId="627A3967" w14:textId="6FDEE8AE" w:rsidR="49220B0B" w:rsidRPr="009A730B" w:rsidRDefault="33937D30" w:rsidP="00B943C6">
      <w:pPr>
        <w:spacing w:line="240" w:lineRule="auto"/>
        <w:jc w:val="both"/>
        <w:rPr>
          <w:rFonts w:ascii="Verdana" w:hAnsi="Verdana"/>
          <w:sz w:val="24"/>
          <w:szCs w:val="24"/>
        </w:rPr>
      </w:pPr>
      <w:r w:rsidRPr="009A730B">
        <w:rPr>
          <w:rFonts w:ascii="Verdana" w:hAnsi="Verdana"/>
          <w:sz w:val="24"/>
          <w:szCs w:val="24"/>
        </w:rPr>
        <w:t>The Committee received a Staff Story in June 2025, which highlighted partnership working with trusted community voices to support engagement with underserved communities. The story demonstrated the value of sustained, relationship‑based approaches in building trust, improving access to services and addressing health inequalities.</w:t>
      </w:r>
    </w:p>
    <w:p w14:paraId="6133141F" w14:textId="34EA646A" w:rsidR="33937D30" w:rsidRPr="00A23308" w:rsidRDefault="33937D30" w:rsidP="00C2615D">
      <w:pPr>
        <w:pStyle w:val="ListParagraph"/>
        <w:numPr>
          <w:ilvl w:val="1"/>
          <w:numId w:val="37"/>
        </w:numPr>
        <w:spacing w:line="240" w:lineRule="auto"/>
        <w:jc w:val="both"/>
        <w:rPr>
          <w:rFonts w:ascii="Verdana" w:hAnsi="Verdana"/>
          <w:b/>
          <w:bCs/>
          <w:sz w:val="24"/>
          <w:szCs w:val="24"/>
        </w:rPr>
      </w:pPr>
      <w:r w:rsidRPr="00A23308">
        <w:rPr>
          <w:rFonts w:ascii="Verdana" w:hAnsi="Verdana"/>
          <w:b/>
          <w:bCs/>
          <w:sz w:val="24"/>
          <w:szCs w:val="24"/>
        </w:rPr>
        <w:t>Pharmacy Paper in Preparation for 25 September 2025 Board</w:t>
      </w:r>
    </w:p>
    <w:p w14:paraId="43E7092A" w14:textId="4113C4B9" w:rsidR="49220B0B" w:rsidRPr="009A730B" w:rsidRDefault="33937D30" w:rsidP="00B943C6">
      <w:pPr>
        <w:spacing w:line="240" w:lineRule="auto"/>
        <w:jc w:val="both"/>
        <w:rPr>
          <w:rFonts w:ascii="Verdana" w:hAnsi="Verdana"/>
          <w:sz w:val="24"/>
          <w:szCs w:val="24"/>
        </w:rPr>
      </w:pPr>
      <w:r w:rsidRPr="009A730B">
        <w:rPr>
          <w:rFonts w:ascii="Verdana" w:hAnsi="Verdana"/>
          <w:sz w:val="24"/>
          <w:szCs w:val="24"/>
        </w:rPr>
        <w:t>In September 2025, the Committee received a Pharmacy paper in preparation for submission to the Board on 25 September 2025, which outlined the current position and strategic direction of community pharmacy services.</w:t>
      </w:r>
    </w:p>
    <w:p w14:paraId="0E33EAD4" w14:textId="25408CBB" w:rsidR="12862443" w:rsidRPr="00A23308" w:rsidRDefault="12862443" w:rsidP="00C2615D">
      <w:pPr>
        <w:pStyle w:val="ListParagraph"/>
        <w:numPr>
          <w:ilvl w:val="1"/>
          <w:numId w:val="37"/>
        </w:numPr>
        <w:spacing w:line="240" w:lineRule="auto"/>
        <w:jc w:val="both"/>
        <w:rPr>
          <w:rFonts w:ascii="Verdana" w:hAnsi="Verdana"/>
          <w:b/>
          <w:bCs/>
          <w:sz w:val="24"/>
          <w:szCs w:val="24"/>
        </w:rPr>
      </w:pPr>
      <w:r w:rsidRPr="00A23308">
        <w:rPr>
          <w:rFonts w:ascii="Verdana" w:hAnsi="Verdana"/>
          <w:b/>
          <w:bCs/>
          <w:sz w:val="24"/>
          <w:szCs w:val="24"/>
        </w:rPr>
        <w:t>Hepatitis B and C Elimination Plan</w:t>
      </w:r>
    </w:p>
    <w:p w14:paraId="6719F94C" w14:textId="262B8065" w:rsidR="49220B0B" w:rsidRPr="009A730B" w:rsidRDefault="12862443" w:rsidP="00B943C6">
      <w:pPr>
        <w:spacing w:line="240" w:lineRule="auto"/>
        <w:jc w:val="both"/>
        <w:rPr>
          <w:rFonts w:ascii="Verdana" w:hAnsi="Verdana"/>
          <w:sz w:val="24"/>
          <w:szCs w:val="24"/>
        </w:rPr>
      </w:pPr>
      <w:r w:rsidRPr="009A730B">
        <w:rPr>
          <w:rFonts w:ascii="Verdana" w:hAnsi="Verdana"/>
          <w:sz w:val="24"/>
          <w:szCs w:val="24"/>
        </w:rPr>
        <w:t xml:space="preserve">In December 2025, the Committee received the Hepatitis B and C Elimination Plan, which set out a revised three‑year approach aligned with national and international elimination priorities and confirmed appropriate governance and delivery arrangements. </w:t>
      </w:r>
    </w:p>
    <w:p w14:paraId="2F31628E" w14:textId="6E7A8ECD" w:rsidR="62158E13" w:rsidRPr="00A23308" w:rsidRDefault="62158E13" w:rsidP="00C2615D">
      <w:pPr>
        <w:pStyle w:val="ListParagraph"/>
        <w:numPr>
          <w:ilvl w:val="1"/>
          <w:numId w:val="37"/>
        </w:numPr>
        <w:spacing w:line="240" w:lineRule="auto"/>
        <w:jc w:val="both"/>
        <w:rPr>
          <w:rFonts w:ascii="Verdana" w:eastAsia="Verdana" w:hAnsi="Verdana" w:cs="Verdana"/>
          <w:b/>
          <w:bCs/>
          <w:sz w:val="24"/>
          <w:szCs w:val="24"/>
        </w:rPr>
      </w:pPr>
      <w:r w:rsidRPr="00A23308">
        <w:rPr>
          <w:rFonts w:ascii="Verdana" w:eastAsia="Verdana" w:hAnsi="Verdana" w:cs="Verdana"/>
          <w:b/>
          <w:bCs/>
          <w:sz w:val="24"/>
          <w:szCs w:val="24"/>
        </w:rPr>
        <w:t xml:space="preserve">Clinical Services Plan </w:t>
      </w:r>
    </w:p>
    <w:p w14:paraId="55C9CA74" w14:textId="57A84C1D" w:rsidR="49220B0B" w:rsidRPr="009A730B" w:rsidRDefault="1FD5F1D8" w:rsidP="00B943C6">
      <w:pPr>
        <w:spacing w:line="240" w:lineRule="auto"/>
        <w:jc w:val="both"/>
        <w:rPr>
          <w:rFonts w:ascii="Verdana" w:hAnsi="Verdana"/>
          <w:sz w:val="24"/>
          <w:szCs w:val="24"/>
        </w:rPr>
      </w:pPr>
      <w:r w:rsidRPr="009A730B">
        <w:rPr>
          <w:rFonts w:ascii="Verdana" w:hAnsi="Verdana"/>
          <w:sz w:val="24"/>
          <w:szCs w:val="24"/>
        </w:rPr>
        <w:t xml:space="preserve">The Committee received a report on the Clinical Services Plan </w:t>
      </w:r>
      <w:r w:rsidR="4C3138BA" w:rsidRPr="009A730B">
        <w:rPr>
          <w:rFonts w:ascii="Verdana" w:hAnsi="Verdana"/>
          <w:sz w:val="24"/>
          <w:szCs w:val="24"/>
        </w:rPr>
        <w:t xml:space="preserve">in December 2025 </w:t>
      </w:r>
      <w:r w:rsidRPr="009A730B">
        <w:rPr>
          <w:rFonts w:ascii="Verdana" w:hAnsi="Verdana"/>
          <w:sz w:val="24"/>
          <w:szCs w:val="24"/>
        </w:rPr>
        <w:t>and agreed to assure the Board that it was progressing as a strategic framework with population health, prevention and addressing inequalities at its core</w:t>
      </w:r>
      <w:r w:rsidR="22CF83BE" w:rsidRPr="009A730B">
        <w:rPr>
          <w:rFonts w:ascii="Verdana" w:hAnsi="Verdana"/>
          <w:sz w:val="24"/>
          <w:szCs w:val="24"/>
        </w:rPr>
        <w:t>.</w:t>
      </w:r>
    </w:p>
    <w:p w14:paraId="08B24174" w14:textId="034A44CB" w:rsidR="550CB732" w:rsidRPr="00A23308" w:rsidRDefault="550CB732" w:rsidP="00C2615D">
      <w:pPr>
        <w:pStyle w:val="ListParagraph"/>
        <w:numPr>
          <w:ilvl w:val="1"/>
          <w:numId w:val="37"/>
        </w:numPr>
        <w:spacing w:line="240" w:lineRule="auto"/>
        <w:jc w:val="both"/>
        <w:rPr>
          <w:rFonts w:ascii="Verdana" w:hAnsi="Verdana"/>
          <w:b/>
          <w:bCs/>
          <w:sz w:val="24"/>
          <w:szCs w:val="24"/>
        </w:rPr>
      </w:pPr>
      <w:r w:rsidRPr="00A23308">
        <w:rPr>
          <w:rFonts w:ascii="Verdana" w:hAnsi="Verdana"/>
          <w:b/>
          <w:bCs/>
          <w:sz w:val="24"/>
          <w:szCs w:val="24"/>
        </w:rPr>
        <w:t>Staff Story – Developing the Maternity Dashboard</w:t>
      </w:r>
    </w:p>
    <w:p w14:paraId="0919F07A" w14:textId="4AA4E280" w:rsidR="49220B0B" w:rsidRPr="009A730B" w:rsidRDefault="550CB732" w:rsidP="00B943C6">
      <w:pPr>
        <w:spacing w:line="240" w:lineRule="auto"/>
        <w:jc w:val="both"/>
        <w:rPr>
          <w:rFonts w:ascii="Verdana" w:hAnsi="Verdana"/>
          <w:sz w:val="24"/>
          <w:szCs w:val="24"/>
        </w:rPr>
      </w:pPr>
      <w:r w:rsidRPr="009A730B">
        <w:rPr>
          <w:rFonts w:ascii="Verdana" w:hAnsi="Verdana"/>
          <w:sz w:val="24"/>
          <w:szCs w:val="24"/>
        </w:rPr>
        <w:t>In September 2025, the Committee received a Staff Story on the development of the Maternity Dashboard, highlighting its role in strengthening governance and oversight through improved access to maternity and neonatal data.</w:t>
      </w:r>
    </w:p>
    <w:p w14:paraId="2D43B19B" w14:textId="15875889" w:rsidR="0DFF8CE3" w:rsidRPr="00A23308" w:rsidRDefault="0DFF8CE3" w:rsidP="00C2615D">
      <w:pPr>
        <w:pStyle w:val="ListParagraph"/>
        <w:numPr>
          <w:ilvl w:val="1"/>
          <w:numId w:val="37"/>
        </w:numPr>
        <w:spacing w:line="240" w:lineRule="auto"/>
        <w:jc w:val="both"/>
        <w:rPr>
          <w:rFonts w:ascii="Verdana" w:hAnsi="Verdana"/>
          <w:b/>
          <w:bCs/>
          <w:sz w:val="24"/>
          <w:szCs w:val="24"/>
        </w:rPr>
      </w:pPr>
      <w:r w:rsidRPr="00A23308">
        <w:rPr>
          <w:rFonts w:ascii="Verdana" w:hAnsi="Verdana"/>
          <w:b/>
          <w:bCs/>
          <w:sz w:val="24"/>
          <w:szCs w:val="24"/>
        </w:rPr>
        <w:t>Public Health approach to Primary Care</w:t>
      </w:r>
    </w:p>
    <w:p w14:paraId="69199A02" w14:textId="101E6DD6" w:rsidR="49220B0B" w:rsidRPr="009A730B" w:rsidRDefault="0DFF8CE3" w:rsidP="00B943C6">
      <w:pPr>
        <w:spacing w:line="240" w:lineRule="auto"/>
        <w:jc w:val="both"/>
        <w:rPr>
          <w:rFonts w:ascii="Verdana" w:hAnsi="Verdana"/>
          <w:sz w:val="24"/>
          <w:szCs w:val="24"/>
        </w:rPr>
      </w:pPr>
      <w:r w:rsidRPr="009A730B">
        <w:rPr>
          <w:rFonts w:ascii="Verdana" w:hAnsi="Verdana"/>
          <w:sz w:val="24"/>
          <w:szCs w:val="24"/>
        </w:rPr>
        <w:t>In June 2025, the Committee received a report on the Public Health approach to Primary Care, highlighting opportunities to strengthen preventative, population‑health‑led working across Primary and Community Care in line with national direction.</w:t>
      </w:r>
    </w:p>
    <w:p w14:paraId="7D8E56B0" w14:textId="27E1405F" w:rsidR="1A855CB3" w:rsidRPr="00A23308" w:rsidRDefault="1A855CB3" w:rsidP="00C2615D">
      <w:pPr>
        <w:pStyle w:val="ListParagraph"/>
        <w:numPr>
          <w:ilvl w:val="1"/>
          <w:numId w:val="37"/>
        </w:numPr>
        <w:spacing w:line="240" w:lineRule="auto"/>
        <w:jc w:val="both"/>
        <w:rPr>
          <w:rFonts w:ascii="Verdana" w:hAnsi="Verdana"/>
          <w:b/>
          <w:bCs/>
          <w:sz w:val="24"/>
          <w:szCs w:val="24"/>
        </w:rPr>
      </w:pPr>
      <w:r w:rsidRPr="00A23308">
        <w:rPr>
          <w:rFonts w:ascii="Verdana" w:hAnsi="Verdana"/>
          <w:b/>
          <w:bCs/>
          <w:sz w:val="24"/>
          <w:szCs w:val="24"/>
        </w:rPr>
        <w:t>Service Delivery Group – Population Health Indicators</w:t>
      </w:r>
    </w:p>
    <w:p w14:paraId="450E931C" w14:textId="1644A001" w:rsidR="49220B0B" w:rsidRPr="009A730B" w:rsidRDefault="043F9E07" w:rsidP="00B943C6">
      <w:pPr>
        <w:spacing w:line="240" w:lineRule="auto"/>
        <w:jc w:val="both"/>
        <w:rPr>
          <w:rFonts w:ascii="Verdana" w:hAnsi="Verdana"/>
          <w:sz w:val="24"/>
          <w:szCs w:val="24"/>
        </w:rPr>
      </w:pPr>
      <w:r w:rsidRPr="009A730B">
        <w:rPr>
          <w:rFonts w:ascii="Verdana" w:hAnsi="Verdana"/>
          <w:sz w:val="24"/>
          <w:szCs w:val="24"/>
        </w:rPr>
        <w:t>In September and December 2025, the Committee received updates on the Service Delivery Group – Population Health Indicators, highlighting their role in strengthening governance, assurance and Board oversight of population health priorities.</w:t>
      </w:r>
    </w:p>
    <w:p w14:paraId="5129FDFF" w14:textId="594B3E0E" w:rsidR="264F7EA0" w:rsidRPr="00A23308" w:rsidRDefault="264F7EA0" w:rsidP="00C2615D">
      <w:pPr>
        <w:pStyle w:val="ListParagraph"/>
        <w:numPr>
          <w:ilvl w:val="1"/>
          <w:numId w:val="37"/>
        </w:numPr>
        <w:spacing w:line="240" w:lineRule="auto"/>
        <w:jc w:val="both"/>
        <w:rPr>
          <w:rFonts w:ascii="Verdana" w:hAnsi="Verdana"/>
          <w:b/>
          <w:bCs/>
          <w:sz w:val="24"/>
          <w:szCs w:val="24"/>
        </w:rPr>
      </w:pPr>
      <w:r w:rsidRPr="00A23308">
        <w:rPr>
          <w:rFonts w:ascii="Verdana" w:hAnsi="Verdana"/>
          <w:b/>
          <w:bCs/>
          <w:sz w:val="24"/>
          <w:szCs w:val="24"/>
        </w:rPr>
        <w:lastRenderedPageBreak/>
        <w:t>Public Health Function: Resourcing, Funding Stability, and Long</w:t>
      </w:r>
      <w:r w:rsidRPr="00A23308">
        <w:rPr>
          <w:rFonts w:ascii="Cambria Math" w:hAnsi="Cambria Math" w:cs="Cambria Math"/>
          <w:b/>
          <w:bCs/>
          <w:sz w:val="24"/>
          <w:szCs w:val="24"/>
        </w:rPr>
        <w:t>‑</w:t>
      </w:r>
      <w:r w:rsidRPr="00A23308">
        <w:rPr>
          <w:rFonts w:ascii="Verdana" w:hAnsi="Verdana"/>
          <w:b/>
          <w:bCs/>
          <w:sz w:val="24"/>
          <w:szCs w:val="24"/>
        </w:rPr>
        <w:t>Term Viability</w:t>
      </w:r>
    </w:p>
    <w:p w14:paraId="6F99F521" w14:textId="554BB2F2" w:rsidR="0057260C" w:rsidRPr="009A730B" w:rsidRDefault="264F7EA0" w:rsidP="00B943C6">
      <w:pPr>
        <w:spacing w:line="240" w:lineRule="auto"/>
        <w:jc w:val="both"/>
        <w:rPr>
          <w:rFonts w:ascii="Verdana" w:hAnsi="Verdana"/>
          <w:sz w:val="24"/>
          <w:szCs w:val="24"/>
        </w:rPr>
      </w:pPr>
      <w:r w:rsidRPr="009A730B">
        <w:rPr>
          <w:rFonts w:ascii="Verdana" w:hAnsi="Verdana"/>
          <w:sz w:val="24"/>
          <w:szCs w:val="24"/>
        </w:rPr>
        <w:t>In March 2026, the Committee received a report on the resourcing, funding stability and long‑term viability of the Public Health function, highlighting the risks associated with funding volatility and the need for a more sustainable, long‑term resource framework to support delivery of statutory and population health responsibilities.</w:t>
      </w:r>
    </w:p>
    <w:p w14:paraId="43A92377" w14:textId="5CE994DE" w:rsidR="5F0C5284" w:rsidRPr="00A23308" w:rsidRDefault="5F0C5284" w:rsidP="00C2615D">
      <w:pPr>
        <w:pStyle w:val="ListParagraph"/>
        <w:numPr>
          <w:ilvl w:val="1"/>
          <w:numId w:val="37"/>
        </w:numPr>
        <w:spacing w:line="240" w:lineRule="auto"/>
        <w:jc w:val="both"/>
        <w:rPr>
          <w:rFonts w:ascii="Verdana" w:hAnsi="Verdana"/>
          <w:b/>
          <w:bCs/>
          <w:sz w:val="24"/>
          <w:szCs w:val="24"/>
        </w:rPr>
      </w:pPr>
      <w:r w:rsidRPr="00A23308">
        <w:rPr>
          <w:rFonts w:ascii="Verdana" w:hAnsi="Verdana"/>
          <w:b/>
          <w:bCs/>
          <w:sz w:val="24"/>
          <w:szCs w:val="24"/>
        </w:rPr>
        <w:t>Annual Health Protection Partnership Plan</w:t>
      </w:r>
    </w:p>
    <w:p w14:paraId="38924A0C" w14:textId="7494DB8F" w:rsidR="00AE6330" w:rsidRDefault="25A98B6F" w:rsidP="0057260C">
      <w:pPr>
        <w:spacing w:after="0" w:line="240" w:lineRule="auto"/>
        <w:jc w:val="both"/>
        <w:rPr>
          <w:rFonts w:ascii="Verdana" w:hAnsi="Verdana"/>
          <w:sz w:val="24"/>
          <w:szCs w:val="24"/>
        </w:rPr>
      </w:pPr>
      <w:r w:rsidRPr="009A730B">
        <w:rPr>
          <w:rFonts w:ascii="Verdana" w:hAnsi="Verdana"/>
          <w:sz w:val="24"/>
          <w:szCs w:val="24"/>
        </w:rPr>
        <w:t>In December 2025, the Committee received the Annual Health Protection Partnership Plan, which provided assurance on multi‑agency health protection arrangements and confirmed that appropriate plans were in place to meet national and local health protection requirements.</w:t>
      </w:r>
    </w:p>
    <w:p w14:paraId="78D36E04" w14:textId="77777777" w:rsidR="0057260C" w:rsidRPr="009A730B" w:rsidRDefault="0057260C" w:rsidP="0057260C">
      <w:pPr>
        <w:spacing w:after="0" w:line="240" w:lineRule="auto"/>
        <w:jc w:val="both"/>
        <w:rPr>
          <w:rFonts w:ascii="Verdana" w:hAnsi="Verdana"/>
          <w:sz w:val="24"/>
          <w:szCs w:val="24"/>
        </w:rPr>
      </w:pPr>
    </w:p>
    <w:p w14:paraId="6628FE1D" w14:textId="3680C899" w:rsidR="53A015D0" w:rsidRPr="00A23308" w:rsidRDefault="53A015D0" w:rsidP="00C2615D">
      <w:pPr>
        <w:pStyle w:val="ListParagraph"/>
        <w:numPr>
          <w:ilvl w:val="1"/>
          <w:numId w:val="37"/>
        </w:numPr>
        <w:spacing w:line="240" w:lineRule="auto"/>
        <w:jc w:val="both"/>
        <w:rPr>
          <w:rFonts w:ascii="Verdana" w:hAnsi="Verdana"/>
          <w:b/>
          <w:bCs/>
          <w:sz w:val="24"/>
          <w:szCs w:val="24"/>
        </w:rPr>
      </w:pPr>
      <w:r w:rsidRPr="00A23308">
        <w:rPr>
          <w:rFonts w:ascii="Verdana" w:hAnsi="Verdana"/>
          <w:b/>
          <w:bCs/>
          <w:sz w:val="24"/>
          <w:szCs w:val="24"/>
        </w:rPr>
        <w:t>Committee Terms of Reference</w:t>
      </w:r>
    </w:p>
    <w:p w14:paraId="6C01C329" w14:textId="3023439F" w:rsidR="53A015D0" w:rsidRPr="009A730B" w:rsidRDefault="53A015D0" w:rsidP="00B943C6">
      <w:pPr>
        <w:spacing w:line="240" w:lineRule="auto"/>
        <w:jc w:val="both"/>
        <w:rPr>
          <w:rFonts w:ascii="Verdana" w:hAnsi="Verdana"/>
          <w:sz w:val="24"/>
          <w:szCs w:val="24"/>
        </w:rPr>
      </w:pPr>
      <w:r w:rsidRPr="009A730B">
        <w:rPr>
          <w:rFonts w:ascii="Verdana" w:hAnsi="Verdana"/>
          <w:sz w:val="24"/>
          <w:szCs w:val="24"/>
        </w:rPr>
        <w:t>The Committee reviewed and approved its Terms of Reference in December 2025, in line with the Health Board’s governance framework and the requirement for annual review. The Committee noted a minor amendment to membership arrangements and agreed that the Terms of Reference continued to appropriately reflect the Committee’s role, responsibilities and operating arrangements in providing assurance to the Board on population health matters</w:t>
      </w:r>
    </w:p>
    <w:p w14:paraId="071A26CF" w14:textId="4F1BF074" w:rsidR="00E212C7" w:rsidRPr="00A23308" w:rsidRDefault="53A015D0" w:rsidP="00C2615D">
      <w:pPr>
        <w:pStyle w:val="ListParagraph"/>
        <w:numPr>
          <w:ilvl w:val="1"/>
          <w:numId w:val="37"/>
        </w:numPr>
        <w:autoSpaceDE w:val="0"/>
        <w:autoSpaceDN w:val="0"/>
        <w:adjustRightInd w:val="0"/>
        <w:spacing w:after="0" w:line="240" w:lineRule="auto"/>
        <w:jc w:val="both"/>
        <w:rPr>
          <w:rFonts w:ascii="Verdana" w:hAnsi="Verdana" w:cs="Arial"/>
          <w:color w:val="000000" w:themeColor="text1"/>
          <w:sz w:val="24"/>
          <w:szCs w:val="24"/>
        </w:rPr>
      </w:pPr>
      <w:r w:rsidRPr="00A23308">
        <w:rPr>
          <w:rFonts w:ascii="Verdana" w:hAnsi="Verdana" w:cs="Arial"/>
          <w:b/>
          <w:bCs/>
          <w:color w:val="000000" w:themeColor="text1"/>
          <w:sz w:val="24"/>
          <w:szCs w:val="24"/>
        </w:rPr>
        <w:t>Committee Self-Assessment</w:t>
      </w:r>
      <w:r w:rsidRPr="00A23308">
        <w:rPr>
          <w:rFonts w:ascii="Verdana" w:hAnsi="Verdana" w:cs="Arial"/>
          <w:color w:val="000000" w:themeColor="text1"/>
          <w:sz w:val="24"/>
          <w:szCs w:val="24"/>
        </w:rPr>
        <w:t xml:space="preserve"> </w:t>
      </w:r>
    </w:p>
    <w:p w14:paraId="6C8AB685" w14:textId="29960C46" w:rsidR="49220B0B" w:rsidRPr="009A730B" w:rsidRDefault="49220B0B" w:rsidP="00B943C6">
      <w:pPr>
        <w:pStyle w:val="ListParagraph"/>
        <w:spacing w:after="0" w:line="240" w:lineRule="auto"/>
        <w:jc w:val="both"/>
        <w:rPr>
          <w:rFonts w:ascii="Verdana" w:hAnsi="Verdana" w:cs="Arial"/>
          <w:color w:val="000000" w:themeColor="text1"/>
          <w:sz w:val="24"/>
          <w:szCs w:val="24"/>
        </w:rPr>
      </w:pPr>
    </w:p>
    <w:p w14:paraId="2785347C" w14:textId="402ED35C" w:rsidR="53A015D0" w:rsidRPr="009A730B" w:rsidRDefault="53A015D0" w:rsidP="00B943C6">
      <w:pPr>
        <w:spacing w:after="0" w:line="240" w:lineRule="auto"/>
        <w:jc w:val="both"/>
        <w:rPr>
          <w:rFonts w:ascii="Verdana" w:hAnsi="Verdana" w:cs="Arial"/>
          <w:color w:val="000000" w:themeColor="text1"/>
          <w:sz w:val="24"/>
          <w:szCs w:val="24"/>
        </w:rPr>
      </w:pPr>
      <w:r w:rsidRPr="009A730B">
        <w:rPr>
          <w:rFonts w:ascii="Verdana" w:hAnsi="Verdana" w:cs="Arial"/>
          <w:color w:val="000000" w:themeColor="text1"/>
          <w:sz w:val="24"/>
          <w:szCs w:val="24"/>
        </w:rPr>
        <w:t>The Committee undertook its annual Committee Self‑Assessment in March 2026 to evaluate its effectiveness, role clarity and ways of working. The self‑assessment considered areas including committee focus, engagement, skills mix and assurance processes. The Committee noted the findings and agreed that the outcomes would inform ongoing development of Committee effectiveness and governance arrangements.</w:t>
      </w:r>
    </w:p>
    <w:p w14:paraId="218DF111" w14:textId="77777777" w:rsidR="00431538" w:rsidRPr="009A730B" w:rsidRDefault="00431538" w:rsidP="00431538">
      <w:pPr>
        <w:autoSpaceDE w:val="0"/>
        <w:autoSpaceDN w:val="0"/>
        <w:adjustRightInd w:val="0"/>
        <w:spacing w:after="0" w:line="240" w:lineRule="auto"/>
        <w:jc w:val="both"/>
        <w:rPr>
          <w:rFonts w:ascii="Verdana" w:hAnsi="Verdana" w:cs="Arial"/>
          <w:color w:val="FF0000"/>
          <w:sz w:val="24"/>
          <w:szCs w:val="24"/>
        </w:rPr>
      </w:pPr>
    </w:p>
    <w:p w14:paraId="1B06D8A0" w14:textId="167BB464" w:rsidR="00905731" w:rsidRPr="009A730B" w:rsidRDefault="4F25927A" w:rsidP="002A7D3A">
      <w:pPr>
        <w:autoSpaceDE w:val="0"/>
        <w:autoSpaceDN w:val="0"/>
        <w:adjustRightInd w:val="0"/>
        <w:spacing w:after="0" w:line="240" w:lineRule="auto"/>
        <w:jc w:val="center"/>
        <w:rPr>
          <w:rFonts w:ascii="Verdana" w:hAnsi="Verdana" w:cs="Arial"/>
          <w:b/>
          <w:bCs/>
          <w:sz w:val="24"/>
          <w:szCs w:val="24"/>
          <w:u w:val="single"/>
        </w:rPr>
      </w:pPr>
      <w:r w:rsidRPr="009A730B">
        <w:rPr>
          <w:rFonts w:ascii="Verdana" w:hAnsi="Verdana" w:cs="Arial"/>
          <w:b/>
          <w:bCs/>
          <w:sz w:val="24"/>
          <w:szCs w:val="24"/>
          <w:u w:val="single"/>
        </w:rPr>
        <w:t>Section 7</w:t>
      </w:r>
    </w:p>
    <w:p w14:paraId="13BEA54E" w14:textId="683ED88C" w:rsidR="005B2234" w:rsidRPr="009A730B" w:rsidRDefault="4E5F729D" w:rsidP="49220B0B">
      <w:pPr>
        <w:spacing w:after="0" w:line="240" w:lineRule="auto"/>
        <w:jc w:val="center"/>
        <w:rPr>
          <w:rFonts w:ascii="Verdana" w:hAnsi="Verdana" w:cs="Arial"/>
          <w:b/>
          <w:bCs/>
          <w:sz w:val="24"/>
          <w:szCs w:val="24"/>
          <w:u w:val="single"/>
        </w:rPr>
      </w:pPr>
      <w:r w:rsidRPr="009A730B">
        <w:rPr>
          <w:rFonts w:ascii="Verdana" w:hAnsi="Verdana" w:cs="Arial"/>
          <w:b/>
          <w:bCs/>
          <w:sz w:val="24"/>
          <w:szCs w:val="24"/>
          <w:u w:val="single"/>
        </w:rPr>
        <w:t>Mental Health Legislation Committee</w:t>
      </w:r>
    </w:p>
    <w:p w14:paraId="03A34384" w14:textId="053BC5D1" w:rsidR="6F2B4365" w:rsidRPr="009A730B" w:rsidRDefault="6F2B4365" w:rsidP="49220B0B">
      <w:pPr>
        <w:spacing w:after="0" w:line="240" w:lineRule="auto"/>
        <w:jc w:val="both"/>
        <w:rPr>
          <w:rFonts w:ascii="Verdana" w:eastAsia="Verdana" w:hAnsi="Verdana" w:cs="Verdana"/>
          <w:sz w:val="24"/>
          <w:szCs w:val="24"/>
        </w:rPr>
      </w:pPr>
    </w:p>
    <w:p w14:paraId="10D43CE0" w14:textId="121C43A8" w:rsidR="74713606" w:rsidRPr="009A730B" w:rsidRDefault="74713606" w:rsidP="00CC2EDF">
      <w:pPr>
        <w:spacing w:after="0" w:line="240" w:lineRule="auto"/>
        <w:jc w:val="both"/>
        <w:rPr>
          <w:rFonts w:ascii="Verdana" w:eastAsia="Verdana" w:hAnsi="Verdana" w:cs="Verdana"/>
          <w:sz w:val="24"/>
          <w:szCs w:val="24"/>
        </w:rPr>
      </w:pPr>
      <w:r w:rsidRPr="009A730B">
        <w:rPr>
          <w:rFonts w:ascii="Verdana" w:eastAsia="Verdana" w:hAnsi="Verdana" w:cs="Verdana"/>
          <w:sz w:val="24"/>
          <w:szCs w:val="24"/>
        </w:rPr>
        <w:t>The primary role of the Mental Health Legislation Committee is to oversee and monitor the application of, and compliance with, relevant Mental Health Legislation. This includes the Mental Health Act 1983, the Mental Capacity Act 2005 (including the Deprivation of Liberty Safeguards), and the Mental Health (Wales) Measure 2010.</w:t>
      </w:r>
    </w:p>
    <w:p w14:paraId="34E7AF73" w14:textId="77777777" w:rsidR="00891686" w:rsidRPr="009A730B" w:rsidRDefault="00891686" w:rsidP="00CC2EDF">
      <w:pPr>
        <w:spacing w:after="0" w:line="240" w:lineRule="auto"/>
        <w:jc w:val="both"/>
        <w:rPr>
          <w:rFonts w:ascii="Verdana" w:hAnsi="Verdana" w:cs="Arial"/>
          <w:color w:val="00B050"/>
          <w:sz w:val="24"/>
          <w:szCs w:val="24"/>
        </w:rPr>
      </w:pPr>
    </w:p>
    <w:p w14:paraId="582EC525" w14:textId="77777777" w:rsidR="00C2615D" w:rsidRDefault="00C2615D" w:rsidP="00CC2EDF">
      <w:pPr>
        <w:pStyle w:val="StyleOutlinenumberedArialOutlinenumberedArial11Outli"/>
        <w:numPr>
          <w:ilvl w:val="0"/>
          <w:numId w:val="0"/>
        </w:numPr>
        <w:jc w:val="both"/>
        <w:rPr>
          <w:rFonts w:ascii="Verdana" w:hAnsi="Verdana"/>
          <w:b w:val="0"/>
          <w:bCs w:val="0"/>
        </w:rPr>
      </w:pPr>
    </w:p>
    <w:p w14:paraId="6F1B49B7" w14:textId="77777777" w:rsidR="00C2615D" w:rsidRDefault="00C2615D" w:rsidP="00CC2EDF">
      <w:pPr>
        <w:pStyle w:val="StyleOutlinenumberedArialOutlinenumberedArial11Outli"/>
        <w:numPr>
          <w:ilvl w:val="0"/>
          <w:numId w:val="0"/>
        </w:numPr>
        <w:jc w:val="both"/>
        <w:rPr>
          <w:rFonts w:ascii="Verdana" w:hAnsi="Verdana"/>
          <w:b w:val="0"/>
          <w:bCs w:val="0"/>
        </w:rPr>
      </w:pPr>
    </w:p>
    <w:p w14:paraId="5157D682" w14:textId="77777777" w:rsidR="00C2615D" w:rsidRDefault="00C2615D" w:rsidP="00CC2EDF">
      <w:pPr>
        <w:pStyle w:val="StyleOutlinenumberedArialOutlinenumberedArial11Outli"/>
        <w:numPr>
          <w:ilvl w:val="0"/>
          <w:numId w:val="0"/>
        </w:numPr>
        <w:jc w:val="both"/>
        <w:rPr>
          <w:rFonts w:ascii="Verdana" w:hAnsi="Verdana"/>
          <w:b w:val="0"/>
          <w:bCs w:val="0"/>
        </w:rPr>
      </w:pPr>
    </w:p>
    <w:p w14:paraId="273578C0" w14:textId="77777777" w:rsidR="00C2615D" w:rsidRDefault="00C2615D" w:rsidP="00CC2EDF">
      <w:pPr>
        <w:pStyle w:val="StyleOutlinenumberedArialOutlinenumberedArial11Outli"/>
        <w:numPr>
          <w:ilvl w:val="0"/>
          <w:numId w:val="0"/>
        </w:numPr>
        <w:jc w:val="both"/>
        <w:rPr>
          <w:rFonts w:ascii="Verdana" w:hAnsi="Verdana"/>
          <w:b w:val="0"/>
          <w:bCs w:val="0"/>
        </w:rPr>
      </w:pPr>
    </w:p>
    <w:p w14:paraId="6DBDB813" w14:textId="77777777" w:rsidR="00C2615D" w:rsidRDefault="00C2615D" w:rsidP="00CC2EDF">
      <w:pPr>
        <w:pStyle w:val="StyleOutlinenumberedArialOutlinenumberedArial11Outli"/>
        <w:numPr>
          <w:ilvl w:val="0"/>
          <w:numId w:val="0"/>
        </w:numPr>
        <w:jc w:val="both"/>
        <w:rPr>
          <w:rFonts w:ascii="Verdana" w:hAnsi="Verdana"/>
          <w:b w:val="0"/>
          <w:bCs w:val="0"/>
        </w:rPr>
      </w:pPr>
    </w:p>
    <w:p w14:paraId="3742A7DE" w14:textId="49661EF0" w:rsidR="00B308E7" w:rsidRPr="009A730B" w:rsidRDefault="4E5F729D" w:rsidP="00CC2EDF">
      <w:pPr>
        <w:pStyle w:val="StyleOutlinenumberedArialOutlinenumberedArial11Outli"/>
        <w:numPr>
          <w:ilvl w:val="0"/>
          <w:numId w:val="0"/>
        </w:numPr>
        <w:jc w:val="both"/>
        <w:rPr>
          <w:rFonts w:ascii="Verdana" w:hAnsi="Verdana"/>
        </w:rPr>
      </w:pPr>
      <w:r w:rsidRPr="009A730B">
        <w:rPr>
          <w:rFonts w:ascii="Verdana" w:hAnsi="Verdana"/>
          <w:b w:val="0"/>
          <w:bCs w:val="0"/>
        </w:rPr>
        <w:lastRenderedPageBreak/>
        <w:t xml:space="preserve">During </w:t>
      </w:r>
      <w:r w:rsidR="3BE5CD9E" w:rsidRPr="009A730B">
        <w:rPr>
          <w:rFonts w:ascii="Verdana" w:hAnsi="Verdana"/>
          <w:b w:val="0"/>
          <w:bCs w:val="0"/>
        </w:rPr>
        <w:t>202</w:t>
      </w:r>
      <w:r w:rsidR="7545ACA7" w:rsidRPr="009A730B">
        <w:rPr>
          <w:rFonts w:ascii="Verdana" w:hAnsi="Verdana"/>
          <w:b w:val="0"/>
          <w:bCs w:val="0"/>
        </w:rPr>
        <w:t>5-26</w:t>
      </w:r>
      <w:r w:rsidRPr="009A730B">
        <w:rPr>
          <w:rFonts w:ascii="Verdana" w:hAnsi="Verdana"/>
          <w:b w:val="0"/>
          <w:bCs w:val="0"/>
        </w:rPr>
        <w:t>, the following reports</w:t>
      </w:r>
      <w:r w:rsidR="5E6FC826" w:rsidRPr="009A730B">
        <w:rPr>
          <w:rFonts w:ascii="Verdana" w:hAnsi="Verdana"/>
          <w:b w:val="0"/>
          <w:bCs w:val="0"/>
        </w:rPr>
        <w:t xml:space="preserve"> were received by the </w:t>
      </w:r>
      <w:r w:rsidR="24F0F1D7" w:rsidRPr="009A730B">
        <w:rPr>
          <w:rFonts w:ascii="Verdana" w:hAnsi="Verdana"/>
          <w:b w:val="0"/>
          <w:bCs w:val="0"/>
        </w:rPr>
        <w:t>C</w:t>
      </w:r>
      <w:r w:rsidR="5E6FC826" w:rsidRPr="009A730B">
        <w:rPr>
          <w:rFonts w:ascii="Verdana" w:hAnsi="Verdana"/>
          <w:b w:val="0"/>
          <w:bCs w:val="0"/>
        </w:rPr>
        <w:t>ommittee</w:t>
      </w:r>
      <w:r w:rsidRPr="009A730B">
        <w:rPr>
          <w:rFonts w:ascii="Verdana" w:hAnsi="Verdana"/>
          <w:b w:val="0"/>
          <w:bCs w:val="0"/>
        </w:rPr>
        <w:t>:</w:t>
      </w:r>
      <w:r w:rsidR="5775F60B" w:rsidRPr="009A730B">
        <w:rPr>
          <w:rFonts w:ascii="Verdana" w:hAnsi="Verdana"/>
        </w:rPr>
        <w:t xml:space="preserve"> </w:t>
      </w:r>
    </w:p>
    <w:p w14:paraId="132EC85E" w14:textId="109D2B0E" w:rsidR="00891686" w:rsidRPr="009A730B" w:rsidRDefault="00891686" w:rsidP="00CC2EDF">
      <w:pPr>
        <w:spacing w:after="0" w:line="240" w:lineRule="auto"/>
        <w:jc w:val="both"/>
        <w:rPr>
          <w:rFonts w:ascii="Verdana" w:hAnsi="Verdana" w:cs="Arial"/>
          <w:sz w:val="24"/>
          <w:szCs w:val="24"/>
          <w:u w:val="single"/>
        </w:rPr>
      </w:pPr>
    </w:p>
    <w:p w14:paraId="04C97407" w14:textId="77777777" w:rsidR="008D4D93" w:rsidRPr="00A23308" w:rsidRDefault="0F9B1772" w:rsidP="00C2615D">
      <w:pPr>
        <w:pStyle w:val="ListParagraph"/>
        <w:numPr>
          <w:ilvl w:val="1"/>
          <w:numId w:val="39"/>
        </w:numPr>
        <w:spacing w:after="0" w:line="240" w:lineRule="auto"/>
        <w:jc w:val="both"/>
        <w:rPr>
          <w:rFonts w:ascii="Verdana" w:hAnsi="Verdana" w:cs="Arial"/>
          <w:b/>
          <w:bCs/>
        </w:rPr>
      </w:pPr>
      <w:r w:rsidRPr="00A23308">
        <w:rPr>
          <w:rFonts w:ascii="Verdana" w:hAnsi="Verdana" w:cs="Arial"/>
          <w:b/>
          <w:bCs/>
          <w:sz w:val="24"/>
          <w:szCs w:val="24"/>
        </w:rPr>
        <w:t>Mental Health Act 1983</w:t>
      </w:r>
    </w:p>
    <w:p w14:paraId="08E6DEC1" w14:textId="29ACA719" w:rsidR="6F2B4365" w:rsidRPr="009A730B" w:rsidRDefault="6F2B4365" w:rsidP="00CC2EDF">
      <w:pPr>
        <w:pStyle w:val="ListParagraph"/>
        <w:spacing w:after="0" w:line="240" w:lineRule="auto"/>
        <w:jc w:val="both"/>
        <w:rPr>
          <w:rFonts w:ascii="Verdana" w:hAnsi="Verdana" w:cs="Arial"/>
          <w:b/>
          <w:bCs/>
          <w:sz w:val="24"/>
          <w:szCs w:val="24"/>
        </w:rPr>
      </w:pPr>
    </w:p>
    <w:p w14:paraId="5711AC09" w14:textId="60FAE959" w:rsidR="0F4E99B5" w:rsidRPr="009A730B" w:rsidRDefault="0F4E99B5" w:rsidP="00CC2EDF">
      <w:pPr>
        <w:spacing w:after="0" w:line="240" w:lineRule="auto"/>
        <w:jc w:val="both"/>
        <w:rPr>
          <w:rFonts w:ascii="Verdana" w:eastAsia="Calibri" w:hAnsi="Verdana" w:cs="Arial"/>
          <w:sz w:val="24"/>
          <w:szCs w:val="24"/>
        </w:rPr>
      </w:pPr>
      <w:r w:rsidRPr="009A730B">
        <w:rPr>
          <w:rFonts w:ascii="Verdana" w:eastAsia="Calibri" w:hAnsi="Verdana" w:cs="Arial"/>
          <w:sz w:val="24"/>
          <w:szCs w:val="24"/>
        </w:rPr>
        <w:t>A regular report was received on the use of the Mental Health Act 1983 across the Health Board, providing assurance on statutory compliance, governance arrangements, and the operation of the Hospital Managers’ delegated functions. The Committee was sighted on Care and Treatment Plans, Mental Health Act activity, and exceptions, including invalid detentions and associated learning.</w:t>
      </w:r>
    </w:p>
    <w:p w14:paraId="1B8A574E" w14:textId="3F8974CE" w:rsidR="49220B0B" w:rsidRPr="009A730B" w:rsidRDefault="49220B0B" w:rsidP="00CC2EDF">
      <w:pPr>
        <w:spacing w:after="0" w:line="240" w:lineRule="auto"/>
        <w:jc w:val="both"/>
        <w:rPr>
          <w:rFonts w:ascii="Verdana" w:hAnsi="Verdana" w:cs="Arial"/>
          <w:sz w:val="24"/>
          <w:szCs w:val="24"/>
        </w:rPr>
      </w:pPr>
    </w:p>
    <w:p w14:paraId="5F4B7A36" w14:textId="7422D86A" w:rsidR="000A642B" w:rsidRPr="00A23308" w:rsidRDefault="0F9B1772" w:rsidP="00C2615D">
      <w:pPr>
        <w:pStyle w:val="ListParagraph"/>
        <w:numPr>
          <w:ilvl w:val="1"/>
          <w:numId w:val="39"/>
        </w:numPr>
        <w:spacing w:after="0" w:line="240" w:lineRule="auto"/>
        <w:jc w:val="both"/>
        <w:rPr>
          <w:rFonts w:ascii="Verdana" w:hAnsi="Verdana" w:cs="Arial"/>
          <w:b/>
          <w:bCs/>
        </w:rPr>
      </w:pPr>
      <w:r w:rsidRPr="00A23308">
        <w:rPr>
          <w:rFonts w:ascii="Verdana" w:hAnsi="Verdana" w:cs="Arial"/>
          <w:b/>
          <w:bCs/>
          <w:sz w:val="24"/>
          <w:szCs w:val="24"/>
        </w:rPr>
        <w:t>Mental Capacity Act 2005 and De</w:t>
      </w:r>
      <w:r w:rsidR="042FCE54" w:rsidRPr="00A23308">
        <w:rPr>
          <w:rFonts w:ascii="Verdana" w:hAnsi="Verdana" w:cs="Arial"/>
          <w:b/>
          <w:bCs/>
          <w:sz w:val="24"/>
          <w:szCs w:val="24"/>
        </w:rPr>
        <w:t xml:space="preserve">privation of Liberty Standards </w:t>
      </w:r>
      <w:r w:rsidR="369C1547" w:rsidRPr="00A23308">
        <w:rPr>
          <w:rFonts w:ascii="Verdana" w:hAnsi="Verdana" w:cs="Arial"/>
          <w:b/>
          <w:bCs/>
          <w:sz w:val="24"/>
          <w:szCs w:val="24"/>
        </w:rPr>
        <w:t xml:space="preserve">Performance Report </w:t>
      </w:r>
    </w:p>
    <w:p w14:paraId="59D7892A" w14:textId="284BAF55" w:rsidR="6F2B4365" w:rsidRPr="009A730B" w:rsidRDefault="6F2B4365" w:rsidP="00CC2EDF">
      <w:pPr>
        <w:pStyle w:val="ListParagraph"/>
        <w:spacing w:after="0" w:line="240" w:lineRule="auto"/>
        <w:jc w:val="both"/>
        <w:rPr>
          <w:rFonts w:ascii="Verdana" w:hAnsi="Verdana" w:cs="Arial"/>
          <w:b/>
          <w:bCs/>
          <w:sz w:val="24"/>
          <w:szCs w:val="24"/>
        </w:rPr>
      </w:pPr>
    </w:p>
    <w:p w14:paraId="3F4B91FE" w14:textId="032F317B" w:rsidR="7395FA29" w:rsidRPr="009A730B" w:rsidRDefault="7395FA29" w:rsidP="00CC2EDF">
      <w:pPr>
        <w:spacing w:after="0" w:line="240" w:lineRule="auto"/>
        <w:jc w:val="both"/>
        <w:rPr>
          <w:rFonts w:ascii="Verdana" w:eastAsia="Calibri" w:hAnsi="Verdana" w:cs="Arial"/>
          <w:sz w:val="24"/>
          <w:szCs w:val="24"/>
        </w:rPr>
      </w:pPr>
      <w:r w:rsidRPr="009A730B">
        <w:rPr>
          <w:rFonts w:ascii="Verdana" w:eastAsia="Calibri" w:hAnsi="Verdana" w:cs="Arial"/>
          <w:sz w:val="24"/>
          <w:szCs w:val="24"/>
        </w:rPr>
        <w:t>As a standing item on the agenda, the Committee received regular performance and monitoring reports in relation to the Mental Capacity Act 2005, including the Deprivation of Liberty Safeguards (DoLS). These reports provided assurance on statutory compliance, governance arrangements, and the application of the Act across the Health Board.</w:t>
      </w:r>
      <w:r w:rsidR="656F7AE4" w:rsidRPr="009A730B">
        <w:rPr>
          <w:rFonts w:ascii="Verdana" w:eastAsia="Calibri" w:hAnsi="Verdana" w:cs="Arial"/>
          <w:sz w:val="24"/>
          <w:szCs w:val="24"/>
        </w:rPr>
        <w:t xml:space="preserve"> </w:t>
      </w:r>
      <w:r w:rsidRPr="009A730B">
        <w:rPr>
          <w:rFonts w:ascii="Verdana" w:eastAsia="Calibri" w:hAnsi="Verdana" w:cs="Arial"/>
          <w:sz w:val="24"/>
          <w:szCs w:val="24"/>
        </w:rPr>
        <w:t>The Committee was sighted on performance trends, key risks, and areas for improvement, supporting its role in overseeing the lawful application of capacity legislation and the protection of individuals’ rights.</w:t>
      </w:r>
    </w:p>
    <w:p w14:paraId="0C7DFC07" w14:textId="77777777" w:rsidR="002A7D3A" w:rsidRPr="009A730B" w:rsidRDefault="002A7D3A" w:rsidP="00CC2EDF">
      <w:pPr>
        <w:spacing w:after="0" w:line="240" w:lineRule="auto"/>
        <w:jc w:val="both"/>
        <w:rPr>
          <w:rFonts w:ascii="Verdana" w:eastAsia="Calibri" w:hAnsi="Verdana" w:cs="Arial"/>
          <w:sz w:val="24"/>
          <w:szCs w:val="24"/>
        </w:rPr>
      </w:pPr>
    </w:p>
    <w:p w14:paraId="5BBADE31" w14:textId="61B4702A" w:rsidR="6F2B4365" w:rsidRPr="0057260C" w:rsidRDefault="0F9B1772" w:rsidP="00C2615D">
      <w:pPr>
        <w:pStyle w:val="ListParagraph"/>
        <w:numPr>
          <w:ilvl w:val="1"/>
          <w:numId w:val="39"/>
        </w:numPr>
        <w:spacing w:after="0" w:line="240" w:lineRule="auto"/>
        <w:jc w:val="both"/>
        <w:rPr>
          <w:rFonts w:ascii="Verdana" w:hAnsi="Verdana" w:cs="Arial"/>
          <w:b/>
          <w:bCs/>
        </w:rPr>
      </w:pPr>
      <w:r w:rsidRPr="00A23308">
        <w:rPr>
          <w:rFonts w:ascii="Verdana" w:hAnsi="Verdana" w:cs="Arial"/>
          <w:b/>
          <w:bCs/>
          <w:sz w:val="24"/>
          <w:szCs w:val="24"/>
        </w:rPr>
        <w:t>Mental Health (Wales) Measure 2010</w:t>
      </w:r>
    </w:p>
    <w:p w14:paraId="2446465C" w14:textId="263A5A14" w:rsidR="6F2B4365" w:rsidRPr="009A730B" w:rsidRDefault="436A6174" w:rsidP="0057260C">
      <w:pPr>
        <w:spacing w:after="0" w:line="240" w:lineRule="auto"/>
        <w:jc w:val="both"/>
        <w:rPr>
          <w:rFonts w:ascii="Verdana" w:hAnsi="Verdana" w:cs="Arial"/>
          <w:sz w:val="24"/>
          <w:szCs w:val="24"/>
        </w:rPr>
      </w:pPr>
      <w:r w:rsidRPr="009A730B">
        <w:rPr>
          <w:rFonts w:ascii="Verdana" w:eastAsia="Calibri" w:hAnsi="Verdana" w:cs="Arial"/>
          <w:sz w:val="24"/>
          <w:szCs w:val="24"/>
        </w:rPr>
        <w:t>Reports were presented to the Committee on a regular basis outlining performance against the Mental Health (Wales) Measure 2010. These reports provided assurance on compliance with the Measure and the effectiveness of arrangements in place to support its implementation across the Health Board.</w:t>
      </w:r>
      <w:r w:rsidR="052D6AA2" w:rsidRPr="009A730B">
        <w:rPr>
          <w:rFonts w:ascii="Verdana" w:eastAsia="Calibri" w:hAnsi="Verdana" w:cs="Arial"/>
          <w:sz w:val="24"/>
          <w:szCs w:val="24"/>
        </w:rPr>
        <w:t xml:space="preserve"> </w:t>
      </w:r>
      <w:r w:rsidRPr="009A730B">
        <w:rPr>
          <w:rFonts w:ascii="Verdana" w:eastAsia="Calibri" w:hAnsi="Verdana" w:cs="Arial"/>
          <w:sz w:val="24"/>
          <w:szCs w:val="24"/>
        </w:rPr>
        <w:t>Each report was received and considered by the Committee, with assurance provided accordingly in relation to performance, governance, and statutory oversight.</w:t>
      </w:r>
    </w:p>
    <w:p w14:paraId="54FCF5D7" w14:textId="64E65230" w:rsidR="00CC2EDF" w:rsidRDefault="00CC2EDF" w:rsidP="00CC2EDF">
      <w:pPr>
        <w:spacing w:after="0" w:line="240" w:lineRule="auto"/>
        <w:jc w:val="both"/>
        <w:rPr>
          <w:rFonts w:ascii="Verdana" w:hAnsi="Verdana" w:cs="Arial"/>
          <w:b/>
          <w:bCs/>
          <w:color w:val="000000" w:themeColor="text1"/>
        </w:rPr>
      </w:pPr>
    </w:p>
    <w:p w14:paraId="24DD86C4" w14:textId="7D69108D" w:rsidR="6F2B4365" w:rsidRPr="0057260C" w:rsidRDefault="0CEBAC80" w:rsidP="00C2615D">
      <w:pPr>
        <w:pStyle w:val="ListParagraph"/>
        <w:numPr>
          <w:ilvl w:val="1"/>
          <w:numId w:val="39"/>
        </w:numPr>
        <w:spacing w:after="0" w:line="240" w:lineRule="auto"/>
        <w:jc w:val="both"/>
        <w:rPr>
          <w:rFonts w:ascii="Verdana" w:hAnsi="Verdana" w:cs="Arial"/>
          <w:b/>
          <w:bCs/>
          <w:sz w:val="24"/>
          <w:szCs w:val="24"/>
        </w:rPr>
      </w:pPr>
      <w:r w:rsidRPr="005A3025">
        <w:rPr>
          <w:rFonts w:ascii="Verdana" w:hAnsi="Verdana" w:cs="Arial"/>
          <w:b/>
          <w:bCs/>
          <w:color w:val="000000" w:themeColor="text1"/>
          <w:sz w:val="24"/>
          <w:szCs w:val="24"/>
        </w:rPr>
        <w:t>Mental Capacity Act and Deprivation of Liberty Safeguards Monitoring Report</w:t>
      </w:r>
    </w:p>
    <w:p w14:paraId="5C308023" w14:textId="4C9EEA05" w:rsidR="587ACDA1" w:rsidRPr="009A730B" w:rsidRDefault="587ACDA1" w:rsidP="00CC2EDF">
      <w:pPr>
        <w:spacing w:after="0" w:line="240" w:lineRule="auto"/>
        <w:jc w:val="both"/>
        <w:rPr>
          <w:rFonts w:ascii="Verdana" w:eastAsia="Calibri" w:hAnsi="Verdana" w:cs="Arial"/>
          <w:sz w:val="24"/>
          <w:szCs w:val="24"/>
        </w:rPr>
      </w:pPr>
      <w:r w:rsidRPr="009A730B">
        <w:rPr>
          <w:rFonts w:ascii="Verdana" w:eastAsia="Calibri" w:hAnsi="Verdana" w:cs="Arial"/>
          <w:sz w:val="24"/>
          <w:szCs w:val="24"/>
        </w:rPr>
        <w:t>The Committee received regular reports providing assurance on compliance with the Mental Capacity Act (MCA) 2005 and the management of Deprivation of Liberty Safeguards (DoLS). Updates covered training compliance, governance arrangements, and oversight of MCA and DoLS processes across the Health Board. The Committee noted the ongoing requirement to operate under existing MCA and DoLS legislation and was assured that appropriate systems and controls remained in place to meet statutory responsibilities. Overall, the Committee was satisfied that effective arrangements were in place and provided assurance to the Board on compliance throughout the year.</w:t>
      </w:r>
    </w:p>
    <w:p w14:paraId="5179803A" w14:textId="7A20B870" w:rsidR="4C39ED56" w:rsidRDefault="4C39ED56" w:rsidP="00CC2EDF">
      <w:pPr>
        <w:spacing w:after="0" w:line="240" w:lineRule="auto"/>
        <w:jc w:val="both"/>
        <w:rPr>
          <w:rFonts w:ascii="Verdana" w:hAnsi="Verdana" w:cs="Arial"/>
          <w:sz w:val="24"/>
          <w:szCs w:val="24"/>
        </w:rPr>
      </w:pPr>
    </w:p>
    <w:p w14:paraId="48FC36D7" w14:textId="77777777" w:rsidR="00C2615D" w:rsidRPr="009A730B" w:rsidRDefault="00C2615D" w:rsidP="00CC2EDF">
      <w:pPr>
        <w:spacing w:after="0" w:line="240" w:lineRule="auto"/>
        <w:jc w:val="both"/>
        <w:rPr>
          <w:rFonts w:ascii="Verdana" w:hAnsi="Verdana" w:cs="Arial"/>
          <w:sz w:val="24"/>
          <w:szCs w:val="24"/>
        </w:rPr>
      </w:pPr>
    </w:p>
    <w:p w14:paraId="4668092A" w14:textId="1817F6F4" w:rsidR="6F2B4365" w:rsidRPr="0057260C" w:rsidRDefault="6C29B95C" w:rsidP="00C2615D">
      <w:pPr>
        <w:pStyle w:val="ListParagraph"/>
        <w:numPr>
          <w:ilvl w:val="1"/>
          <w:numId w:val="39"/>
        </w:numPr>
        <w:spacing w:after="0" w:line="240" w:lineRule="auto"/>
        <w:jc w:val="both"/>
        <w:rPr>
          <w:rFonts w:ascii="Verdana" w:hAnsi="Verdana" w:cs="Arial"/>
          <w:b/>
          <w:bCs/>
          <w:sz w:val="24"/>
          <w:szCs w:val="24"/>
        </w:rPr>
      </w:pPr>
      <w:r w:rsidRPr="00CC2EDF">
        <w:rPr>
          <w:rFonts w:ascii="Verdana" w:hAnsi="Verdana" w:cs="Arial"/>
          <w:b/>
          <w:bCs/>
          <w:sz w:val="24"/>
          <w:szCs w:val="24"/>
        </w:rPr>
        <w:lastRenderedPageBreak/>
        <w:t>Health Inspectorate Wales (HIW) Mental Health Annual Report</w:t>
      </w:r>
    </w:p>
    <w:p w14:paraId="62BDEEA4" w14:textId="4C46D492" w:rsidR="44328BAF" w:rsidRPr="009A730B" w:rsidRDefault="44328BAF" w:rsidP="00CC2EDF">
      <w:pPr>
        <w:tabs>
          <w:tab w:val="left" w:pos="0"/>
        </w:tabs>
        <w:spacing w:after="0" w:line="240" w:lineRule="auto"/>
        <w:jc w:val="both"/>
        <w:rPr>
          <w:rFonts w:ascii="Verdana" w:eastAsia="Calibri" w:hAnsi="Verdana" w:cs="Arial"/>
          <w:sz w:val="24"/>
          <w:szCs w:val="24"/>
        </w:rPr>
      </w:pPr>
      <w:r w:rsidRPr="009A730B">
        <w:rPr>
          <w:rFonts w:ascii="Verdana" w:eastAsia="Calibri" w:hAnsi="Verdana" w:cs="Arial"/>
          <w:sz w:val="24"/>
          <w:szCs w:val="24"/>
        </w:rPr>
        <w:t>The Committee received the Health Inspectorate Wales (HIW) Mental Health Annual Report during 2025–2026. The report provided an overview of HIW’s findings and themes arising from its inspection and monitoring activity in relation to mental health services. The Committee noted the content of the report and considered the implications for the Health Board, using it to support assurance on compliance, quality of care, and governance arrangements in respect of mental health services.</w:t>
      </w:r>
    </w:p>
    <w:p w14:paraId="264AC76C" w14:textId="77777777" w:rsidR="0057260C" w:rsidRPr="009A730B" w:rsidRDefault="0057260C" w:rsidP="00CC2EDF">
      <w:pPr>
        <w:spacing w:after="0" w:line="240" w:lineRule="auto"/>
        <w:jc w:val="both"/>
        <w:rPr>
          <w:rFonts w:ascii="Verdana" w:hAnsi="Verdana" w:cs="Arial"/>
          <w:sz w:val="24"/>
          <w:szCs w:val="24"/>
        </w:rPr>
      </w:pPr>
    </w:p>
    <w:p w14:paraId="3EAAAB8E" w14:textId="79F43EC9" w:rsidR="6F2B4365" w:rsidRPr="0057260C" w:rsidRDefault="16DAC60B" w:rsidP="00C2615D">
      <w:pPr>
        <w:pStyle w:val="ListParagraph"/>
        <w:numPr>
          <w:ilvl w:val="1"/>
          <w:numId w:val="39"/>
        </w:numPr>
        <w:spacing w:after="0" w:line="240" w:lineRule="auto"/>
        <w:jc w:val="both"/>
        <w:rPr>
          <w:rFonts w:ascii="Verdana" w:hAnsi="Verdana" w:cs="Arial"/>
          <w:b/>
          <w:bCs/>
        </w:rPr>
      </w:pPr>
      <w:r w:rsidRPr="00CC2EDF">
        <w:rPr>
          <w:rFonts w:ascii="Verdana" w:hAnsi="Verdana" w:cs="Arial"/>
          <w:b/>
          <w:bCs/>
          <w:sz w:val="24"/>
          <w:szCs w:val="24"/>
        </w:rPr>
        <w:t xml:space="preserve">Additional Learning Needs </w:t>
      </w:r>
      <w:r w:rsidR="73095F03" w:rsidRPr="00CC2EDF">
        <w:rPr>
          <w:rFonts w:ascii="Verdana" w:hAnsi="Verdana" w:cs="Arial"/>
          <w:b/>
          <w:bCs/>
          <w:sz w:val="24"/>
          <w:szCs w:val="24"/>
        </w:rPr>
        <w:t>Ac</w:t>
      </w:r>
      <w:r w:rsidRPr="00CC2EDF">
        <w:rPr>
          <w:rFonts w:ascii="Verdana" w:hAnsi="Verdana" w:cs="Arial"/>
          <w:b/>
          <w:bCs/>
          <w:sz w:val="24"/>
          <w:szCs w:val="24"/>
        </w:rPr>
        <w:t>t</w:t>
      </w:r>
      <w:r w:rsidR="73095F03" w:rsidRPr="00CC2EDF">
        <w:rPr>
          <w:rFonts w:ascii="Verdana" w:hAnsi="Verdana" w:cs="Arial"/>
          <w:b/>
          <w:bCs/>
          <w:sz w:val="24"/>
          <w:szCs w:val="24"/>
        </w:rPr>
        <w:t xml:space="preserve"> </w:t>
      </w:r>
    </w:p>
    <w:p w14:paraId="3C8F9364" w14:textId="39353EA0" w:rsidR="3D29BC37" w:rsidRPr="009A730B" w:rsidRDefault="3D29BC37" w:rsidP="00CC2EDF">
      <w:pPr>
        <w:spacing w:after="0" w:line="240" w:lineRule="auto"/>
        <w:jc w:val="both"/>
        <w:rPr>
          <w:rFonts w:ascii="Verdana" w:eastAsia="Calibri" w:hAnsi="Verdana" w:cs="Arial"/>
          <w:sz w:val="24"/>
          <w:szCs w:val="24"/>
        </w:rPr>
      </w:pPr>
      <w:r w:rsidRPr="009A730B">
        <w:rPr>
          <w:rFonts w:ascii="Verdana" w:eastAsia="Calibri" w:hAnsi="Verdana" w:cs="Arial"/>
          <w:sz w:val="24"/>
          <w:szCs w:val="24"/>
        </w:rPr>
        <w:t>The Committee received an update against the Additional Learning Needs Act Action Plan, outlining progress in addressing actions arising from a Limited Assurance internal audit. Assurance was provided on statutory compliance, with governance arrangements in place to manage remaining actions.</w:t>
      </w:r>
    </w:p>
    <w:p w14:paraId="3E1B779B" w14:textId="77777777" w:rsidR="00AE6330" w:rsidRDefault="00AE6330" w:rsidP="00CC2EDF">
      <w:pPr>
        <w:pStyle w:val="ListParagraph"/>
        <w:spacing w:after="0" w:line="240" w:lineRule="auto"/>
        <w:ind w:left="0"/>
        <w:jc w:val="both"/>
        <w:rPr>
          <w:rFonts w:ascii="Verdana" w:hAnsi="Verdana" w:cs="Arial"/>
          <w:b/>
          <w:bCs/>
          <w:sz w:val="24"/>
          <w:szCs w:val="24"/>
        </w:rPr>
      </w:pPr>
    </w:p>
    <w:p w14:paraId="5FBB41B5" w14:textId="5F2F8C05" w:rsidR="001C61A5" w:rsidRPr="00AE6330" w:rsidRDefault="00CC2EDF" w:rsidP="00CC2EDF">
      <w:pPr>
        <w:pStyle w:val="ListParagraph"/>
        <w:spacing w:after="0" w:line="240" w:lineRule="auto"/>
        <w:ind w:left="0"/>
        <w:jc w:val="both"/>
        <w:rPr>
          <w:rFonts w:ascii="Verdana" w:hAnsi="Verdana" w:cs="Arial"/>
          <w:b/>
          <w:bCs/>
          <w:sz w:val="24"/>
          <w:szCs w:val="24"/>
        </w:rPr>
      </w:pPr>
      <w:r w:rsidRPr="00AE6330">
        <w:rPr>
          <w:rFonts w:ascii="Verdana" w:hAnsi="Verdana" w:cs="Arial"/>
          <w:b/>
          <w:bCs/>
          <w:sz w:val="24"/>
          <w:szCs w:val="24"/>
        </w:rPr>
        <w:t>7.</w:t>
      </w:r>
      <w:r w:rsidR="005A3025" w:rsidRPr="00AE6330">
        <w:rPr>
          <w:rFonts w:ascii="Verdana" w:hAnsi="Verdana" w:cs="Arial"/>
          <w:b/>
          <w:bCs/>
          <w:sz w:val="24"/>
          <w:szCs w:val="24"/>
        </w:rPr>
        <w:t xml:space="preserve">7 </w:t>
      </w:r>
      <w:r w:rsidR="5FE6DC69" w:rsidRPr="00AE6330">
        <w:rPr>
          <w:rFonts w:ascii="Verdana" w:hAnsi="Verdana" w:cs="Arial"/>
          <w:b/>
          <w:bCs/>
          <w:sz w:val="24"/>
          <w:szCs w:val="24"/>
        </w:rPr>
        <w:t xml:space="preserve">Governance </w:t>
      </w:r>
    </w:p>
    <w:p w14:paraId="36E1DC56" w14:textId="2369D7F1" w:rsidR="002620F3" w:rsidRPr="009A730B" w:rsidRDefault="5FE6DC69" w:rsidP="00CC2EDF">
      <w:pPr>
        <w:spacing w:after="0" w:line="240" w:lineRule="auto"/>
        <w:jc w:val="both"/>
        <w:rPr>
          <w:rFonts w:ascii="Verdana" w:hAnsi="Verdana" w:cs="Arial"/>
          <w:sz w:val="24"/>
          <w:szCs w:val="24"/>
        </w:rPr>
      </w:pPr>
      <w:r w:rsidRPr="009A730B">
        <w:rPr>
          <w:rFonts w:ascii="Verdana" w:hAnsi="Verdana" w:cs="Arial"/>
          <w:sz w:val="24"/>
          <w:szCs w:val="24"/>
        </w:rPr>
        <w:t xml:space="preserve">The </w:t>
      </w:r>
      <w:r w:rsidR="00E674AB" w:rsidRPr="009A730B">
        <w:rPr>
          <w:rFonts w:ascii="Verdana" w:hAnsi="Verdana" w:cs="Arial"/>
          <w:sz w:val="24"/>
          <w:szCs w:val="24"/>
        </w:rPr>
        <w:t>C</w:t>
      </w:r>
      <w:r w:rsidRPr="009A730B">
        <w:rPr>
          <w:rFonts w:ascii="Verdana" w:hAnsi="Verdana" w:cs="Arial"/>
          <w:sz w:val="24"/>
          <w:szCs w:val="24"/>
        </w:rPr>
        <w:t xml:space="preserve">ommittee received and approved the following; </w:t>
      </w:r>
    </w:p>
    <w:p w14:paraId="35470661" w14:textId="02522359" w:rsidR="6F2B4365" w:rsidRPr="009A730B" w:rsidRDefault="6F2B4365" w:rsidP="00CC2EDF">
      <w:pPr>
        <w:spacing w:after="0" w:line="240" w:lineRule="auto"/>
        <w:jc w:val="both"/>
        <w:rPr>
          <w:rFonts w:ascii="Verdana" w:hAnsi="Verdana" w:cs="Arial"/>
          <w:sz w:val="24"/>
          <w:szCs w:val="24"/>
        </w:rPr>
      </w:pPr>
    </w:p>
    <w:p w14:paraId="64478361" w14:textId="3EBE94D5" w:rsidR="0C58F669" w:rsidRPr="009A730B" w:rsidRDefault="0C58F669" w:rsidP="00C2615D">
      <w:pPr>
        <w:pStyle w:val="ListParagraph"/>
        <w:numPr>
          <w:ilvl w:val="0"/>
          <w:numId w:val="59"/>
        </w:numPr>
        <w:spacing w:after="0" w:line="240" w:lineRule="auto"/>
        <w:jc w:val="both"/>
        <w:rPr>
          <w:rFonts w:ascii="Verdana" w:hAnsi="Verdana" w:cs="Arial"/>
          <w:sz w:val="24"/>
          <w:szCs w:val="24"/>
        </w:rPr>
      </w:pPr>
      <w:r w:rsidRPr="009A730B">
        <w:rPr>
          <w:rFonts w:ascii="Verdana" w:hAnsi="Verdana" w:cs="Arial"/>
          <w:sz w:val="24"/>
          <w:szCs w:val="24"/>
        </w:rPr>
        <w:t>Mental Health Legislation Committee Work Programme;</w:t>
      </w:r>
    </w:p>
    <w:p w14:paraId="28DCED3D" w14:textId="3CCA3A2F" w:rsidR="00E524D3" w:rsidRPr="009A730B" w:rsidRDefault="201711A7" w:rsidP="00C2615D">
      <w:pPr>
        <w:pStyle w:val="ListParagraph"/>
        <w:numPr>
          <w:ilvl w:val="0"/>
          <w:numId w:val="59"/>
        </w:numPr>
        <w:spacing w:after="0" w:line="240" w:lineRule="auto"/>
        <w:jc w:val="both"/>
        <w:rPr>
          <w:rFonts w:ascii="Verdana" w:hAnsi="Verdana" w:cs="Arial"/>
          <w:sz w:val="24"/>
          <w:szCs w:val="24"/>
        </w:rPr>
      </w:pPr>
      <w:r w:rsidRPr="009A730B">
        <w:rPr>
          <w:rFonts w:ascii="Verdana" w:hAnsi="Verdana" w:cs="Arial"/>
          <w:sz w:val="24"/>
          <w:szCs w:val="24"/>
        </w:rPr>
        <w:t>Mental Health Legislation Committee Terms of Reference</w:t>
      </w:r>
      <w:r w:rsidR="394673C7" w:rsidRPr="009A730B">
        <w:rPr>
          <w:rFonts w:ascii="Verdana" w:hAnsi="Verdana" w:cs="Arial"/>
          <w:sz w:val="24"/>
          <w:szCs w:val="24"/>
        </w:rPr>
        <w:t xml:space="preserve">; </w:t>
      </w:r>
    </w:p>
    <w:p w14:paraId="35270141" w14:textId="11FFB200" w:rsidR="0015366D" w:rsidRPr="009A730B" w:rsidRDefault="394673C7" w:rsidP="00C2615D">
      <w:pPr>
        <w:pStyle w:val="ListParagraph"/>
        <w:numPr>
          <w:ilvl w:val="0"/>
          <w:numId w:val="59"/>
        </w:numPr>
        <w:spacing w:after="0" w:line="240" w:lineRule="auto"/>
        <w:jc w:val="both"/>
        <w:rPr>
          <w:rFonts w:ascii="Verdana" w:hAnsi="Verdana" w:cs="Arial"/>
          <w:sz w:val="24"/>
          <w:szCs w:val="24"/>
        </w:rPr>
      </w:pPr>
      <w:r w:rsidRPr="009A730B">
        <w:rPr>
          <w:rFonts w:ascii="Verdana" w:hAnsi="Verdana" w:cs="Arial"/>
          <w:sz w:val="24"/>
          <w:szCs w:val="24"/>
        </w:rPr>
        <w:t xml:space="preserve">Committee </w:t>
      </w:r>
      <w:r w:rsidR="60985289" w:rsidRPr="009A730B">
        <w:rPr>
          <w:rFonts w:ascii="Verdana" w:hAnsi="Verdana" w:cs="Arial"/>
          <w:sz w:val="24"/>
          <w:szCs w:val="24"/>
        </w:rPr>
        <w:t>S</w:t>
      </w:r>
      <w:r w:rsidRPr="009A730B">
        <w:rPr>
          <w:rFonts w:ascii="Verdana" w:hAnsi="Verdana" w:cs="Arial"/>
          <w:sz w:val="24"/>
          <w:szCs w:val="24"/>
        </w:rPr>
        <w:t>elf-</w:t>
      </w:r>
      <w:r w:rsidR="5EE9A51F" w:rsidRPr="009A730B">
        <w:rPr>
          <w:rFonts w:ascii="Verdana" w:hAnsi="Verdana" w:cs="Arial"/>
          <w:sz w:val="24"/>
          <w:szCs w:val="24"/>
        </w:rPr>
        <w:t>A</w:t>
      </w:r>
      <w:r w:rsidRPr="009A730B">
        <w:rPr>
          <w:rFonts w:ascii="Verdana" w:hAnsi="Verdana" w:cs="Arial"/>
          <w:sz w:val="24"/>
          <w:szCs w:val="24"/>
        </w:rPr>
        <w:t>ssessment</w:t>
      </w:r>
      <w:r w:rsidR="09566340" w:rsidRPr="009A730B">
        <w:rPr>
          <w:rFonts w:ascii="Verdana" w:hAnsi="Verdana" w:cs="Arial"/>
          <w:sz w:val="24"/>
          <w:szCs w:val="24"/>
        </w:rPr>
        <w:t>;</w:t>
      </w:r>
    </w:p>
    <w:p w14:paraId="58ADE923" w14:textId="54CFF2A7" w:rsidR="09566340" w:rsidRPr="009A730B" w:rsidRDefault="09566340" w:rsidP="00C2615D">
      <w:pPr>
        <w:pStyle w:val="ListParagraph"/>
        <w:numPr>
          <w:ilvl w:val="0"/>
          <w:numId w:val="59"/>
        </w:numPr>
        <w:spacing w:after="0" w:line="240" w:lineRule="auto"/>
        <w:jc w:val="both"/>
      </w:pPr>
      <w:r w:rsidRPr="009A730B">
        <w:rPr>
          <w:rFonts w:ascii="Verdana" w:eastAsia="Verdana" w:hAnsi="Verdana" w:cs="Verdana"/>
          <w:color w:val="000000" w:themeColor="text1"/>
          <w:sz w:val="24"/>
          <w:szCs w:val="24"/>
        </w:rPr>
        <w:t>Committee Effectiveness report</w:t>
      </w:r>
      <w:r w:rsidR="37C2A98A" w:rsidRPr="009A730B">
        <w:rPr>
          <w:rFonts w:ascii="Verdana" w:eastAsia="Verdana" w:hAnsi="Verdana" w:cs="Verdana"/>
          <w:color w:val="000000" w:themeColor="text1"/>
          <w:sz w:val="24"/>
          <w:szCs w:val="24"/>
        </w:rPr>
        <w:t>;</w:t>
      </w:r>
    </w:p>
    <w:p w14:paraId="5A7D7267" w14:textId="5658E3AC" w:rsidR="529E32D1" w:rsidRPr="009A730B" w:rsidRDefault="529E32D1" w:rsidP="00C2615D">
      <w:pPr>
        <w:pStyle w:val="ListParagraph"/>
        <w:numPr>
          <w:ilvl w:val="0"/>
          <w:numId w:val="59"/>
        </w:numPr>
        <w:spacing w:after="0" w:line="240" w:lineRule="auto"/>
        <w:jc w:val="both"/>
        <w:rPr>
          <w:rFonts w:ascii="Verdana" w:eastAsia="Verdana" w:hAnsi="Verdana" w:cs="Verdana"/>
          <w:sz w:val="24"/>
          <w:szCs w:val="24"/>
        </w:rPr>
      </w:pPr>
      <w:r w:rsidRPr="009A730B">
        <w:rPr>
          <w:rFonts w:ascii="Verdana" w:eastAsia="Verdana" w:hAnsi="Verdana" w:cs="Verdana"/>
          <w:color w:val="000000" w:themeColor="text1"/>
          <w:sz w:val="24"/>
          <w:szCs w:val="24"/>
        </w:rPr>
        <w:t>Demo of the Mental Health Dashboard;</w:t>
      </w:r>
    </w:p>
    <w:p w14:paraId="34D4385B" w14:textId="77E5E255" w:rsidR="529E32D1" w:rsidRPr="009A730B" w:rsidRDefault="529E32D1" w:rsidP="00C2615D">
      <w:pPr>
        <w:pStyle w:val="ListParagraph"/>
        <w:numPr>
          <w:ilvl w:val="0"/>
          <w:numId w:val="59"/>
        </w:numPr>
        <w:spacing w:after="0" w:line="240" w:lineRule="auto"/>
        <w:jc w:val="both"/>
      </w:pPr>
      <w:r w:rsidRPr="009A730B">
        <w:rPr>
          <w:rFonts w:ascii="Verdana" w:eastAsia="Verdana" w:hAnsi="Verdana" w:cs="Verdana"/>
          <w:color w:val="000000" w:themeColor="text1"/>
          <w:sz w:val="24"/>
          <w:szCs w:val="24"/>
        </w:rPr>
        <w:t xml:space="preserve">Overview of the </w:t>
      </w:r>
      <w:r w:rsidRPr="009A730B">
        <w:rPr>
          <w:rFonts w:ascii="Verdana" w:hAnsi="Verdana" w:cs="Arial"/>
          <w:sz w:val="24"/>
          <w:szCs w:val="24"/>
        </w:rPr>
        <w:t>Deprivation of Liberty Safeguards (</w:t>
      </w:r>
      <w:r w:rsidRPr="009A730B">
        <w:rPr>
          <w:rFonts w:ascii="Verdana" w:eastAsia="Verdana" w:hAnsi="Verdana" w:cs="Verdana"/>
          <w:color w:val="000000" w:themeColor="text1"/>
          <w:sz w:val="24"/>
          <w:szCs w:val="24"/>
        </w:rPr>
        <w:t>DoLs) report</w:t>
      </w:r>
    </w:p>
    <w:p w14:paraId="0636E7C6" w14:textId="6067336B" w:rsidR="6F2B4365" w:rsidRPr="009A730B" w:rsidRDefault="6F2B4365" w:rsidP="49220B0B">
      <w:pPr>
        <w:spacing w:after="0" w:line="240" w:lineRule="auto"/>
        <w:jc w:val="both"/>
        <w:rPr>
          <w:rFonts w:ascii="Verdana" w:hAnsi="Verdana" w:cs="Arial"/>
          <w:sz w:val="24"/>
          <w:szCs w:val="24"/>
        </w:rPr>
      </w:pPr>
    </w:p>
    <w:p w14:paraId="73FAB36B" w14:textId="11CB4072" w:rsidR="00FE001C" w:rsidRPr="009A730B" w:rsidRDefault="007345E8" w:rsidP="00CC2EDF">
      <w:pPr>
        <w:spacing w:after="0" w:line="240" w:lineRule="auto"/>
        <w:jc w:val="center"/>
        <w:rPr>
          <w:rFonts w:ascii="Verdana" w:eastAsia="Calibri" w:hAnsi="Verdana" w:cs="Arial"/>
          <w:b/>
          <w:bCs/>
          <w:sz w:val="24"/>
          <w:szCs w:val="24"/>
          <w:u w:val="single"/>
        </w:rPr>
      </w:pPr>
      <w:r w:rsidRPr="009A730B">
        <w:rPr>
          <w:rFonts w:ascii="Verdana" w:eastAsia="Calibri" w:hAnsi="Verdana" w:cs="Arial"/>
          <w:b/>
          <w:bCs/>
          <w:sz w:val="24"/>
          <w:szCs w:val="24"/>
          <w:u w:val="single"/>
        </w:rPr>
        <w:t>Section</w:t>
      </w:r>
      <w:r w:rsidR="4F25927A" w:rsidRPr="009A730B">
        <w:rPr>
          <w:rFonts w:ascii="Verdana" w:eastAsia="Calibri" w:hAnsi="Verdana" w:cs="Arial"/>
          <w:b/>
          <w:bCs/>
          <w:sz w:val="24"/>
          <w:szCs w:val="24"/>
          <w:u w:val="single"/>
        </w:rPr>
        <w:t xml:space="preserve"> 8</w:t>
      </w:r>
    </w:p>
    <w:p w14:paraId="574702FA" w14:textId="6265E23B" w:rsidR="007553D9" w:rsidRPr="009A730B" w:rsidRDefault="007553D9" w:rsidP="00CC2EDF">
      <w:pPr>
        <w:pStyle w:val="ListParagraph"/>
        <w:spacing w:after="0" w:line="240" w:lineRule="auto"/>
        <w:ind w:left="0"/>
        <w:jc w:val="center"/>
        <w:rPr>
          <w:rFonts w:ascii="Verdana" w:hAnsi="Verdana" w:cs="Arial"/>
          <w:b/>
          <w:bCs/>
          <w:sz w:val="24"/>
          <w:szCs w:val="24"/>
          <w:u w:val="single"/>
        </w:rPr>
      </w:pPr>
      <w:r w:rsidRPr="009A730B">
        <w:rPr>
          <w:rFonts w:ascii="Verdana" w:hAnsi="Verdana" w:cs="Arial"/>
          <w:b/>
          <w:bCs/>
          <w:sz w:val="24"/>
          <w:szCs w:val="24"/>
          <w:u w:val="single"/>
        </w:rPr>
        <w:t>Charitable Funds Committee</w:t>
      </w:r>
    </w:p>
    <w:p w14:paraId="5A4A0FD4" w14:textId="77777777" w:rsidR="007553D9" w:rsidRPr="009A730B" w:rsidRDefault="007553D9" w:rsidP="00CC2EDF">
      <w:pPr>
        <w:pStyle w:val="ListParagraph"/>
        <w:spacing w:after="0" w:line="240" w:lineRule="auto"/>
        <w:ind w:left="0"/>
        <w:rPr>
          <w:rFonts w:ascii="Verdana" w:eastAsia="Verdana" w:hAnsi="Verdana" w:cs="Verdana"/>
          <w:b/>
          <w:bCs/>
          <w:sz w:val="24"/>
          <w:szCs w:val="24"/>
          <w:u w:val="single"/>
        </w:rPr>
      </w:pPr>
    </w:p>
    <w:p w14:paraId="5DE73B05" w14:textId="1101A8EA" w:rsidR="007553D9" w:rsidRPr="009A730B" w:rsidRDefault="4FB7F7E1" w:rsidP="00CC2EDF">
      <w:pPr>
        <w:spacing w:after="0" w:line="240" w:lineRule="auto"/>
        <w:jc w:val="both"/>
        <w:rPr>
          <w:rFonts w:ascii="Verdana" w:eastAsia="Verdana" w:hAnsi="Verdana" w:cs="Verdana"/>
          <w:sz w:val="24"/>
          <w:szCs w:val="24"/>
        </w:rPr>
      </w:pPr>
      <w:r w:rsidRPr="009A730B">
        <w:rPr>
          <w:rFonts w:ascii="Verdana" w:eastAsia="Verdana" w:hAnsi="Verdana" w:cs="Verdana"/>
          <w:sz w:val="24"/>
          <w:szCs w:val="24"/>
        </w:rPr>
        <w:t>The Health Board was appointed as Corporate Trustee of the Charitable Funds and acted as the agent responsible for their administration. The purpose of the Charitable Funds Committee was to establish and oversee appropriate arrangements for the effective control, management, and use of the Charitable Funds held by the organisation, in accordance with relevant legal and regulatory requirements.</w:t>
      </w:r>
    </w:p>
    <w:p w14:paraId="44F672B0" w14:textId="335F884D" w:rsidR="6F2B4365" w:rsidRPr="009A730B" w:rsidRDefault="6F2B4365" w:rsidP="00CC2EDF">
      <w:pPr>
        <w:spacing w:after="0" w:line="240" w:lineRule="auto"/>
        <w:jc w:val="both"/>
        <w:rPr>
          <w:rFonts w:ascii="Verdana" w:eastAsia="Verdana" w:hAnsi="Verdana" w:cs="Verdana"/>
          <w:sz w:val="24"/>
          <w:szCs w:val="24"/>
        </w:rPr>
      </w:pPr>
    </w:p>
    <w:p w14:paraId="0AD016E5" w14:textId="51B70039" w:rsidR="00B308E7" w:rsidRPr="009A730B" w:rsidRDefault="088D6A98" w:rsidP="00CC2EDF">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 xml:space="preserve">During </w:t>
      </w:r>
      <w:r w:rsidR="3BE5CD9E" w:rsidRPr="009A730B">
        <w:rPr>
          <w:rFonts w:ascii="Verdana" w:hAnsi="Verdana"/>
          <w:b w:val="0"/>
          <w:bCs w:val="0"/>
        </w:rPr>
        <w:t>202</w:t>
      </w:r>
      <w:r w:rsidR="0E15953F" w:rsidRPr="009A730B">
        <w:rPr>
          <w:rFonts w:ascii="Verdana" w:hAnsi="Verdana"/>
          <w:b w:val="0"/>
          <w:bCs w:val="0"/>
        </w:rPr>
        <w:t>5</w:t>
      </w:r>
      <w:r w:rsidR="3BE5CD9E" w:rsidRPr="009A730B">
        <w:rPr>
          <w:rFonts w:ascii="Verdana" w:hAnsi="Verdana"/>
          <w:b w:val="0"/>
          <w:bCs w:val="0"/>
        </w:rPr>
        <w:t>/2</w:t>
      </w:r>
      <w:r w:rsidR="613AB9DE" w:rsidRPr="009A730B">
        <w:rPr>
          <w:rFonts w:ascii="Verdana" w:hAnsi="Verdana"/>
          <w:b w:val="0"/>
          <w:bCs w:val="0"/>
        </w:rPr>
        <w:t>6</w:t>
      </w:r>
      <w:r w:rsidRPr="009A730B">
        <w:rPr>
          <w:rFonts w:ascii="Verdana" w:hAnsi="Verdana"/>
          <w:b w:val="0"/>
          <w:bCs w:val="0"/>
        </w:rPr>
        <w:t>, the following reports</w:t>
      </w:r>
      <w:r w:rsidR="7DB8810D" w:rsidRPr="009A730B">
        <w:rPr>
          <w:rFonts w:ascii="Verdana" w:hAnsi="Verdana"/>
          <w:b w:val="0"/>
          <w:bCs w:val="0"/>
        </w:rPr>
        <w:t xml:space="preserve"> were received by the committee:</w:t>
      </w:r>
    </w:p>
    <w:p w14:paraId="7A07D495" w14:textId="7CCEFFC1" w:rsidR="49220B0B" w:rsidRPr="009A730B" w:rsidRDefault="49220B0B" w:rsidP="00CC2EDF">
      <w:pPr>
        <w:pStyle w:val="StyleOutlinenumberedArialOutlinenumberedArial11Outli"/>
        <w:numPr>
          <w:ilvl w:val="0"/>
          <w:numId w:val="0"/>
        </w:numPr>
        <w:jc w:val="both"/>
        <w:rPr>
          <w:rFonts w:ascii="Verdana" w:hAnsi="Verdana"/>
          <w:b w:val="0"/>
          <w:bCs w:val="0"/>
        </w:rPr>
      </w:pPr>
    </w:p>
    <w:p w14:paraId="2E7F67CA" w14:textId="7A976BDD" w:rsidR="271E9C0D" w:rsidRPr="009A730B" w:rsidRDefault="00CC2EDF" w:rsidP="00CC2EDF">
      <w:pPr>
        <w:pStyle w:val="StyleOutlinenumberedArialOutlinenumberedArial11Outli"/>
        <w:numPr>
          <w:ilvl w:val="0"/>
          <w:numId w:val="0"/>
        </w:numPr>
        <w:ind w:left="720" w:hanging="720"/>
        <w:jc w:val="both"/>
        <w:rPr>
          <w:rFonts w:ascii="Verdana" w:hAnsi="Verdana"/>
          <w:color w:val="000000" w:themeColor="text1"/>
        </w:rPr>
      </w:pPr>
      <w:r>
        <w:rPr>
          <w:rFonts w:ascii="Verdana" w:hAnsi="Verdana"/>
          <w:color w:val="000000" w:themeColor="text1"/>
        </w:rPr>
        <w:t xml:space="preserve">8.1 </w:t>
      </w:r>
      <w:r w:rsidR="271E9C0D" w:rsidRPr="009A730B">
        <w:rPr>
          <w:rFonts w:ascii="Verdana" w:hAnsi="Verdana"/>
          <w:color w:val="000000" w:themeColor="text1"/>
        </w:rPr>
        <w:t>Staff/Patient Story</w:t>
      </w:r>
    </w:p>
    <w:p w14:paraId="00E2BD30" w14:textId="6D17A7BA" w:rsidR="48A24DA7" w:rsidRPr="009A730B" w:rsidRDefault="48A24DA7" w:rsidP="00CC2EDF">
      <w:pPr>
        <w:pStyle w:val="StyleOutlinenumberedArialOutlinenumberedArial11Outli"/>
        <w:numPr>
          <w:ilvl w:val="0"/>
          <w:numId w:val="0"/>
        </w:numPr>
        <w:jc w:val="both"/>
        <w:rPr>
          <w:rFonts w:ascii="Verdana" w:hAnsi="Verdana"/>
          <w:b w:val="0"/>
          <w:bCs w:val="0"/>
          <w:color w:val="000000" w:themeColor="text1"/>
        </w:rPr>
      </w:pPr>
      <w:r w:rsidRPr="009A730B">
        <w:rPr>
          <w:rFonts w:ascii="Verdana" w:hAnsi="Verdana"/>
          <w:b w:val="0"/>
          <w:bCs w:val="0"/>
          <w:color w:val="000000" w:themeColor="text1"/>
        </w:rPr>
        <w:t xml:space="preserve">From October 2025 onwards, the Committee received staff and patient stories to support its understanding of the impact and benefits of charitable funding. These included the Cwtsh Clos Appeal – Transformation &amp; Benefit, highlighting the positive impact of charitable investment on services and environments, and Why Cwtsh Natur is important for Children’s Mental Health, a patient story shared by Breiallen, which provided valuable insight into the contribution of charitable support to children’s mental health and </w:t>
      </w:r>
      <w:r w:rsidRPr="009A730B">
        <w:rPr>
          <w:rFonts w:ascii="Verdana" w:hAnsi="Verdana"/>
          <w:b w:val="0"/>
          <w:bCs w:val="0"/>
          <w:color w:val="000000" w:themeColor="text1"/>
        </w:rPr>
        <w:lastRenderedPageBreak/>
        <w:t>wellbeing. The inclusion of these stories supported the Committee’s assurance on the real‑world impact of charitable activities.</w:t>
      </w:r>
    </w:p>
    <w:p w14:paraId="57A9B3FA" w14:textId="48EB44D3" w:rsidR="00812FB1" w:rsidRPr="009A730B" w:rsidRDefault="00812FB1" w:rsidP="00CC2EDF">
      <w:pPr>
        <w:pStyle w:val="StyleOutlinenumberedArialOutlinenumberedArial11Outli"/>
        <w:numPr>
          <w:ilvl w:val="0"/>
          <w:numId w:val="0"/>
        </w:numPr>
        <w:jc w:val="both"/>
        <w:rPr>
          <w:rFonts w:ascii="Verdana" w:hAnsi="Verdana"/>
          <w:b w:val="0"/>
          <w:bCs w:val="0"/>
          <w:color w:val="000000" w:themeColor="text1"/>
        </w:rPr>
      </w:pPr>
    </w:p>
    <w:p w14:paraId="2D8C1B62" w14:textId="38E2460A" w:rsidR="00A22D80" w:rsidRPr="00CC2EDF" w:rsidRDefault="3698A635" w:rsidP="00C2615D">
      <w:pPr>
        <w:pStyle w:val="ListParagraph"/>
        <w:numPr>
          <w:ilvl w:val="1"/>
          <w:numId w:val="40"/>
        </w:numPr>
        <w:spacing w:after="0" w:line="240" w:lineRule="auto"/>
        <w:jc w:val="both"/>
        <w:rPr>
          <w:rFonts w:ascii="Verdana" w:hAnsi="Verdana" w:cs="Arial"/>
          <w:b/>
          <w:bCs/>
          <w:color w:val="000000" w:themeColor="text1"/>
          <w:sz w:val="24"/>
          <w:szCs w:val="24"/>
        </w:rPr>
      </w:pPr>
      <w:r w:rsidRPr="00CC2EDF">
        <w:rPr>
          <w:rFonts w:ascii="Verdana" w:hAnsi="Verdana" w:cs="Arial"/>
          <w:b/>
          <w:bCs/>
          <w:color w:val="000000" w:themeColor="text1"/>
          <w:sz w:val="24"/>
          <w:szCs w:val="24"/>
        </w:rPr>
        <w:t>Charitable Funds Finance Update</w:t>
      </w:r>
    </w:p>
    <w:p w14:paraId="29E58ED3" w14:textId="24ACFF37" w:rsidR="00D61D88" w:rsidRPr="009A730B" w:rsidRDefault="207B96BF" w:rsidP="00CC2EDF">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At each meeting, the Committee received a comprehensive financial report on the Charitable Funds. This provided an overview of income and expenditure for the year to date, performance of the investment portfolio, interest earned on cash balances held in commercial bank deposit and fixed-term investment accounts, the overall position of fund balances, and details of legacies and bequests received during the reporting period.</w:t>
      </w:r>
    </w:p>
    <w:p w14:paraId="1A18AC0C" w14:textId="213828FB" w:rsidR="00D61D88" w:rsidRPr="009A730B" w:rsidRDefault="00D61D88" w:rsidP="00CC2EDF">
      <w:pPr>
        <w:spacing w:after="0" w:line="240" w:lineRule="auto"/>
        <w:jc w:val="both"/>
        <w:rPr>
          <w:rFonts w:ascii="Verdana" w:eastAsia="Verdana" w:hAnsi="Verdana" w:cs="Verdana"/>
          <w:color w:val="000000" w:themeColor="text1"/>
          <w:sz w:val="24"/>
          <w:szCs w:val="24"/>
        </w:rPr>
      </w:pPr>
    </w:p>
    <w:p w14:paraId="4CF7CE34" w14:textId="4816E4EE" w:rsidR="61090914" w:rsidRPr="00CC2EDF" w:rsidRDefault="61090914" w:rsidP="00C2615D">
      <w:pPr>
        <w:pStyle w:val="ListParagraph"/>
        <w:numPr>
          <w:ilvl w:val="1"/>
          <w:numId w:val="40"/>
        </w:numPr>
        <w:spacing w:after="0" w:line="240" w:lineRule="auto"/>
        <w:jc w:val="both"/>
        <w:rPr>
          <w:rFonts w:ascii="Verdana" w:eastAsia="Verdana" w:hAnsi="Verdana" w:cs="Verdana"/>
          <w:b/>
          <w:bCs/>
          <w:color w:val="000000" w:themeColor="text1"/>
          <w:sz w:val="24"/>
          <w:szCs w:val="24"/>
        </w:rPr>
      </w:pPr>
      <w:r w:rsidRPr="00CC2EDF">
        <w:rPr>
          <w:rFonts w:ascii="Verdana" w:eastAsia="Verdana" w:hAnsi="Verdana" w:cs="Verdana"/>
          <w:b/>
          <w:bCs/>
          <w:color w:val="000000" w:themeColor="text1"/>
          <w:sz w:val="24"/>
          <w:szCs w:val="24"/>
        </w:rPr>
        <w:t>Review and approval of legacy plans over £30k</w:t>
      </w:r>
    </w:p>
    <w:p w14:paraId="228B8CB7" w14:textId="5505625A" w:rsidR="49220B0B" w:rsidRPr="009A730B" w:rsidRDefault="61090914" w:rsidP="00CC2EDF">
      <w:pPr>
        <w:spacing w:after="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The Committee reviewed and approved legacy plans over £30,000 at its March 2026 meeting.</w:t>
      </w:r>
    </w:p>
    <w:p w14:paraId="17A1EA31" w14:textId="39A2082F" w:rsidR="00456894" w:rsidRPr="009A730B" w:rsidRDefault="00456894" w:rsidP="00CC2EDF">
      <w:pPr>
        <w:spacing w:after="0" w:line="240" w:lineRule="auto"/>
        <w:jc w:val="both"/>
        <w:rPr>
          <w:rFonts w:ascii="Verdana" w:hAnsi="Verdana" w:cs="Arial"/>
          <w:color w:val="000000" w:themeColor="text1"/>
          <w:sz w:val="24"/>
          <w:szCs w:val="24"/>
        </w:rPr>
      </w:pPr>
    </w:p>
    <w:p w14:paraId="3A23440E" w14:textId="29C305C7" w:rsidR="00456894" w:rsidRPr="00CC2EDF" w:rsidRDefault="540646AB" w:rsidP="00C2615D">
      <w:pPr>
        <w:pStyle w:val="ListParagraph"/>
        <w:numPr>
          <w:ilvl w:val="1"/>
          <w:numId w:val="40"/>
        </w:numPr>
        <w:spacing w:after="0" w:line="240" w:lineRule="auto"/>
        <w:jc w:val="both"/>
        <w:rPr>
          <w:rFonts w:ascii="Verdana" w:hAnsi="Verdana" w:cs="Arial"/>
          <w:b/>
          <w:bCs/>
          <w:color w:val="000000" w:themeColor="text1"/>
          <w:sz w:val="24"/>
          <w:szCs w:val="24"/>
        </w:rPr>
      </w:pPr>
      <w:r w:rsidRPr="00CC2EDF">
        <w:rPr>
          <w:rFonts w:ascii="Verdana" w:hAnsi="Verdana" w:cs="Arial"/>
          <w:b/>
          <w:bCs/>
          <w:color w:val="000000" w:themeColor="text1"/>
          <w:sz w:val="24"/>
          <w:szCs w:val="24"/>
        </w:rPr>
        <w:t>Investment Portfolio Update</w:t>
      </w:r>
    </w:p>
    <w:p w14:paraId="3B4099B3" w14:textId="2CFB175E" w:rsidR="6F2B4365" w:rsidRDefault="454FA955" w:rsidP="00CC2EDF">
      <w:pPr>
        <w:pStyle w:val="ListParagraph"/>
        <w:spacing w:after="0" w:line="240" w:lineRule="auto"/>
        <w:ind w:left="0"/>
        <w:jc w:val="both"/>
        <w:rPr>
          <w:rFonts w:ascii="Verdana" w:hAnsi="Verdana" w:cs="Arial"/>
          <w:color w:val="000000" w:themeColor="text1"/>
          <w:sz w:val="24"/>
          <w:szCs w:val="24"/>
        </w:rPr>
      </w:pPr>
      <w:r w:rsidRPr="009A730B">
        <w:rPr>
          <w:rFonts w:ascii="Verdana" w:hAnsi="Verdana" w:cs="Arial"/>
          <w:color w:val="000000" w:themeColor="text1"/>
          <w:sz w:val="24"/>
          <w:szCs w:val="24"/>
        </w:rPr>
        <w:t>At each meeting, the Committee received detailed reports from the Health Board’s appointed investment advisers, Brewin Dolphin. These reports provided comprehensive investment updates, including an overview of portfolio performance, asset allocation, transaction activity, and commentary on UK market conditions and relevant sector developments.</w:t>
      </w:r>
    </w:p>
    <w:p w14:paraId="235763C4" w14:textId="5C4DC9CD" w:rsidR="00CC2EDF" w:rsidRPr="009A730B" w:rsidRDefault="00CC2EDF" w:rsidP="00CC2EDF">
      <w:pPr>
        <w:pStyle w:val="ListParagraph"/>
        <w:spacing w:after="0" w:line="240" w:lineRule="auto"/>
        <w:ind w:left="0"/>
        <w:jc w:val="both"/>
        <w:rPr>
          <w:rFonts w:ascii="Verdana" w:hAnsi="Verdana" w:cs="Arial"/>
          <w:color w:val="000000" w:themeColor="text1"/>
          <w:sz w:val="24"/>
          <w:szCs w:val="24"/>
        </w:rPr>
      </w:pPr>
    </w:p>
    <w:p w14:paraId="5FF564DD" w14:textId="32A669C8" w:rsidR="6F2B4365" w:rsidRPr="00CC2EDF" w:rsidRDefault="4D4E2FF0" w:rsidP="00C2615D">
      <w:pPr>
        <w:pStyle w:val="ListParagraph"/>
        <w:numPr>
          <w:ilvl w:val="1"/>
          <w:numId w:val="40"/>
        </w:numPr>
        <w:spacing w:after="0" w:line="240" w:lineRule="auto"/>
        <w:jc w:val="both"/>
        <w:rPr>
          <w:rFonts w:ascii="Verdana" w:hAnsi="Verdana" w:cs="Arial"/>
          <w:b/>
          <w:bCs/>
          <w:color w:val="000000" w:themeColor="text1"/>
          <w:sz w:val="24"/>
          <w:szCs w:val="24"/>
        </w:rPr>
      </w:pPr>
      <w:r w:rsidRPr="00CC2EDF">
        <w:rPr>
          <w:rFonts w:ascii="Verdana" w:hAnsi="Verdana" w:cs="Arial"/>
          <w:b/>
          <w:bCs/>
          <w:color w:val="000000" w:themeColor="text1"/>
          <w:sz w:val="24"/>
          <w:szCs w:val="24"/>
        </w:rPr>
        <w:t>Approval of an expenditure bid (~£52k) funded from income received</w:t>
      </w:r>
    </w:p>
    <w:p w14:paraId="79490813" w14:textId="0ECCC5EA" w:rsidR="6F2B4365" w:rsidRPr="009A730B" w:rsidRDefault="4D4E2FF0" w:rsidP="00CC2EDF">
      <w:pPr>
        <w:spacing w:after="0" w:line="240" w:lineRule="auto"/>
        <w:jc w:val="both"/>
        <w:rPr>
          <w:rFonts w:ascii="Verdana" w:hAnsi="Verdana" w:cs="Arial"/>
          <w:color w:val="000000" w:themeColor="text1"/>
          <w:sz w:val="24"/>
          <w:szCs w:val="24"/>
        </w:rPr>
      </w:pPr>
      <w:r w:rsidRPr="009A730B">
        <w:rPr>
          <w:rFonts w:ascii="Verdana" w:hAnsi="Verdana" w:cs="Arial"/>
          <w:color w:val="000000" w:themeColor="text1"/>
          <w:sz w:val="24"/>
          <w:szCs w:val="24"/>
        </w:rPr>
        <w:t>At its March 2026 meeting, the Committee approved an expenditure bid of approximately £52k, supported by income received, providing assurance that charitable funds were allocated appropriately and in line with governance requirements.</w:t>
      </w:r>
    </w:p>
    <w:p w14:paraId="068FD547" w14:textId="6C1EEC30" w:rsidR="6F2B4365" w:rsidRPr="009A730B" w:rsidRDefault="6F2B4365" w:rsidP="00CC2EDF">
      <w:pPr>
        <w:pStyle w:val="ListParagraph"/>
        <w:spacing w:after="0" w:line="240" w:lineRule="auto"/>
        <w:ind w:left="0"/>
        <w:jc w:val="both"/>
        <w:rPr>
          <w:rFonts w:ascii="Verdana" w:hAnsi="Verdana" w:cs="Arial"/>
          <w:color w:val="000000" w:themeColor="text1"/>
          <w:sz w:val="24"/>
          <w:szCs w:val="24"/>
        </w:rPr>
      </w:pPr>
    </w:p>
    <w:p w14:paraId="6110BA29" w14:textId="33DD3746" w:rsidR="00BF1E7F" w:rsidRPr="009A730B" w:rsidRDefault="088D6A98" w:rsidP="00C2615D">
      <w:pPr>
        <w:pStyle w:val="Heading2"/>
        <w:numPr>
          <w:ilvl w:val="1"/>
          <w:numId w:val="40"/>
        </w:numPr>
        <w:jc w:val="both"/>
        <w:rPr>
          <w:rFonts w:ascii="Verdana" w:hAnsi="Verdana" w:cs="Arial"/>
          <w:b/>
          <w:bCs/>
          <w:color w:val="000000" w:themeColor="text1"/>
          <w:u w:val="none"/>
        </w:rPr>
      </w:pPr>
      <w:bookmarkStart w:id="1" w:name="_Toc51250070"/>
      <w:r w:rsidRPr="009A730B">
        <w:rPr>
          <w:rFonts w:ascii="Verdana" w:hAnsi="Verdana" w:cs="Arial"/>
          <w:b/>
          <w:bCs/>
          <w:color w:val="000000" w:themeColor="text1"/>
          <w:u w:val="none"/>
        </w:rPr>
        <w:t>New</w:t>
      </w:r>
      <w:r w:rsidR="673005FA" w:rsidRPr="009A730B">
        <w:rPr>
          <w:rFonts w:ascii="Verdana" w:hAnsi="Verdana" w:cs="Arial"/>
          <w:b/>
          <w:bCs/>
          <w:color w:val="000000" w:themeColor="text1"/>
          <w:u w:val="none"/>
        </w:rPr>
        <w:t>/Close</w:t>
      </w:r>
      <w:r w:rsidR="00B25CD1">
        <w:rPr>
          <w:rFonts w:ascii="Verdana" w:hAnsi="Verdana" w:cs="Arial"/>
          <w:b/>
          <w:bCs/>
          <w:color w:val="000000" w:themeColor="text1"/>
          <w:u w:val="none"/>
        </w:rPr>
        <w:t>d</w:t>
      </w:r>
      <w:r w:rsidRPr="009A730B">
        <w:rPr>
          <w:rFonts w:ascii="Verdana" w:hAnsi="Verdana" w:cs="Arial"/>
          <w:b/>
          <w:bCs/>
          <w:color w:val="000000" w:themeColor="text1"/>
          <w:u w:val="none"/>
        </w:rPr>
        <w:t xml:space="preserve"> Funds </w:t>
      </w:r>
      <w:bookmarkEnd w:id="1"/>
    </w:p>
    <w:p w14:paraId="57A1D965" w14:textId="0F3D947E" w:rsidR="50ACD387" w:rsidRPr="009A730B" w:rsidRDefault="50ACD387" w:rsidP="00CC2EDF">
      <w:pPr>
        <w:spacing w:line="240" w:lineRule="auto"/>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In accordance with the Charitable Funds Financial Control Procedure, the Committee received a report at each meeting seeking approval for the establishment of new Charitable Funds</w:t>
      </w:r>
      <w:r w:rsidR="04F791CB" w:rsidRPr="009A730B">
        <w:rPr>
          <w:rFonts w:ascii="Verdana" w:eastAsia="Verdana" w:hAnsi="Verdana" w:cs="Verdana"/>
          <w:color w:val="000000" w:themeColor="text1"/>
          <w:sz w:val="24"/>
          <w:szCs w:val="24"/>
        </w:rPr>
        <w:t xml:space="preserve"> or to close</w:t>
      </w:r>
      <w:r w:rsidRPr="009A730B">
        <w:rPr>
          <w:rFonts w:ascii="Verdana" w:eastAsia="Verdana" w:hAnsi="Verdana" w:cs="Verdana"/>
          <w:color w:val="000000" w:themeColor="text1"/>
          <w:sz w:val="24"/>
          <w:szCs w:val="24"/>
        </w:rPr>
        <w:t>, where required. The following new funds were formally approved</w:t>
      </w:r>
      <w:r w:rsidR="059B4A77" w:rsidRPr="009A730B">
        <w:rPr>
          <w:rFonts w:ascii="Verdana" w:eastAsia="Verdana" w:hAnsi="Verdana" w:cs="Verdana"/>
          <w:color w:val="000000" w:themeColor="text1"/>
          <w:sz w:val="24"/>
          <w:szCs w:val="24"/>
        </w:rPr>
        <w:t>/closed</w:t>
      </w:r>
      <w:r w:rsidRPr="009A730B">
        <w:rPr>
          <w:rFonts w:ascii="Verdana" w:eastAsia="Verdana" w:hAnsi="Verdana" w:cs="Verdana"/>
          <w:color w:val="000000" w:themeColor="text1"/>
          <w:sz w:val="24"/>
          <w:szCs w:val="24"/>
        </w:rPr>
        <w:t xml:space="preserve"> during the 2025/26 period:  </w:t>
      </w:r>
    </w:p>
    <w:p w14:paraId="3C23A6BA" w14:textId="2EE38AAB" w:rsidR="00BF1E7F" w:rsidRPr="009A730B" w:rsidRDefault="4387AE5A" w:rsidP="00C2615D">
      <w:pPr>
        <w:pStyle w:val="ListParagraph"/>
        <w:numPr>
          <w:ilvl w:val="0"/>
          <w:numId w:val="60"/>
        </w:numPr>
        <w:spacing w:before="240" w:after="240" w:line="240" w:lineRule="auto"/>
        <w:jc w:val="both"/>
        <w:rPr>
          <w:rFonts w:ascii="Verdana" w:eastAsia="Verdana" w:hAnsi="Verdana" w:cs="Verdana"/>
          <w:color w:val="000000" w:themeColor="text1"/>
          <w:sz w:val="24"/>
          <w:szCs w:val="24"/>
          <w:lang w:val="en-US"/>
        </w:rPr>
      </w:pPr>
      <w:r w:rsidRPr="009A730B">
        <w:rPr>
          <w:rFonts w:ascii="Verdana" w:eastAsia="Verdana" w:hAnsi="Verdana" w:cs="Verdana"/>
          <w:color w:val="000000" w:themeColor="text1"/>
          <w:sz w:val="24"/>
          <w:szCs w:val="24"/>
          <w:lang w:val="en-US"/>
        </w:rPr>
        <w:t>Children’s Therapy Garden Fund;</w:t>
      </w:r>
    </w:p>
    <w:p w14:paraId="37DEF005" w14:textId="70E2EC87" w:rsidR="00BF1E7F" w:rsidRPr="009A730B" w:rsidRDefault="69136EC5" w:rsidP="00C2615D">
      <w:pPr>
        <w:pStyle w:val="ListParagraph"/>
        <w:numPr>
          <w:ilvl w:val="0"/>
          <w:numId w:val="60"/>
        </w:numPr>
        <w:spacing w:before="240" w:after="240" w:line="240" w:lineRule="auto"/>
        <w:jc w:val="both"/>
        <w:rPr>
          <w:rFonts w:ascii="Verdana" w:eastAsia="Verdana" w:hAnsi="Verdana" w:cs="Verdana"/>
          <w:color w:val="000000" w:themeColor="text1"/>
          <w:sz w:val="24"/>
          <w:szCs w:val="24"/>
          <w:lang w:val="en-US"/>
        </w:rPr>
      </w:pPr>
      <w:r w:rsidRPr="009A730B">
        <w:rPr>
          <w:rFonts w:ascii="Verdana" w:eastAsia="Verdana" w:hAnsi="Verdana" w:cs="Verdana"/>
          <w:color w:val="000000" w:themeColor="text1"/>
          <w:sz w:val="24"/>
          <w:szCs w:val="24"/>
          <w:lang w:val="en-US"/>
        </w:rPr>
        <w:t>Advancing Radiotherapy Cymru Academy (ARC) Academy;</w:t>
      </w:r>
    </w:p>
    <w:p w14:paraId="2EE84075" w14:textId="247DB8AB" w:rsidR="69136EC5" w:rsidRPr="009A730B" w:rsidRDefault="69136EC5" w:rsidP="00C2615D">
      <w:pPr>
        <w:pStyle w:val="ListParagraph"/>
        <w:numPr>
          <w:ilvl w:val="0"/>
          <w:numId w:val="60"/>
        </w:numPr>
        <w:spacing w:before="240" w:after="240" w:line="240" w:lineRule="auto"/>
        <w:jc w:val="both"/>
        <w:rPr>
          <w:rFonts w:ascii="Verdana" w:eastAsia="Verdana" w:hAnsi="Verdana" w:cs="Verdana"/>
          <w:color w:val="000000" w:themeColor="text1"/>
          <w:sz w:val="24"/>
          <w:szCs w:val="24"/>
          <w:lang w:val="en-US"/>
        </w:rPr>
      </w:pPr>
      <w:r w:rsidRPr="009A730B">
        <w:rPr>
          <w:rFonts w:ascii="Verdana" w:eastAsia="Verdana" w:hAnsi="Verdana" w:cs="Verdana"/>
          <w:color w:val="000000" w:themeColor="text1"/>
          <w:sz w:val="24"/>
          <w:szCs w:val="24"/>
          <w:lang w:val="en-US"/>
        </w:rPr>
        <w:t>Head and Oncology Fund (YB 56);</w:t>
      </w:r>
    </w:p>
    <w:p w14:paraId="124855BE" w14:textId="1BF8172A" w:rsidR="69136EC5" w:rsidRPr="009A730B" w:rsidRDefault="69136EC5" w:rsidP="00C2615D">
      <w:pPr>
        <w:pStyle w:val="ListParagraph"/>
        <w:numPr>
          <w:ilvl w:val="0"/>
          <w:numId w:val="60"/>
        </w:numPr>
        <w:spacing w:before="240" w:after="240" w:line="240" w:lineRule="auto"/>
        <w:jc w:val="both"/>
        <w:rPr>
          <w:rFonts w:ascii="Verdana" w:eastAsia="Verdana" w:hAnsi="Verdana" w:cs="Verdana"/>
          <w:color w:val="000000" w:themeColor="text1"/>
          <w:sz w:val="24"/>
          <w:szCs w:val="24"/>
          <w:lang w:val="en-US"/>
        </w:rPr>
      </w:pPr>
      <w:r w:rsidRPr="009A730B">
        <w:rPr>
          <w:rFonts w:ascii="Verdana" w:eastAsia="Verdana" w:hAnsi="Verdana" w:cs="Verdana"/>
          <w:color w:val="000000" w:themeColor="text1"/>
          <w:sz w:val="24"/>
          <w:szCs w:val="24"/>
          <w:lang w:val="en-US"/>
        </w:rPr>
        <w:t>Acute Medical Day Unit Fund (YN 17);</w:t>
      </w:r>
    </w:p>
    <w:p w14:paraId="26BD475D" w14:textId="1C40C6E3" w:rsidR="0F5DACC0" w:rsidRPr="009A730B" w:rsidRDefault="0F5DACC0" w:rsidP="00C2615D">
      <w:pPr>
        <w:pStyle w:val="ListParagraph"/>
        <w:numPr>
          <w:ilvl w:val="0"/>
          <w:numId w:val="60"/>
        </w:numPr>
        <w:spacing w:before="240" w:after="240" w:line="240" w:lineRule="auto"/>
        <w:jc w:val="both"/>
        <w:rPr>
          <w:rFonts w:ascii="Verdana" w:eastAsia="Verdana" w:hAnsi="Verdana" w:cs="Verdana"/>
          <w:color w:val="000000" w:themeColor="text1"/>
          <w:sz w:val="24"/>
          <w:szCs w:val="24"/>
          <w:lang w:val="en-US"/>
        </w:rPr>
      </w:pPr>
      <w:r w:rsidRPr="009A730B">
        <w:rPr>
          <w:rFonts w:ascii="Verdana" w:eastAsia="Verdana" w:hAnsi="Verdana" w:cs="Verdana"/>
          <w:color w:val="000000" w:themeColor="text1"/>
          <w:sz w:val="24"/>
          <w:szCs w:val="24"/>
          <w:lang w:val="en-US"/>
        </w:rPr>
        <w:t>West CCU Patients and Staff Fund;</w:t>
      </w:r>
    </w:p>
    <w:p w14:paraId="3F472F13" w14:textId="668AE28D" w:rsidR="0F5DACC0" w:rsidRDefault="34E81AB0" w:rsidP="00C2615D">
      <w:pPr>
        <w:pStyle w:val="ListParagraph"/>
        <w:numPr>
          <w:ilvl w:val="0"/>
          <w:numId w:val="60"/>
        </w:numPr>
        <w:spacing w:before="240" w:after="240" w:line="240" w:lineRule="auto"/>
        <w:jc w:val="both"/>
        <w:rPr>
          <w:rFonts w:ascii="Verdana" w:eastAsia="Verdana" w:hAnsi="Verdana" w:cs="Verdana"/>
          <w:color w:val="000000" w:themeColor="text1"/>
          <w:sz w:val="24"/>
          <w:szCs w:val="24"/>
        </w:rPr>
      </w:pPr>
      <w:r w:rsidRPr="009A730B">
        <w:rPr>
          <w:rFonts w:ascii="Verdana" w:eastAsia="Verdana" w:hAnsi="Verdana" w:cs="Verdana"/>
          <w:color w:val="000000" w:themeColor="text1"/>
          <w:sz w:val="24"/>
          <w:szCs w:val="24"/>
        </w:rPr>
        <w:t>Singleton Ward One Obs and Ophthalmology Fund</w:t>
      </w:r>
      <w:r w:rsidR="193B01FB" w:rsidRPr="009A730B">
        <w:rPr>
          <w:rFonts w:ascii="Verdana" w:eastAsia="Verdana" w:hAnsi="Verdana" w:cs="Verdana"/>
          <w:color w:val="000000" w:themeColor="text1"/>
          <w:sz w:val="24"/>
          <w:szCs w:val="24"/>
        </w:rPr>
        <w:t>.</w:t>
      </w:r>
      <w:r w:rsidRPr="009A730B">
        <w:rPr>
          <w:rFonts w:ascii="Verdana" w:eastAsia="Verdana" w:hAnsi="Verdana" w:cs="Verdana"/>
          <w:color w:val="000000" w:themeColor="text1"/>
          <w:sz w:val="24"/>
          <w:szCs w:val="24"/>
        </w:rPr>
        <w:t xml:space="preserve">  </w:t>
      </w:r>
    </w:p>
    <w:p w14:paraId="5370910C" w14:textId="166BDB09" w:rsidR="00CC2EDF" w:rsidRPr="009A730B" w:rsidRDefault="00CC2EDF" w:rsidP="00CC2EDF">
      <w:pPr>
        <w:pStyle w:val="ListParagraph"/>
        <w:spacing w:before="240" w:after="240" w:line="240" w:lineRule="auto"/>
        <w:jc w:val="both"/>
        <w:rPr>
          <w:rFonts w:ascii="Verdana" w:eastAsia="Verdana" w:hAnsi="Verdana" w:cs="Verdana"/>
          <w:color w:val="000000" w:themeColor="text1"/>
          <w:sz w:val="24"/>
          <w:szCs w:val="24"/>
        </w:rPr>
      </w:pPr>
    </w:p>
    <w:p w14:paraId="701D566D" w14:textId="77777777" w:rsidR="00792FDA" w:rsidRDefault="00792FDA" w:rsidP="00792FDA">
      <w:pPr>
        <w:pStyle w:val="ListParagraph"/>
        <w:spacing w:after="0" w:line="240" w:lineRule="auto"/>
        <w:jc w:val="both"/>
        <w:rPr>
          <w:rFonts w:ascii="Verdana" w:hAnsi="Verdana" w:cs="Arial"/>
          <w:b/>
          <w:bCs/>
          <w:color w:val="000000" w:themeColor="text1"/>
          <w:sz w:val="24"/>
          <w:szCs w:val="24"/>
        </w:rPr>
      </w:pPr>
    </w:p>
    <w:p w14:paraId="76065393" w14:textId="77777777" w:rsidR="00C2615D" w:rsidRDefault="00C2615D" w:rsidP="00792FDA">
      <w:pPr>
        <w:pStyle w:val="ListParagraph"/>
        <w:spacing w:after="0" w:line="240" w:lineRule="auto"/>
        <w:jc w:val="both"/>
        <w:rPr>
          <w:rFonts w:ascii="Verdana" w:hAnsi="Verdana" w:cs="Arial"/>
          <w:b/>
          <w:bCs/>
          <w:color w:val="000000" w:themeColor="text1"/>
          <w:sz w:val="24"/>
          <w:szCs w:val="24"/>
        </w:rPr>
      </w:pPr>
    </w:p>
    <w:p w14:paraId="6DD51A17" w14:textId="77777777" w:rsidR="00C2615D" w:rsidRDefault="00C2615D" w:rsidP="00792FDA">
      <w:pPr>
        <w:pStyle w:val="ListParagraph"/>
        <w:spacing w:after="0" w:line="240" w:lineRule="auto"/>
        <w:jc w:val="both"/>
        <w:rPr>
          <w:rFonts w:ascii="Verdana" w:hAnsi="Verdana" w:cs="Arial"/>
          <w:b/>
          <w:bCs/>
          <w:color w:val="000000" w:themeColor="text1"/>
          <w:sz w:val="24"/>
          <w:szCs w:val="24"/>
        </w:rPr>
      </w:pPr>
    </w:p>
    <w:p w14:paraId="2734BC87" w14:textId="77777777" w:rsidR="00792FDA" w:rsidRDefault="00792FDA" w:rsidP="00792FDA">
      <w:pPr>
        <w:pStyle w:val="ListParagraph"/>
        <w:spacing w:after="0" w:line="240" w:lineRule="auto"/>
        <w:jc w:val="both"/>
        <w:rPr>
          <w:rFonts w:ascii="Verdana" w:hAnsi="Verdana" w:cs="Arial"/>
          <w:b/>
          <w:bCs/>
          <w:color w:val="000000" w:themeColor="text1"/>
          <w:sz w:val="24"/>
          <w:szCs w:val="24"/>
        </w:rPr>
      </w:pPr>
    </w:p>
    <w:p w14:paraId="174376F8" w14:textId="4B73BDE6" w:rsidR="00456894" w:rsidRPr="002B18F0" w:rsidRDefault="6477D9D3" w:rsidP="00C2615D">
      <w:pPr>
        <w:pStyle w:val="ListParagraph"/>
        <w:numPr>
          <w:ilvl w:val="1"/>
          <w:numId w:val="40"/>
        </w:numPr>
        <w:spacing w:after="0" w:line="240" w:lineRule="auto"/>
        <w:jc w:val="both"/>
        <w:rPr>
          <w:rFonts w:ascii="Verdana" w:hAnsi="Verdana" w:cs="Arial"/>
          <w:b/>
          <w:bCs/>
          <w:color w:val="000000" w:themeColor="text1"/>
          <w:sz w:val="24"/>
          <w:szCs w:val="24"/>
        </w:rPr>
      </w:pPr>
      <w:r w:rsidRPr="002B18F0">
        <w:rPr>
          <w:rFonts w:ascii="Verdana" w:hAnsi="Verdana" w:cs="Arial"/>
          <w:b/>
          <w:bCs/>
          <w:color w:val="000000" w:themeColor="text1"/>
          <w:sz w:val="24"/>
          <w:szCs w:val="24"/>
        </w:rPr>
        <w:lastRenderedPageBreak/>
        <w:t>Unrealised Gains</w:t>
      </w:r>
    </w:p>
    <w:p w14:paraId="762FD573" w14:textId="18DFC693" w:rsidR="6477D9D3" w:rsidRPr="009A730B" w:rsidRDefault="6477D9D3" w:rsidP="00CC2EDF">
      <w:pPr>
        <w:spacing w:after="0" w:line="240" w:lineRule="auto"/>
        <w:jc w:val="both"/>
        <w:rPr>
          <w:rFonts w:ascii="Verdana" w:hAnsi="Verdana" w:cs="Arial"/>
          <w:color w:val="000000" w:themeColor="text1"/>
          <w:sz w:val="24"/>
          <w:szCs w:val="24"/>
        </w:rPr>
      </w:pPr>
      <w:r w:rsidRPr="009A730B">
        <w:rPr>
          <w:rFonts w:ascii="Verdana" w:hAnsi="Verdana" w:cs="Arial"/>
          <w:color w:val="000000" w:themeColor="text1"/>
          <w:sz w:val="24"/>
          <w:szCs w:val="24"/>
        </w:rPr>
        <w:t>During the year, the Committee received reports on unrealised gains within the investment portfolio, including updates considered at the April 2025 and October 2025 meetings. These reports provided oversight of portfolio performance and informed the Committee’s assurance on the ongoing management of Charitable Funds investments.</w:t>
      </w:r>
    </w:p>
    <w:p w14:paraId="02BF0BEF" w14:textId="5AD3EF60" w:rsidR="49220B0B" w:rsidRPr="009A730B" w:rsidRDefault="49220B0B" w:rsidP="00CC2EDF">
      <w:pPr>
        <w:spacing w:after="0" w:line="240" w:lineRule="auto"/>
        <w:jc w:val="both"/>
        <w:rPr>
          <w:rFonts w:ascii="Verdana" w:hAnsi="Verdana" w:cs="Arial"/>
          <w:color w:val="000000" w:themeColor="text1"/>
          <w:sz w:val="24"/>
          <w:szCs w:val="24"/>
        </w:rPr>
      </w:pPr>
    </w:p>
    <w:p w14:paraId="5E3D9F3D" w14:textId="26D1E864" w:rsidR="0DC0D1A8" w:rsidRPr="00CC2EDF" w:rsidRDefault="00CC2EDF" w:rsidP="00CC2EDF">
      <w:pPr>
        <w:spacing w:after="0" w:line="240" w:lineRule="auto"/>
        <w:jc w:val="both"/>
        <w:rPr>
          <w:rFonts w:ascii="Verdana" w:hAnsi="Verdana" w:cs="Arial"/>
          <w:b/>
          <w:bCs/>
          <w:color w:val="000000" w:themeColor="text1"/>
          <w:sz w:val="24"/>
          <w:szCs w:val="24"/>
        </w:rPr>
      </w:pPr>
      <w:r>
        <w:rPr>
          <w:rFonts w:ascii="Verdana" w:hAnsi="Verdana" w:cs="Arial"/>
          <w:b/>
          <w:bCs/>
          <w:color w:val="000000" w:themeColor="text1"/>
          <w:sz w:val="24"/>
          <w:szCs w:val="24"/>
        </w:rPr>
        <w:t>8.</w:t>
      </w:r>
      <w:r w:rsidR="005F5A3B">
        <w:rPr>
          <w:rFonts w:ascii="Verdana" w:hAnsi="Verdana" w:cs="Arial"/>
          <w:b/>
          <w:bCs/>
          <w:color w:val="000000" w:themeColor="text1"/>
          <w:sz w:val="24"/>
          <w:szCs w:val="24"/>
        </w:rPr>
        <w:t xml:space="preserve">8 </w:t>
      </w:r>
      <w:r w:rsidR="0DC0D1A8" w:rsidRPr="00CC2EDF">
        <w:rPr>
          <w:rFonts w:ascii="Verdana" w:hAnsi="Verdana" w:cs="Arial"/>
          <w:b/>
          <w:bCs/>
          <w:color w:val="000000" w:themeColor="text1"/>
          <w:sz w:val="24"/>
          <w:szCs w:val="24"/>
        </w:rPr>
        <w:t xml:space="preserve">Charity Strategy </w:t>
      </w:r>
    </w:p>
    <w:p w14:paraId="1AC4B628" w14:textId="0A95B586" w:rsidR="522D3E07" w:rsidRPr="009A730B" w:rsidRDefault="522D3E07" w:rsidP="00CC2EDF">
      <w:pPr>
        <w:spacing w:after="0" w:line="240" w:lineRule="auto"/>
        <w:jc w:val="both"/>
        <w:rPr>
          <w:rFonts w:ascii="Verdana" w:hAnsi="Verdana" w:cs="Arial"/>
          <w:color w:val="000000" w:themeColor="text1"/>
          <w:sz w:val="24"/>
          <w:szCs w:val="24"/>
        </w:rPr>
      </w:pPr>
      <w:r w:rsidRPr="009A730B">
        <w:rPr>
          <w:rFonts w:ascii="Verdana" w:hAnsi="Verdana" w:cs="Arial"/>
          <w:color w:val="000000" w:themeColor="text1"/>
          <w:sz w:val="24"/>
          <w:szCs w:val="24"/>
        </w:rPr>
        <w:t>The Committee considered and received an update on the Charity Strategy at its meeting in April 2025, providing oversight of the strategic direction and priorities for the development of the Charitable Funds.</w:t>
      </w:r>
    </w:p>
    <w:p w14:paraId="1CE47C65" w14:textId="013587A7" w:rsidR="49220B0B" w:rsidRPr="009A730B" w:rsidRDefault="49220B0B" w:rsidP="00CC2EDF">
      <w:pPr>
        <w:spacing w:after="0" w:line="240" w:lineRule="auto"/>
        <w:jc w:val="both"/>
        <w:rPr>
          <w:rFonts w:ascii="Verdana" w:hAnsi="Verdana" w:cs="Arial"/>
          <w:color w:val="000000" w:themeColor="text1"/>
          <w:sz w:val="24"/>
          <w:szCs w:val="24"/>
        </w:rPr>
      </w:pPr>
    </w:p>
    <w:p w14:paraId="1983894A" w14:textId="2234DB42" w:rsidR="49220B0B" w:rsidRPr="0057260C" w:rsidRDefault="043E634A" w:rsidP="00C2615D">
      <w:pPr>
        <w:pStyle w:val="ListParagraph"/>
        <w:numPr>
          <w:ilvl w:val="1"/>
          <w:numId w:val="41"/>
        </w:numPr>
        <w:spacing w:after="0" w:line="240" w:lineRule="auto"/>
        <w:jc w:val="both"/>
        <w:rPr>
          <w:rFonts w:ascii="Verdana" w:hAnsi="Verdana" w:cs="Arial"/>
          <w:b/>
          <w:bCs/>
          <w:color w:val="000000" w:themeColor="text1"/>
          <w:sz w:val="24"/>
          <w:szCs w:val="24"/>
        </w:rPr>
      </w:pPr>
      <w:r w:rsidRPr="005F5A3B">
        <w:rPr>
          <w:rFonts w:ascii="Verdana" w:hAnsi="Verdana" w:cs="Arial"/>
          <w:b/>
          <w:bCs/>
          <w:color w:val="000000" w:themeColor="text1"/>
          <w:sz w:val="24"/>
          <w:szCs w:val="24"/>
        </w:rPr>
        <w:t>Credit Card Policy review</w:t>
      </w:r>
    </w:p>
    <w:p w14:paraId="6781B3F6" w14:textId="3E481788" w:rsidR="043E634A" w:rsidRPr="009A730B" w:rsidRDefault="043E634A" w:rsidP="00CC2EDF">
      <w:pPr>
        <w:spacing w:after="0" w:line="240" w:lineRule="auto"/>
        <w:jc w:val="both"/>
        <w:rPr>
          <w:rFonts w:ascii="Verdana" w:hAnsi="Verdana" w:cs="Arial"/>
          <w:color w:val="000000" w:themeColor="text1"/>
          <w:sz w:val="24"/>
          <w:szCs w:val="24"/>
        </w:rPr>
      </w:pPr>
      <w:r w:rsidRPr="009A730B">
        <w:rPr>
          <w:rFonts w:ascii="Verdana" w:hAnsi="Verdana" w:cs="Arial"/>
          <w:color w:val="000000" w:themeColor="text1"/>
          <w:sz w:val="24"/>
          <w:szCs w:val="24"/>
        </w:rPr>
        <w:t>The Committee reviewed and approved the Credit Card Policy at its March 2026 meeting.</w:t>
      </w:r>
    </w:p>
    <w:p w14:paraId="57F59DC0" w14:textId="54883DDF" w:rsidR="49220B0B" w:rsidRPr="009A730B" w:rsidRDefault="49220B0B" w:rsidP="00CC2EDF">
      <w:pPr>
        <w:spacing w:after="0" w:line="240" w:lineRule="auto"/>
        <w:jc w:val="both"/>
        <w:rPr>
          <w:rFonts w:ascii="Verdana" w:hAnsi="Verdana" w:cs="Arial"/>
          <w:color w:val="000000" w:themeColor="text1"/>
          <w:sz w:val="24"/>
          <w:szCs w:val="24"/>
        </w:rPr>
      </w:pPr>
    </w:p>
    <w:p w14:paraId="36CCDE03" w14:textId="37CB222F" w:rsidR="305B4CC4" w:rsidRPr="005F5A3B" w:rsidRDefault="005F5A3B" w:rsidP="005F5A3B">
      <w:pPr>
        <w:spacing w:after="0" w:line="240" w:lineRule="auto"/>
        <w:jc w:val="both"/>
        <w:rPr>
          <w:rFonts w:ascii="Verdana" w:hAnsi="Verdana" w:cs="Arial"/>
          <w:b/>
          <w:bCs/>
          <w:color w:val="000000" w:themeColor="text1"/>
          <w:sz w:val="24"/>
          <w:szCs w:val="24"/>
        </w:rPr>
      </w:pPr>
      <w:r>
        <w:rPr>
          <w:rFonts w:ascii="Verdana" w:hAnsi="Verdana" w:cs="Arial"/>
          <w:b/>
          <w:bCs/>
          <w:color w:val="000000" w:themeColor="text1"/>
          <w:sz w:val="24"/>
          <w:szCs w:val="24"/>
        </w:rPr>
        <w:t>8.</w:t>
      </w:r>
      <w:r w:rsidR="00F33FAA">
        <w:rPr>
          <w:rFonts w:ascii="Verdana" w:hAnsi="Verdana" w:cs="Arial"/>
          <w:b/>
          <w:bCs/>
          <w:color w:val="000000" w:themeColor="text1"/>
          <w:sz w:val="24"/>
          <w:szCs w:val="24"/>
        </w:rPr>
        <w:t xml:space="preserve">10 </w:t>
      </w:r>
      <w:r w:rsidR="305B4CC4" w:rsidRPr="005F5A3B">
        <w:rPr>
          <w:rFonts w:ascii="Verdana" w:hAnsi="Verdana" w:cs="Arial"/>
          <w:b/>
          <w:bCs/>
          <w:color w:val="000000" w:themeColor="text1"/>
          <w:sz w:val="24"/>
          <w:szCs w:val="24"/>
        </w:rPr>
        <w:t>Christmas Festivities at Glanrhyd Hospital</w:t>
      </w:r>
    </w:p>
    <w:p w14:paraId="5FC4201F" w14:textId="228724B2" w:rsidR="305B4CC4" w:rsidRPr="009A730B" w:rsidRDefault="305B4CC4" w:rsidP="00CC2EDF">
      <w:pPr>
        <w:spacing w:after="0" w:line="240" w:lineRule="auto"/>
        <w:jc w:val="both"/>
        <w:rPr>
          <w:rFonts w:ascii="Verdana" w:hAnsi="Verdana" w:cs="Arial"/>
          <w:color w:val="000000" w:themeColor="text1"/>
          <w:sz w:val="24"/>
          <w:szCs w:val="24"/>
        </w:rPr>
      </w:pPr>
      <w:r w:rsidRPr="009A730B">
        <w:rPr>
          <w:rFonts w:ascii="Verdana" w:hAnsi="Verdana" w:cs="Arial"/>
          <w:color w:val="000000" w:themeColor="text1"/>
          <w:sz w:val="24"/>
          <w:szCs w:val="24"/>
        </w:rPr>
        <w:t>The Committee considered and approved a report at its October 2025 meeting relating to funding for Christmas Festivities at Glanrhyd Hospital. This provided assurance that charitable funding was used to support patient experience and wellbeing across wards where there was no access to local charitable funds.</w:t>
      </w:r>
    </w:p>
    <w:p w14:paraId="5CA959A3" w14:textId="77777777" w:rsidR="002A7D3A" w:rsidRPr="009A730B" w:rsidRDefault="002A7D3A" w:rsidP="00CC2EDF">
      <w:pPr>
        <w:spacing w:after="0" w:line="240" w:lineRule="auto"/>
        <w:jc w:val="both"/>
        <w:rPr>
          <w:rFonts w:ascii="Verdana" w:hAnsi="Verdana" w:cs="Arial"/>
          <w:color w:val="000000" w:themeColor="text1"/>
          <w:sz w:val="24"/>
          <w:szCs w:val="24"/>
        </w:rPr>
      </w:pPr>
    </w:p>
    <w:p w14:paraId="5FC93CD2" w14:textId="7CC0EADD" w:rsidR="356F288A" w:rsidRPr="00F33FAA" w:rsidRDefault="356F288A" w:rsidP="00C2615D">
      <w:pPr>
        <w:pStyle w:val="ListParagraph"/>
        <w:numPr>
          <w:ilvl w:val="1"/>
          <w:numId w:val="42"/>
        </w:numPr>
        <w:spacing w:after="0" w:line="240" w:lineRule="auto"/>
        <w:jc w:val="both"/>
        <w:rPr>
          <w:rFonts w:ascii="Verdana" w:hAnsi="Verdana" w:cs="Arial"/>
          <w:b/>
          <w:bCs/>
          <w:color w:val="000000" w:themeColor="text1"/>
          <w:sz w:val="24"/>
          <w:szCs w:val="24"/>
        </w:rPr>
      </w:pPr>
      <w:r w:rsidRPr="00F33FAA">
        <w:rPr>
          <w:rFonts w:ascii="Verdana" w:hAnsi="Verdana" w:cs="Arial"/>
          <w:b/>
          <w:bCs/>
          <w:color w:val="000000" w:themeColor="text1"/>
          <w:sz w:val="24"/>
          <w:szCs w:val="24"/>
        </w:rPr>
        <w:t>Charitable Funds Committee annual report</w:t>
      </w:r>
    </w:p>
    <w:p w14:paraId="1A3D7EB5" w14:textId="1A098C3E" w:rsidR="356F288A" w:rsidRPr="009A730B" w:rsidRDefault="356F288A" w:rsidP="00CC2EDF">
      <w:pPr>
        <w:spacing w:after="0" w:line="240" w:lineRule="auto"/>
        <w:jc w:val="both"/>
        <w:rPr>
          <w:rFonts w:ascii="Verdana" w:hAnsi="Verdana" w:cs="Arial"/>
          <w:color w:val="000000" w:themeColor="text1"/>
          <w:sz w:val="24"/>
          <w:szCs w:val="24"/>
        </w:rPr>
      </w:pPr>
      <w:r w:rsidRPr="009A730B">
        <w:rPr>
          <w:rFonts w:ascii="Verdana" w:hAnsi="Verdana" w:cs="Arial"/>
          <w:color w:val="000000" w:themeColor="text1"/>
          <w:sz w:val="24"/>
          <w:szCs w:val="24"/>
        </w:rPr>
        <w:t>The Committee received and reviewed the Charitable Funds Financial Plan in June 2025, including consideration of top‑slicing arrangements and alignment with the Charity Strategy.</w:t>
      </w:r>
    </w:p>
    <w:p w14:paraId="567719DB" w14:textId="62BF35D9" w:rsidR="6F2B4365" w:rsidRPr="009A730B" w:rsidRDefault="6F2B4365" w:rsidP="00CC2EDF">
      <w:pPr>
        <w:spacing w:after="0" w:line="240" w:lineRule="auto"/>
        <w:rPr>
          <w:rFonts w:ascii="Verdana" w:eastAsia="Verdana" w:hAnsi="Verdana" w:cs="Verdana"/>
          <w:color w:val="000000" w:themeColor="text1"/>
          <w:sz w:val="24"/>
          <w:szCs w:val="24"/>
        </w:rPr>
      </w:pPr>
    </w:p>
    <w:p w14:paraId="27180209" w14:textId="206E692A" w:rsidR="4C6B5F6D" w:rsidRPr="00F33FAA" w:rsidRDefault="4C6B5F6D" w:rsidP="00C2615D">
      <w:pPr>
        <w:pStyle w:val="ListParagraph"/>
        <w:numPr>
          <w:ilvl w:val="1"/>
          <w:numId w:val="42"/>
        </w:numPr>
        <w:spacing w:after="0" w:line="240" w:lineRule="auto"/>
        <w:jc w:val="both"/>
        <w:rPr>
          <w:rFonts w:ascii="Verdana" w:hAnsi="Verdana" w:cs="Arial"/>
          <w:b/>
          <w:bCs/>
          <w:color w:val="000000" w:themeColor="text1"/>
          <w:sz w:val="24"/>
          <w:szCs w:val="24"/>
        </w:rPr>
      </w:pPr>
      <w:r w:rsidRPr="00F33FAA">
        <w:rPr>
          <w:rFonts w:ascii="Verdana" w:hAnsi="Verdana" w:cs="Arial"/>
          <w:b/>
          <w:bCs/>
          <w:color w:val="000000" w:themeColor="text1"/>
          <w:sz w:val="24"/>
          <w:szCs w:val="24"/>
        </w:rPr>
        <w:t>Charity Team</w:t>
      </w:r>
      <w:r w:rsidR="088D6A98" w:rsidRPr="00F33FAA">
        <w:rPr>
          <w:rFonts w:ascii="Verdana" w:hAnsi="Verdana" w:cs="Arial"/>
          <w:b/>
          <w:bCs/>
          <w:color w:val="000000" w:themeColor="text1"/>
          <w:sz w:val="24"/>
          <w:szCs w:val="24"/>
        </w:rPr>
        <w:t xml:space="preserve"> </w:t>
      </w:r>
      <w:r w:rsidR="6BB14119" w:rsidRPr="00F33FAA">
        <w:rPr>
          <w:rFonts w:ascii="Verdana" w:hAnsi="Verdana" w:cs="Arial"/>
          <w:b/>
          <w:bCs/>
          <w:color w:val="000000" w:themeColor="text1"/>
          <w:sz w:val="24"/>
          <w:szCs w:val="24"/>
        </w:rPr>
        <w:t>Update</w:t>
      </w:r>
    </w:p>
    <w:p w14:paraId="0E6F19E1" w14:textId="58EF412A" w:rsidR="006110FC" w:rsidRPr="009A730B" w:rsidRDefault="32CE6E03" w:rsidP="00CC2EDF">
      <w:pPr>
        <w:pStyle w:val="ListParagraph"/>
        <w:spacing w:after="0" w:line="240" w:lineRule="auto"/>
        <w:ind w:left="0"/>
        <w:jc w:val="both"/>
        <w:rPr>
          <w:rFonts w:ascii="Verdana" w:hAnsi="Verdana" w:cs="Arial"/>
          <w:color w:val="000000" w:themeColor="text1"/>
          <w:sz w:val="24"/>
          <w:szCs w:val="24"/>
        </w:rPr>
      </w:pPr>
      <w:r w:rsidRPr="009A730B">
        <w:rPr>
          <w:rFonts w:ascii="Verdana" w:hAnsi="Verdana" w:cs="Arial"/>
          <w:color w:val="000000" w:themeColor="text1"/>
          <w:sz w:val="24"/>
          <w:szCs w:val="24"/>
        </w:rPr>
        <w:t>At each meeting, the Committee received an update report from the Charity Team. These reports provided an overview of progress in delivering the Charity’s objectives, including updates on staffing arrangements, actions undertaken in support of the Charitable Funds Strategy, and planned future activity to support the ongoing development of the charity.</w:t>
      </w:r>
    </w:p>
    <w:p w14:paraId="35471782" w14:textId="2DECAB4C" w:rsidR="49220B0B" w:rsidRPr="00B25CD1" w:rsidRDefault="49220B0B" w:rsidP="00B25CD1">
      <w:pPr>
        <w:spacing w:after="0" w:line="240" w:lineRule="auto"/>
        <w:jc w:val="both"/>
        <w:rPr>
          <w:rFonts w:ascii="Verdana" w:hAnsi="Verdana" w:cs="Arial"/>
          <w:color w:val="000000" w:themeColor="text1"/>
          <w:sz w:val="24"/>
          <w:szCs w:val="24"/>
        </w:rPr>
      </w:pPr>
    </w:p>
    <w:p w14:paraId="3EE2D05D" w14:textId="140969A0" w:rsidR="00076750" w:rsidRPr="00F33FAA" w:rsidRDefault="52795477" w:rsidP="00C2615D">
      <w:pPr>
        <w:pStyle w:val="ListParagraph"/>
        <w:numPr>
          <w:ilvl w:val="1"/>
          <w:numId w:val="42"/>
        </w:numPr>
        <w:spacing w:after="0" w:line="240" w:lineRule="auto"/>
        <w:jc w:val="both"/>
        <w:rPr>
          <w:rFonts w:ascii="Verdana" w:hAnsi="Verdana" w:cs="Arial"/>
          <w:b/>
          <w:bCs/>
          <w:color w:val="000000" w:themeColor="text1"/>
          <w:sz w:val="24"/>
          <w:szCs w:val="24"/>
        </w:rPr>
      </w:pPr>
      <w:r w:rsidRPr="00F33FAA">
        <w:rPr>
          <w:rFonts w:ascii="Verdana" w:hAnsi="Verdana" w:cs="Arial"/>
          <w:b/>
          <w:bCs/>
          <w:color w:val="000000" w:themeColor="text1"/>
          <w:sz w:val="24"/>
          <w:szCs w:val="24"/>
        </w:rPr>
        <w:t>Staff employed by Charitable Funds</w:t>
      </w:r>
    </w:p>
    <w:p w14:paraId="510B6CC7" w14:textId="14C6A095" w:rsidR="00076750" w:rsidRPr="009A730B" w:rsidRDefault="52795477" w:rsidP="00CC2EDF">
      <w:pPr>
        <w:spacing w:after="0" w:line="240" w:lineRule="auto"/>
        <w:jc w:val="both"/>
        <w:rPr>
          <w:rFonts w:ascii="Verdana" w:hAnsi="Verdana" w:cs="Arial"/>
          <w:color w:val="000000" w:themeColor="text1"/>
          <w:sz w:val="24"/>
          <w:szCs w:val="24"/>
        </w:rPr>
      </w:pPr>
      <w:r w:rsidRPr="009A730B">
        <w:rPr>
          <w:rFonts w:ascii="Verdana" w:hAnsi="Verdana" w:cs="Arial"/>
          <w:color w:val="000000" w:themeColor="text1"/>
          <w:sz w:val="24"/>
          <w:szCs w:val="24"/>
        </w:rPr>
        <w:t>At its June 2025 meeting, the Committee received and reviewed an update on staff employed by the Charitable Funds. This provided oversight of staffing arrangements supporting the delivery of charitable activities and ensured alignment with the Charity’s strategic objectives.</w:t>
      </w:r>
    </w:p>
    <w:p w14:paraId="2C9CFB1B" w14:textId="7698D0CC" w:rsidR="00076750" w:rsidRPr="009A730B" w:rsidRDefault="00076750" w:rsidP="00CC2EDF">
      <w:pPr>
        <w:spacing w:after="0" w:line="240" w:lineRule="auto"/>
        <w:jc w:val="both"/>
        <w:rPr>
          <w:rFonts w:ascii="Verdana" w:hAnsi="Verdana" w:cs="Arial"/>
          <w:color w:val="000000" w:themeColor="text1"/>
          <w:sz w:val="24"/>
          <w:szCs w:val="24"/>
        </w:rPr>
      </w:pPr>
    </w:p>
    <w:p w14:paraId="4E6A8654" w14:textId="0904962C" w:rsidR="00076750" w:rsidRPr="00F33FAA" w:rsidRDefault="22452393" w:rsidP="00C2615D">
      <w:pPr>
        <w:pStyle w:val="ListParagraph"/>
        <w:numPr>
          <w:ilvl w:val="1"/>
          <w:numId w:val="42"/>
        </w:numPr>
        <w:spacing w:after="0" w:line="240" w:lineRule="auto"/>
        <w:jc w:val="both"/>
        <w:rPr>
          <w:rFonts w:ascii="Verdana" w:hAnsi="Verdana" w:cs="Arial"/>
          <w:b/>
          <w:bCs/>
          <w:color w:val="000000" w:themeColor="text1"/>
          <w:sz w:val="24"/>
          <w:szCs w:val="24"/>
        </w:rPr>
      </w:pPr>
      <w:r w:rsidRPr="00F33FAA">
        <w:rPr>
          <w:rFonts w:ascii="Verdana" w:hAnsi="Verdana" w:cs="Arial"/>
          <w:b/>
          <w:bCs/>
          <w:color w:val="000000" w:themeColor="text1"/>
          <w:sz w:val="24"/>
          <w:szCs w:val="24"/>
        </w:rPr>
        <w:t>Investment Strategy Report</w:t>
      </w:r>
    </w:p>
    <w:p w14:paraId="2B0DEB1A" w14:textId="2FD05BD2" w:rsidR="00076750" w:rsidRPr="009A730B" w:rsidRDefault="22452393" w:rsidP="00CC2EDF">
      <w:pPr>
        <w:spacing w:after="0" w:line="240" w:lineRule="auto"/>
        <w:jc w:val="both"/>
        <w:rPr>
          <w:rFonts w:ascii="Verdana" w:hAnsi="Verdana" w:cs="Arial"/>
          <w:color w:val="000000" w:themeColor="text1"/>
          <w:sz w:val="24"/>
          <w:szCs w:val="24"/>
        </w:rPr>
      </w:pPr>
      <w:r w:rsidRPr="009A730B">
        <w:rPr>
          <w:rFonts w:ascii="Verdana" w:hAnsi="Verdana" w:cs="Arial"/>
          <w:color w:val="000000" w:themeColor="text1"/>
          <w:sz w:val="24"/>
          <w:szCs w:val="24"/>
        </w:rPr>
        <w:t>The Committee ratified the Investment Strategy Report at its October 2025 meeting.</w:t>
      </w:r>
    </w:p>
    <w:p w14:paraId="3B344AC0" w14:textId="459CC647" w:rsidR="00076750" w:rsidRDefault="00076750" w:rsidP="00CC2EDF">
      <w:pPr>
        <w:spacing w:after="0" w:line="240" w:lineRule="auto"/>
        <w:jc w:val="both"/>
        <w:rPr>
          <w:rFonts w:ascii="Verdana" w:hAnsi="Verdana" w:cs="Arial"/>
          <w:color w:val="000000" w:themeColor="text1"/>
          <w:sz w:val="24"/>
          <w:szCs w:val="24"/>
        </w:rPr>
      </w:pPr>
    </w:p>
    <w:p w14:paraId="55E08090" w14:textId="77777777" w:rsidR="008B40AB" w:rsidRDefault="008B40AB" w:rsidP="00CC2EDF">
      <w:pPr>
        <w:spacing w:after="0" w:line="240" w:lineRule="auto"/>
        <w:jc w:val="both"/>
        <w:rPr>
          <w:rFonts w:ascii="Verdana" w:hAnsi="Verdana" w:cs="Arial"/>
          <w:color w:val="000000" w:themeColor="text1"/>
          <w:sz w:val="24"/>
          <w:szCs w:val="24"/>
        </w:rPr>
      </w:pPr>
    </w:p>
    <w:p w14:paraId="3FAA1476" w14:textId="77777777" w:rsidR="008B40AB" w:rsidRPr="009A730B" w:rsidRDefault="008B40AB" w:rsidP="00CC2EDF">
      <w:pPr>
        <w:spacing w:after="0" w:line="240" w:lineRule="auto"/>
        <w:jc w:val="both"/>
        <w:rPr>
          <w:rFonts w:ascii="Verdana" w:hAnsi="Verdana" w:cs="Arial"/>
          <w:color w:val="000000" w:themeColor="text1"/>
          <w:sz w:val="24"/>
          <w:szCs w:val="24"/>
        </w:rPr>
      </w:pPr>
    </w:p>
    <w:p w14:paraId="305BEFD2" w14:textId="690E315C" w:rsidR="00076750" w:rsidRPr="00F33FAA" w:rsidRDefault="62ED683D" w:rsidP="00C2615D">
      <w:pPr>
        <w:pStyle w:val="ListParagraph"/>
        <w:numPr>
          <w:ilvl w:val="1"/>
          <w:numId w:val="42"/>
        </w:numPr>
        <w:spacing w:after="0" w:line="240" w:lineRule="auto"/>
        <w:jc w:val="both"/>
        <w:rPr>
          <w:rFonts w:ascii="Verdana" w:hAnsi="Verdana" w:cs="Arial"/>
          <w:b/>
          <w:bCs/>
          <w:color w:val="000000" w:themeColor="text1"/>
          <w:sz w:val="24"/>
          <w:szCs w:val="24"/>
        </w:rPr>
      </w:pPr>
      <w:r w:rsidRPr="00F33FAA">
        <w:rPr>
          <w:rFonts w:ascii="Verdana" w:hAnsi="Verdana" w:cs="Arial"/>
          <w:b/>
          <w:bCs/>
          <w:color w:val="000000" w:themeColor="text1"/>
          <w:sz w:val="24"/>
          <w:szCs w:val="24"/>
        </w:rPr>
        <w:lastRenderedPageBreak/>
        <w:t>NHSCT membership</w:t>
      </w:r>
    </w:p>
    <w:p w14:paraId="4D4A0BEE" w14:textId="26DCFE01" w:rsidR="00076750" w:rsidRPr="009A730B" w:rsidRDefault="62ED683D" w:rsidP="00CC2EDF">
      <w:pPr>
        <w:spacing w:after="0" w:line="240" w:lineRule="auto"/>
        <w:jc w:val="both"/>
        <w:rPr>
          <w:rFonts w:ascii="Verdana" w:hAnsi="Verdana" w:cs="Arial"/>
          <w:sz w:val="24"/>
          <w:szCs w:val="24"/>
        </w:rPr>
      </w:pPr>
      <w:r w:rsidRPr="009A730B">
        <w:rPr>
          <w:rFonts w:ascii="Verdana" w:hAnsi="Verdana" w:cs="Arial"/>
          <w:color w:val="000000" w:themeColor="text1"/>
          <w:sz w:val="24"/>
          <w:szCs w:val="24"/>
        </w:rPr>
        <w:t>At its March 2026 meeting, the Committee considered and agreed in principle to NHSCT membership, providing oversight of the proposal and its alig</w:t>
      </w:r>
      <w:r w:rsidRPr="009A730B">
        <w:rPr>
          <w:rFonts w:ascii="Verdana" w:hAnsi="Verdana" w:cs="Arial"/>
          <w:sz w:val="24"/>
          <w:szCs w:val="24"/>
        </w:rPr>
        <w:t>nment with the aims and activities of the Charity.</w:t>
      </w:r>
    </w:p>
    <w:p w14:paraId="636672C9" w14:textId="36030F49" w:rsidR="00076750" w:rsidRPr="009A730B" w:rsidRDefault="00076750" w:rsidP="00CC2EDF">
      <w:pPr>
        <w:spacing w:after="0" w:line="240" w:lineRule="auto"/>
        <w:jc w:val="both"/>
        <w:rPr>
          <w:rFonts w:ascii="Verdana" w:hAnsi="Verdana" w:cs="Arial"/>
          <w:sz w:val="24"/>
          <w:szCs w:val="24"/>
        </w:rPr>
      </w:pPr>
    </w:p>
    <w:p w14:paraId="499332AC" w14:textId="25CED0FC" w:rsidR="00076750" w:rsidRPr="000B5CCC" w:rsidRDefault="1D5909D1" w:rsidP="00C2615D">
      <w:pPr>
        <w:pStyle w:val="ListParagraph"/>
        <w:numPr>
          <w:ilvl w:val="1"/>
          <w:numId w:val="42"/>
        </w:numPr>
        <w:spacing w:after="0" w:line="240" w:lineRule="auto"/>
        <w:jc w:val="both"/>
        <w:rPr>
          <w:rFonts w:ascii="Verdana" w:hAnsi="Verdana" w:cs="Arial"/>
          <w:sz w:val="24"/>
          <w:szCs w:val="24"/>
        </w:rPr>
      </w:pPr>
      <w:r w:rsidRPr="000B5CCC">
        <w:rPr>
          <w:rFonts w:ascii="Verdana" w:hAnsi="Verdana" w:cs="Arial"/>
          <w:b/>
          <w:bCs/>
          <w:sz w:val="24"/>
          <w:szCs w:val="24"/>
        </w:rPr>
        <w:t>Committee Self-Assessment</w:t>
      </w:r>
    </w:p>
    <w:p w14:paraId="36AB118D" w14:textId="3C09F0EC" w:rsidR="00743A98" w:rsidRPr="009A730B" w:rsidRDefault="4348C41B" w:rsidP="00CC2EDF">
      <w:pPr>
        <w:spacing w:after="0" w:line="240" w:lineRule="auto"/>
        <w:jc w:val="both"/>
        <w:rPr>
          <w:rFonts w:ascii="Verdana" w:hAnsi="Verdana" w:cs="Arial"/>
          <w:sz w:val="24"/>
          <w:szCs w:val="24"/>
        </w:rPr>
      </w:pPr>
      <w:r w:rsidRPr="009A730B">
        <w:rPr>
          <w:rFonts w:ascii="Verdana" w:hAnsi="Verdana" w:cs="Arial"/>
          <w:sz w:val="24"/>
          <w:szCs w:val="24"/>
        </w:rPr>
        <w:t>In line with Board and Audit Wales requirements, the Charitable Funds Committee undertook bi‑annual self‑assessments of its effectiveness during the year, completed in April 2025 and October 2025. The outcomes were considered by the Committee and used to identify areas of good practice and opportunities for continuous improvement.</w:t>
      </w:r>
    </w:p>
    <w:p w14:paraId="5327E3A0" w14:textId="77777777" w:rsidR="0057260C" w:rsidRDefault="0057260C" w:rsidP="000B5CCC">
      <w:pPr>
        <w:spacing w:after="0" w:line="240" w:lineRule="auto"/>
        <w:jc w:val="both"/>
        <w:rPr>
          <w:rFonts w:ascii="Verdana" w:hAnsi="Verdana" w:cs="Arial"/>
          <w:b/>
          <w:bCs/>
          <w:sz w:val="24"/>
          <w:szCs w:val="24"/>
        </w:rPr>
      </w:pPr>
    </w:p>
    <w:p w14:paraId="55712974" w14:textId="442178E6" w:rsidR="73CD9B3B" w:rsidRPr="000B5CCC" w:rsidRDefault="000B5CCC" w:rsidP="000B5CCC">
      <w:pPr>
        <w:spacing w:after="0" w:line="240" w:lineRule="auto"/>
        <w:jc w:val="both"/>
        <w:rPr>
          <w:rFonts w:ascii="Verdana" w:eastAsia="Verdana" w:hAnsi="Verdana" w:cs="Verdana"/>
          <w:sz w:val="24"/>
          <w:szCs w:val="24"/>
        </w:rPr>
      </w:pPr>
      <w:r w:rsidRPr="000B5CCC">
        <w:rPr>
          <w:rFonts w:ascii="Verdana" w:hAnsi="Verdana" w:cs="Arial"/>
          <w:b/>
          <w:bCs/>
          <w:sz w:val="24"/>
          <w:szCs w:val="24"/>
        </w:rPr>
        <w:t>8.17</w:t>
      </w:r>
      <w:r>
        <w:rPr>
          <w:rFonts w:ascii="Verdana" w:hAnsi="Verdana" w:cs="Arial"/>
          <w:sz w:val="24"/>
          <w:szCs w:val="24"/>
        </w:rPr>
        <w:t xml:space="preserve"> </w:t>
      </w:r>
      <w:r w:rsidR="73CD9B3B" w:rsidRPr="000B5CCC">
        <w:rPr>
          <w:rFonts w:ascii="Verdana" w:eastAsia="Verdana" w:hAnsi="Verdana" w:cs="Verdana"/>
          <w:b/>
          <w:bCs/>
          <w:sz w:val="24"/>
          <w:szCs w:val="24"/>
        </w:rPr>
        <w:t>Committee Terms of Reference</w:t>
      </w:r>
      <w:r w:rsidR="73CD9B3B" w:rsidRPr="000B5CCC">
        <w:rPr>
          <w:rFonts w:ascii="Verdana" w:eastAsia="Verdana" w:hAnsi="Verdana" w:cs="Verdana"/>
          <w:sz w:val="24"/>
          <w:szCs w:val="24"/>
        </w:rPr>
        <w:t xml:space="preserve"> </w:t>
      </w:r>
    </w:p>
    <w:p w14:paraId="0F090A19" w14:textId="31F7E8E1" w:rsidR="73CD9B3B" w:rsidRPr="009A730B" w:rsidRDefault="73CD9B3B" w:rsidP="00CC2EDF">
      <w:pPr>
        <w:spacing w:after="0" w:line="240" w:lineRule="auto"/>
        <w:jc w:val="both"/>
        <w:rPr>
          <w:rFonts w:ascii="Verdana" w:eastAsia="Verdana" w:hAnsi="Verdana" w:cs="Verdana"/>
          <w:sz w:val="24"/>
          <w:szCs w:val="24"/>
        </w:rPr>
      </w:pPr>
      <w:r w:rsidRPr="009A730B">
        <w:rPr>
          <w:rFonts w:ascii="Verdana" w:eastAsia="Verdana" w:hAnsi="Verdana" w:cs="Verdana"/>
          <w:sz w:val="24"/>
          <w:szCs w:val="24"/>
        </w:rPr>
        <w:t>The Committee reviewed and accepted its Terms of Reference at meetings held in April 2025 and October 2025, confirming that these remained appropriate and reflective of the Committee’s role and responsibilities.</w:t>
      </w:r>
    </w:p>
    <w:p w14:paraId="5C3310FF" w14:textId="0A9BA06D" w:rsidR="49220B0B" w:rsidRPr="009A730B" w:rsidRDefault="49220B0B" w:rsidP="00CC2EDF">
      <w:pPr>
        <w:spacing w:after="0" w:line="240" w:lineRule="auto"/>
        <w:jc w:val="both"/>
        <w:rPr>
          <w:rFonts w:ascii="Verdana" w:hAnsi="Verdana" w:cs="Arial"/>
          <w:sz w:val="24"/>
          <w:szCs w:val="24"/>
        </w:rPr>
      </w:pPr>
    </w:p>
    <w:p w14:paraId="35EB2937" w14:textId="0BF32E31" w:rsidR="43DBA813" w:rsidRPr="000B5CCC" w:rsidRDefault="43DBA813" w:rsidP="00C2615D">
      <w:pPr>
        <w:pStyle w:val="ListParagraph"/>
        <w:numPr>
          <w:ilvl w:val="1"/>
          <w:numId w:val="42"/>
        </w:numPr>
        <w:spacing w:after="0" w:line="240" w:lineRule="auto"/>
        <w:jc w:val="both"/>
        <w:rPr>
          <w:rFonts w:ascii="Verdana" w:hAnsi="Verdana" w:cs="Arial"/>
          <w:b/>
          <w:bCs/>
          <w:sz w:val="24"/>
          <w:szCs w:val="24"/>
        </w:rPr>
      </w:pPr>
      <w:r w:rsidRPr="000B5CCC">
        <w:rPr>
          <w:rFonts w:ascii="Verdana" w:hAnsi="Verdana" w:cs="Arial"/>
          <w:b/>
          <w:bCs/>
          <w:sz w:val="24"/>
          <w:szCs w:val="24"/>
        </w:rPr>
        <w:t>Audit Wales Audit Plan 2025</w:t>
      </w:r>
    </w:p>
    <w:p w14:paraId="0DA22807" w14:textId="5EB25645" w:rsidR="43DBA813" w:rsidRPr="009A730B" w:rsidRDefault="43DBA813" w:rsidP="00CC2EDF">
      <w:pPr>
        <w:spacing w:after="0" w:line="240" w:lineRule="auto"/>
        <w:jc w:val="both"/>
        <w:rPr>
          <w:rFonts w:ascii="Verdana" w:hAnsi="Verdana" w:cs="Arial"/>
          <w:sz w:val="24"/>
          <w:szCs w:val="24"/>
        </w:rPr>
      </w:pPr>
      <w:r w:rsidRPr="009A730B">
        <w:rPr>
          <w:rFonts w:ascii="Verdana" w:hAnsi="Verdana" w:cs="Arial"/>
          <w:sz w:val="24"/>
          <w:szCs w:val="24"/>
        </w:rPr>
        <w:t xml:space="preserve">During the reporting period, the Charitable Funds Committee considered and approved the Audit Wales Audit Plan 2025. The Plan set out Audit </w:t>
      </w:r>
      <w:r w:rsidR="7228E05D" w:rsidRPr="009A730B">
        <w:rPr>
          <w:rFonts w:ascii="Verdana" w:hAnsi="Verdana" w:cs="Arial"/>
          <w:sz w:val="24"/>
          <w:szCs w:val="24"/>
        </w:rPr>
        <w:t>Wales's</w:t>
      </w:r>
      <w:r w:rsidRPr="009A730B">
        <w:rPr>
          <w:rFonts w:ascii="Verdana" w:hAnsi="Verdana" w:cs="Arial"/>
          <w:sz w:val="24"/>
          <w:szCs w:val="24"/>
        </w:rPr>
        <w:t xml:space="preserve"> proposed approach, scope and timetable for the audit of the Charitable Funds annual accounts. The Committee was satisfied that the proposed audit arrangements were appropriate and provided adequate assurance to the Trustees.</w:t>
      </w:r>
    </w:p>
    <w:p w14:paraId="0A3B2A7F" w14:textId="27E4D8B1" w:rsidR="49220B0B" w:rsidRPr="009A730B" w:rsidRDefault="49220B0B" w:rsidP="00CC2EDF">
      <w:pPr>
        <w:spacing w:after="0" w:line="240" w:lineRule="auto"/>
        <w:jc w:val="both"/>
        <w:rPr>
          <w:rFonts w:ascii="Verdana" w:hAnsi="Verdana" w:cs="Arial"/>
          <w:sz w:val="24"/>
          <w:szCs w:val="24"/>
        </w:rPr>
      </w:pPr>
    </w:p>
    <w:p w14:paraId="76555E8D" w14:textId="5FE52C47" w:rsidR="2554A51C" w:rsidRPr="000B5CCC" w:rsidRDefault="2554A51C" w:rsidP="00C2615D">
      <w:pPr>
        <w:pStyle w:val="ListParagraph"/>
        <w:numPr>
          <w:ilvl w:val="1"/>
          <w:numId w:val="42"/>
        </w:numPr>
        <w:spacing w:after="0" w:line="240" w:lineRule="auto"/>
        <w:jc w:val="both"/>
        <w:rPr>
          <w:rFonts w:ascii="Verdana" w:hAnsi="Verdana" w:cs="Arial"/>
          <w:b/>
          <w:bCs/>
          <w:sz w:val="24"/>
          <w:szCs w:val="24"/>
        </w:rPr>
      </w:pPr>
      <w:r w:rsidRPr="000B5CCC">
        <w:rPr>
          <w:rFonts w:ascii="Verdana" w:hAnsi="Verdana" w:cs="Arial"/>
          <w:b/>
          <w:bCs/>
          <w:sz w:val="24"/>
          <w:szCs w:val="24"/>
        </w:rPr>
        <w:t xml:space="preserve">The 2024-25 Annual Accounts  </w:t>
      </w:r>
    </w:p>
    <w:p w14:paraId="183EAE8B" w14:textId="476BE2FA" w:rsidR="7594BB96" w:rsidRPr="009A730B" w:rsidRDefault="7594BB96" w:rsidP="00CC2EDF">
      <w:pPr>
        <w:spacing w:after="0" w:line="240" w:lineRule="auto"/>
        <w:jc w:val="both"/>
        <w:rPr>
          <w:rFonts w:ascii="Verdana" w:hAnsi="Verdana" w:cs="Arial"/>
          <w:sz w:val="24"/>
          <w:szCs w:val="24"/>
        </w:rPr>
      </w:pPr>
      <w:r w:rsidRPr="009A730B">
        <w:rPr>
          <w:rFonts w:ascii="Verdana" w:hAnsi="Verdana" w:cs="Arial"/>
          <w:sz w:val="24"/>
          <w:szCs w:val="24"/>
        </w:rPr>
        <w:t>In January 2026, the Committee considered and approved the 2024–25 Annual Accounts. Assurance was provided that the Accounts were prepared in accordance with relevant accounting requirements and accurately reflected the financial performance and position of the Charitable Funds.</w:t>
      </w:r>
    </w:p>
    <w:p w14:paraId="1636C584" w14:textId="22AA5336" w:rsidR="49220B0B" w:rsidRPr="009A730B" w:rsidRDefault="49220B0B" w:rsidP="00CC2EDF">
      <w:pPr>
        <w:spacing w:after="0" w:line="240" w:lineRule="auto"/>
        <w:jc w:val="both"/>
        <w:rPr>
          <w:rFonts w:ascii="Verdana" w:hAnsi="Verdana" w:cs="Arial"/>
          <w:sz w:val="24"/>
          <w:szCs w:val="24"/>
        </w:rPr>
      </w:pPr>
    </w:p>
    <w:p w14:paraId="3B06653A" w14:textId="40748F33" w:rsidR="7594BB96" w:rsidRPr="000B5CCC" w:rsidRDefault="7594BB96" w:rsidP="00C2615D">
      <w:pPr>
        <w:pStyle w:val="ListParagraph"/>
        <w:numPr>
          <w:ilvl w:val="1"/>
          <w:numId w:val="42"/>
        </w:numPr>
        <w:spacing w:after="0" w:line="240" w:lineRule="auto"/>
        <w:jc w:val="both"/>
        <w:rPr>
          <w:rFonts w:ascii="Verdana" w:hAnsi="Verdana" w:cs="Arial"/>
          <w:b/>
          <w:bCs/>
          <w:sz w:val="24"/>
          <w:szCs w:val="24"/>
        </w:rPr>
      </w:pPr>
      <w:r w:rsidRPr="000B5CCC">
        <w:rPr>
          <w:rFonts w:ascii="Verdana" w:hAnsi="Verdana" w:cs="Arial"/>
          <w:b/>
          <w:bCs/>
          <w:sz w:val="24"/>
          <w:szCs w:val="24"/>
        </w:rPr>
        <w:t>Charity Annual Report 2024-25</w:t>
      </w:r>
    </w:p>
    <w:p w14:paraId="373DB84B" w14:textId="1C217EA0" w:rsidR="7594BB96" w:rsidRPr="009A730B" w:rsidRDefault="7594BB96" w:rsidP="00CC2EDF">
      <w:pPr>
        <w:spacing w:after="0" w:line="240" w:lineRule="auto"/>
        <w:jc w:val="both"/>
        <w:rPr>
          <w:rFonts w:ascii="Verdana" w:hAnsi="Verdana" w:cs="Arial"/>
          <w:sz w:val="24"/>
          <w:szCs w:val="24"/>
        </w:rPr>
      </w:pPr>
      <w:r w:rsidRPr="009A730B">
        <w:rPr>
          <w:rFonts w:ascii="Verdana" w:hAnsi="Verdana" w:cs="Arial"/>
          <w:sz w:val="24"/>
          <w:szCs w:val="24"/>
        </w:rPr>
        <w:t>The Committee considered and approved the Charity Annual Report 2024–25. The Committee was assured that the Report provided an accurate and comprehensive account of the Charity’s activities, financial performance and governance arrangements for the year.</w:t>
      </w:r>
    </w:p>
    <w:p w14:paraId="4039B2FE" w14:textId="7FDAB0E5" w:rsidR="49220B0B" w:rsidRPr="009A730B" w:rsidRDefault="49220B0B" w:rsidP="00CC2EDF">
      <w:pPr>
        <w:spacing w:after="0" w:line="240" w:lineRule="auto"/>
        <w:jc w:val="both"/>
        <w:rPr>
          <w:rFonts w:ascii="Verdana" w:hAnsi="Verdana" w:cs="Arial"/>
          <w:sz w:val="24"/>
          <w:szCs w:val="24"/>
        </w:rPr>
      </w:pPr>
    </w:p>
    <w:p w14:paraId="735920D9" w14:textId="77777777" w:rsidR="0057260C" w:rsidRPr="0057260C" w:rsidRDefault="7594BB96" w:rsidP="00C2615D">
      <w:pPr>
        <w:pStyle w:val="ListParagraph"/>
        <w:numPr>
          <w:ilvl w:val="1"/>
          <w:numId w:val="42"/>
        </w:numPr>
        <w:spacing w:after="0" w:line="240" w:lineRule="auto"/>
        <w:rPr>
          <w:rFonts w:ascii="Verdana" w:eastAsia="Verdana" w:hAnsi="Verdana" w:cs="Verdana"/>
          <w:b/>
          <w:bCs/>
          <w:color w:val="000000" w:themeColor="text1"/>
          <w:sz w:val="24"/>
          <w:szCs w:val="24"/>
          <w:lang w:val="en-US"/>
        </w:rPr>
      </w:pPr>
      <w:r w:rsidRPr="000B5CCC">
        <w:rPr>
          <w:rFonts w:ascii="Verdana" w:eastAsia="Verdana" w:hAnsi="Verdana" w:cs="Verdana"/>
          <w:b/>
          <w:bCs/>
          <w:sz w:val="24"/>
          <w:szCs w:val="24"/>
          <w:lang w:val="en-US"/>
        </w:rPr>
        <w:t>Audit Wales ISA260 Report</w:t>
      </w:r>
    </w:p>
    <w:p w14:paraId="53784C89" w14:textId="77777777" w:rsidR="0057260C" w:rsidRDefault="0057260C" w:rsidP="0057260C">
      <w:pPr>
        <w:spacing w:after="0" w:line="240" w:lineRule="auto"/>
        <w:rPr>
          <w:rFonts w:ascii="Verdana" w:eastAsia="Verdana" w:hAnsi="Verdana" w:cs="Verdana"/>
          <w:sz w:val="24"/>
          <w:szCs w:val="24"/>
          <w:lang w:val="en-US"/>
        </w:rPr>
      </w:pPr>
    </w:p>
    <w:p w14:paraId="2821FBD6" w14:textId="7C293236" w:rsidR="21B56976" w:rsidRPr="0057260C" w:rsidRDefault="21B56976" w:rsidP="0057260C">
      <w:pPr>
        <w:spacing w:after="0" w:line="240" w:lineRule="auto"/>
        <w:rPr>
          <w:rFonts w:ascii="Verdana" w:eastAsia="Verdana" w:hAnsi="Verdana" w:cs="Verdana"/>
          <w:b/>
          <w:bCs/>
          <w:color w:val="000000" w:themeColor="text1"/>
          <w:sz w:val="24"/>
          <w:szCs w:val="24"/>
          <w:lang w:val="en-US"/>
        </w:rPr>
      </w:pPr>
      <w:r w:rsidRPr="0057260C">
        <w:rPr>
          <w:rFonts w:ascii="Verdana" w:eastAsia="Verdana" w:hAnsi="Verdana" w:cs="Verdana"/>
          <w:sz w:val="24"/>
          <w:szCs w:val="24"/>
          <w:lang w:val="en-US"/>
        </w:rPr>
        <w:t>The Committee reviewed and approved the Audit Wales ISA260 Report in relation to the audit of the 2024–25 Charitable Funds annual accounts. The Committee was assured by the conclusions presented and confirmed that no significant issues had been identified.</w:t>
      </w:r>
    </w:p>
    <w:p w14:paraId="76E12ADC" w14:textId="77777777" w:rsidR="0057260C" w:rsidRDefault="0057260C" w:rsidP="0057260C">
      <w:pPr>
        <w:spacing w:after="0" w:line="240" w:lineRule="auto"/>
        <w:rPr>
          <w:rFonts w:ascii="Verdana" w:eastAsia="Verdana" w:hAnsi="Verdana" w:cs="Verdana"/>
          <w:sz w:val="24"/>
          <w:szCs w:val="24"/>
          <w:lang w:val="en-US"/>
        </w:rPr>
      </w:pPr>
    </w:p>
    <w:p w14:paraId="20D53FDC" w14:textId="491CF49E" w:rsidR="462EFCE8" w:rsidRPr="009A730B" w:rsidRDefault="462EFCE8" w:rsidP="0057260C">
      <w:pPr>
        <w:spacing w:after="0" w:line="240" w:lineRule="auto"/>
        <w:rPr>
          <w:rFonts w:ascii="Verdana" w:eastAsia="Verdana" w:hAnsi="Verdana" w:cs="Verdana"/>
          <w:sz w:val="24"/>
          <w:szCs w:val="24"/>
          <w:lang w:val="en-US"/>
        </w:rPr>
      </w:pPr>
      <w:r w:rsidRPr="009A730B">
        <w:rPr>
          <w:rFonts w:ascii="Verdana" w:eastAsia="Verdana" w:hAnsi="Verdana" w:cs="Verdana"/>
          <w:sz w:val="24"/>
          <w:szCs w:val="24"/>
          <w:lang w:val="en-US"/>
        </w:rPr>
        <w:t xml:space="preserve">The Audit Wales Audit Plan 2025, the 2024–25 Annual Accounts, the Charity Annual Report 2024–25 and the Audit Wales ISA260 Report, having been approved by the Charitable Funds Committee, were </w:t>
      </w:r>
      <w:r w:rsidRPr="009A730B">
        <w:rPr>
          <w:rFonts w:ascii="Verdana" w:eastAsia="Verdana" w:hAnsi="Verdana" w:cs="Verdana"/>
          <w:sz w:val="24"/>
          <w:szCs w:val="24"/>
          <w:lang w:val="en-US"/>
        </w:rPr>
        <w:lastRenderedPageBreak/>
        <w:t>subsequently considered and approved by the Trustees at their meeting held on 16 January 2026.</w:t>
      </w:r>
    </w:p>
    <w:p w14:paraId="7B2D0F7D" w14:textId="6298BFAA" w:rsidR="6F2B4365" w:rsidRPr="009A730B" w:rsidRDefault="6F2B4365" w:rsidP="6F2B4365">
      <w:pPr>
        <w:spacing w:after="0" w:line="240" w:lineRule="auto"/>
        <w:rPr>
          <w:rFonts w:ascii="Verdana" w:hAnsi="Verdana" w:cs="Arial"/>
          <w:sz w:val="24"/>
          <w:szCs w:val="24"/>
        </w:rPr>
      </w:pPr>
    </w:p>
    <w:p w14:paraId="65B4F952" w14:textId="65839B55" w:rsidR="00076750" w:rsidRPr="009A730B" w:rsidRDefault="6FC54A17" w:rsidP="3EC4081A">
      <w:pPr>
        <w:spacing w:after="0" w:line="240" w:lineRule="auto"/>
        <w:jc w:val="center"/>
        <w:rPr>
          <w:rFonts w:ascii="Verdana" w:hAnsi="Verdana" w:cs="Arial"/>
          <w:b/>
          <w:bCs/>
          <w:sz w:val="24"/>
          <w:szCs w:val="24"/>
          <w:u w:val="single"/>
        </w:rPr>
      </w:pPr>
      <w:r w:rsidRPr="009A730B">
        <w:rPr>
          <w:rFonts w:ascii="Verdana" w:hAnsi="Verdana" w:cs="Arial"/>
          <w:b/>
          <w:bCs/>
          <w:sz w:val="24"/>
          <w:szCs w:val="24"/>
          <w:u w:val="single"/>
        </w:rPr>
        <w:t xml:space="preserve">Section </w:t>
      </w:r>
      <w:r w:rsidR="51385FC9" w:rsidRPr="009A730B">
        <w:rPr>
          <w:rFonts w:ascii="Verdana" w:hAnsi="Verdana" w:cs="Arial"/>
          <w:b/>
          <w:bCs/>
          <w:sz w:val="24"/>
          <w:szCs w:val="24"/>
          <w:u w:val="single"/>
        </w:rPr>
        <w:t>9</w:t>
      </w:r>
    </w:p>
    <w:p w14:paraId="2AC6C441" w14:textId="13BD3EA6" w:rsidR="00076750" w:rsidRPr="008B40AB" w:rsidRDefault="6FC54A17" w:rsidP="3EC4081A">
      <w:pPr>
        <w:spacing w:after="0" w:line="240" w:lineRule="auto"/>
        <w:jc w:val="center"/>
        <w:rPr>
          <w:rFonts w:ascii="Verdana" w:eastAsia="Verdana" w:hAnsi="Verdana" w:cs="Verdana"/>
          <w:b/>
          <w:bCs/>
          <w:sz w:val="24"/>
          <w:szCs w:val="24"/>
          <w:u w:val="single"/>
        </w:rPr>
      </w:pPr>
      <w:r w:rsidRPr="008B40AB">
        <w:rPr>
          <w:rFonts w:ascii="Verdana" w:eastAsia="Verdana" w:hAnsi="Verdana" w:cs="Verdana"/>
          <w:b/>
          <w:bCs/>
          <w:sz w:val="24"/>
          <w:szCs w:val="24"/>
          <w:u w:val="single"/>
        </w:rPr>
        <w:t>Digital, Data, Research and Innovation Committe</w:t>
      </w:r>
      <w:r w:rsidRPr="008B40AB">
        <w:rPr>
          <w:rFonts w:ascii="Verdana" w:eastAsia="Verdana" w:hAnsi="Verdana" w:cs="Verdana"/>
          <w:b/>
          <w:bCs/>
          <w:i/>
          <w:iCs/>
          <w:sz w:val="24"/>
          <w:szCs w:val="24"/>
          <w:u w:val="single"/>
        </w:rPr>
        <w:t>e</w:t>
      </w:r>
    </w:p>
    <w:p w14:paraId="083161AB" w14:textId="668D6FE0" w:rsidR="00076750" w:rsidRPr="00E81D40" w:rsidRDefault="7E6E541E" w:rsidP="00E81D40">
      <w:pPr>
        <w:spacing w:before="240" w:after="240" w:line="240" w:lineRule="auto"/>
        <w:jc w:val="both"/>
        <w:rPr>
          <w:rFonts w:ascii="Verdana" w:eastAsia="Verdana" w:hAnsi="Verdana" w:cs="Verdana"/>
          <w:sz w:val="24"/>
          <w:szCs w:val="24"/>
        </w:rPr>
      </w:pPr>
      <w:r w:rsidRPr="009A730B">
        <w:rPr>
          <w:rFonts w:ascii="Verdana" w:eastAsia="Verdana" w:hAnsi="Verdana" w:cs="Verdana"/>
          <w:sz w:val="24"/>
          <w:szCs w:val="24"/>
        </w:rPr>
        <w:t>The Digital, Data, Research and Innovation Committee (DDRI) during 2025–2026, continued to operate as a key component of the Health Board’s governance framework. The Committee supports the delivery of the Health Board’s strategic ambitions for digital transformation, effective use of data, and the promotion of research and innovation across the organisation.</w:t>
      </w:r>
    </w:p>
    <w:p w14:paraId="2C59CF96" w14:textId="5A03F4E9" w:rsidR="00076750" w:rsidRPr="009A730B" w:rsidRDefault="0E4542EF" w:rsidP="6F2B4365">
      <w:pPr>
        <w:pStyle w:val="StyleOutlinenumberedArialOutlinenumberedArial11Outli"/>
        <w:numPr>
          <w:ilvl w:val="0"/>
          <w:numId w:val="0"/>
        </w:numPr>
        <w:jc w:val="both"/>
        <w:rPr>
          <w:rFonts w:ascii="Verdana" w:hAnsi="Verdana"/>
          <w:b w:val="0"/>
          <w:bCs w:val="0"/>
        </w:rPr>
      </w:pPr>
      <w:r w:rsidRPr="009A730B">
        <w:rPr>
          <w:rFonts w:ascii="Verdana" w:hAnsi="Verdana"/>
          <w:b w:val="0"/>
          <w:bCs w:val="0"/>
        </w:rPr>
        <w:t>During 202</w:t>
      </w:r>
      <w:r w:rsidR="205DEF25" w:rsidRPr="009A730B">
        <w:rPr>
          <w:rFonts w:ascii="Verdana" w:hAnsi="Verdana"/>
          <w:b w:val="0"/>
          <w:bCs w:val="0"/>
        </w:rPr>
        <w:t>5-26</w:t>
      </w:r>
      <w:r w:rsidRPr="009A730B">
        <w:rPr>
          <w:rFonts w:ascii="Verdana" w:hAnsi="Verdana"/>
          <w:b w:val="0"/>
          <w:bCs w:val="0"/>
        </w:rPr>
        <w:t>, the following reports were received by the Committee:</w:t>
      </w:r>
    </w:p>
    <w:p w14:paraId="30DD32AC" w14:textId="65499A59" w:rsidR="00076750" w:rsidRPr="009A730B" w:rsidRDefault="00076750" w:rsidP="3EC4081A">
      <w:pPr>
        <w:spacing w:after="0" w:line="240" w:lineRule="auto"/>
        <w:rPr>
          <w:rFonts w:ascii="Verdana" w:hAnsi="Verdana" w:cs="Arial"/>
          <w:sz w:val="24"/>
          <w:szCs w:val="24"/>
        </w:rPr>
      </w:pPr>
    </w:p>
    <w:p w14:paraId="676E2492" w14:textId="09F6BB8E" w:rsidR="6409B666" w:rsidRPr="000B5CCC" w:rsidRDefault="60ABE6D9" w:rsidP="00C2615D">
      <w:pPr>
        <w:pStyle w:val="ListParagraph"/>
        <w:numPr>
          <w:ilvl w:val="1"/>
          <w:numId w:val="43"/>
        </w:numPr>
        <w:spacing w:after="0" w:line="240" w:lineRule="auto"/>
        <w:rPr>
          <w:rFonts w:ascii="Verdana" w:hAnsi="Verdana" w:cs="Arial"/>
          <w:b/>
          <w:bCs/>
        </w:rPr>
      </w:pPr>
      <w:r w:rsidRPr="000B5CCC">
        <w:rPr>
          <w:rFonts w:ascii="Verdana" w:hAnsi="Verdana" w:cs="Arial"/>
          <w:b/>
          <w:bCs/>
          <w:sz w:val="24"/>
          <w:szCs w:val="24"/>
        </w:rPr>
        <w:t>Terms of Reference</w:t>
      </w:r>
    </w:p>
    <w:p w14:paraId="7C9EC61B" w14:textId="6C08E199" w:rsidR="1FCFC961" w:rsidRPr="009A730B" w:rsidRDefault="1FCFC961" w:rsidP="3EC4081A">
      <w:pPr>
        <w:spacing w:after="0" w:line="240" w:lineRule="auto"/>
        <w:jc w:val="both"/>
        <w:rPr>
          <w:rFonts w:ascii="Verdana" w:eastAsia="Calibri" w:hAnsi="Verdana" w:cs="Arial"/>
          <w:sz w:val="24"/>
          <w:szCs w:val="24"/>
        </w:rPr>
      </w:pPr>
      <w:r w:rsidRPr="009A730B">
        <w:rPr>
          <w:rFonts w:ascii="Verdana" w:eastAsia="Calibri" w:hAnsi="Verdana" w:cs="Arial"/>
          <w:sz w:val="24"/>
          <w:szCs w:val="24"/>
        </w:rPr>
        <w:t>The Committee reviewed and refined its Terms of Reference to ensure they accurately reflected its evolving remit, including the formal integration of research and innovation alongside digital and data governance. This work was endorsed by the Committee to strengthen clarity of responsibility and alignment with the Health Board’s strategic objectives.</w:t>
      </w:r>
    </w:p>
    <w:p w14:paraId="26F7C19C" w14:textId="77777777" w:rsidR="002A7D3A" w:rsidRPr="009A730B" w:rsidRDefault="002A7D3A" w:rsidP="4C39ED56">
      <w:pPr>
        <w:spacing w:after="0" w:line="240" w:lineRule="auto"/>
        <w:jc w:val="both"/>
        <w:rPr>
          <w:rFonts w:ascii="Verdana" w:hAnsi="Verdana" w:cs="Arial"/>
          <w:sz w:val="24"/>
          <w:szCs w:val="24"/>
        </w:rPr>
      </w:pPr>
    </w:p>
    <w:p w14:paraId="2E393E38" w14:textId="38E92232" w:rsidR="6E4B029A" w:rsidRPr="000B5CCC" w:rsidRDefault="4101B384" w:rsidP="00C2615D">
      <w:pPr>
        <w:pStyle w:val="ListParagraph"/>
        <w:numPr>
          <w:ilvl w:val="1"/>
          <w:numId w:val="43"/>
        </w:numPr>
        <w:spacing w:before="60" w:after="60" w:line="240" w:lineRule="auto"/>
        <w:rPr>
          <w:rFonts w:ascii="Verdana" w:eastAsia="Verdana" w:hAnsi="Verdana" w:cs="Verdana"/>
          <w:b/>
          <w:bCs/>
        </w:rPr>
      </w:pPr>
      <w:r w:rsidRPr="000B5CCC">
        <w:rPr>
          <w:rFonts w:ascii="Verdana" w:eastAsia="Verdana" w:hAnsi="Verdana" w:cs="Verdana"/>
          <w:b/>
          <w:bCs/>
          <w:color w:val="000000" w:themeColor="text1"/>
          <w:sz w:val="24"/>
          <w:szCs w:val="24"/>
        </w:rPr>
        <w:t>Digital/Data Risk Register, Risk Review and appetite</w:t>
      </w:r>
    </w:p>
    <w:p w14:paraId="35763CF1" w14:textId="36F7B406" w:rsidR="207CC02D" w:rsidRPr="009A730B" w:rsidRDefault="207CC02D" w:rsidP="3EC4081A">
      <w:pPr>
        <w:spacing w:after="0" w:line="240" w:lineRule="auto"/>
        <w:jc w:val="both"/>
        <w:rPr>
          <w:rFonts w:ascii="Verdana" w:eastAsia="Calibri" w:hAnsi="Verdana" w:cs="Arial"/>
          <w:sz w:val="24"/>
          <w:szCs w:val="24"/>
        </w:rPr>
      </w:pPr>
      <w:r w:rsidRPr="009A730B">
        <w:rPr>
          <w:rFonts w:ascii="Verdana" w:eastAsia="Calibri" w:hAnsi="Verdana" w:cs="Arial"/>
          <w:sz w:val="24"/>
          <w:szCs w:val="24"/>
        </w:rPr>
        <w:t>The Committee maintained active oversight of digital and data‑related risks, with a particular focus on risks operating above tolerance. Regular scrutiny was given to:</w:t>
      </w:r>
    </w:p>
    <w:p w14:paraId="709D1270" w14:textId="06677EB9" w:rsidR="207CC02D" w:rsidRPr="009A730B" w:rsidRDefault="207CC02D" w:rsidP="00C2615D">
      <w:pPr>
        <w:numPr>
          <w:ilvl w:val="0"/>
          <w:numId w:val="3"/>
        </w:numPr>
        <w:spacing w:after="0" w:line="240" w:lineRule="auto"/>
        <w:jc w:val="both"/>
        <w:rPr>
          <w:rFonts w:ascii="Verdana" w:eastAsia="Calibri" w:hAnsi="Verdana" w:cs="Arial"/>
          <w:sz w:val="24"/>
          <w:szCs w:val="24"/>
        </w:rPr>
      </w:pPr>
      <w:r w:rsidRPr="009A730B">
        <w:rPr>
          <w:rFonts w:ascii="Verdana" w:eastAsia="Calibri" w:hAnsi="Verdana" w:cs="Arial"/>
          <w:sz w:val="24"/>
          <w:szCs w:val="24"/>
        </w:rPr>
        <w:t>The Digital and Data Risk Register, including mitigating actions and controls.</w:t>
      </w:r>
    </w:p>
    <w:p w14:paraId="769E1895" w14:textId="7E987D91" w:rsidR="207CC02D" w:rsidRPr="009A730B" w:rsidRDefault="207CC02D" w:rsidP="00C2615D">
      <w:pPr>
        <w:numPr>
          <w:ilvl w:val="0"/>
          <w:numId w:val="3"/>
        </w:numPr>
        <w:spacing w:after="0" w:line="240" w:lineRule="auto"/>
        <w:jc w:val="both"/>
        <w:rPr>
          <w:rFonts w:ascii="Verdana" w:eastAsia="Calibri" w:hAnsi="Verdana" w:cs="Arial"/>
          <w:sz w:val="24"/>
          <w:szCs w:val="24"/>
        </w:rPr>
      </w:pPr>
      <w:r w:rsidRPr="009A730B">
        <w:rPr>
          <w:rFonts w:ascii="Verdana" w:eastAsia="Calibri" w:hAnsi="Verdana" w:cs="Arial"/>
          <w:sz w:val="24"/>
          <w:szCs w:val="24"/>
        </w:rPr>
        <w:t>Digital and data elements of the Health Board Risk Register, with escalation where appropriate.</w:t>
      </w:r>
    </w:p>
    <w:p w14:paraId="244D9694" w14:textId="7988FD88" w:rsidR="00076750" w:rsidRDefault="207CC02D" w:rsidP="008B40AB">
      <w:pPr>
        <w:spacing w:after="0" w:line="240" w:lineRule="auto"/>
        <w:jc w:val="both"/>
        <w:rPr>
          <w:rFonts w:ascii="Verdana" w:eastAsia="Calibri" w:hAnsi="Verdana" w:cs="Arial"/>
          <w:sz w:val="24"/>
          <w:szCs w:val="24"/>
        </w:rPr>
      </w:pPr>
      <w:r w:rsidRPr="009A730B">
        <w:rPr>
          <w:rFonts w:ascii="Verdana" w:eastAsia="Calibri" w:hAnsi="Verdana" w:cs="Arial"/>
          <w:sz w:val="24"/>
          <w:szCs w:val="24"/>
        </w:rPr>
        <w:t>The Committee noted the Health Board’s adopted risk appetite framework, including a ‘seeking’ appetite for innovation balanced by a lower tolerance for compliance‑related risks such as information governance and clinical coding.</w:t>
      </w:r>
    </w:p>
    <w:p w14:paraId="3E8902D5" w14:textId="77777777" w:rsidR="008B40AB" w:rsidRPr="008B40AB" w:rsidRDefault="008B40AB" w:rsidP="008B40AB">
      <w:pPr>
        <w:spacing w:after="0" w:line="240" w:lineRule="auto"/>
        <w:jc w:val="both"/>
        <w:rPr>
          <w:rFonts w:ascii="Verdana" w:eastAsia="Calibri" w:hAnsi="Verdana" w:cs="Arial"/>
          <w:sz w:val="24"/>
          <w:szCs w:val="24"/>
        </w:rPr>
      </w:pPr>
    </w:p>
    <w:p w14:paraId="4A0DA2A5" w14:textId="391567D8" w:rsidR="0037540C" w:rsidRPr="0057260C" w:rsidRDefault="1CF5B9FE" w:rsidP="00C2615D">
      <w:pPr>
        <w:pStyle w:val="ListParagraph"/>
        <w:numPr>
          <w:ilvl w:val="1"/>
          <w:numId w:val="43"/>
        </w:numPr>
        <w:spacing w:after="0" w:line="240" w:lineRule="auto"/>
        <w:rPr>
          <w:rFonts w:ascii="Verdana" w:eastAsia="Verdana" w:hAnsi="Verdana" w:cs="Verdana"/>
          <w:b/>
          <w:bCs/>
        </w:rPr>
      </w:pPr>
      <w:r w:rsidRPr="000B5CCC">
        <w:rPr>
          <w:rFonts w:ascii="Verdana" w:eastAsia="Verdana" w:hAnsi="Verdana" w:cs="Verdana"/>
          <w:b/>
          <w:bCs/>
          <w:color w:val="000000" w:themeColor="text1"/>
          <w:sz w:val="24"/>
          <w:szCs w:val="24"/>
        </w:rPr>
        <w:t>Internal and External Audit Reports</w:t>
      </w:r>
    </w:p>
    <w:p w14:paraId="3324B106" w14:textId="45663942" w:rsidR="0037540C" w:rsidRPr="009A730B" w:rsidRDefault="27404EBF" w:rsidP="3EC4081A">
      <w:pPr>
        <w:spacing w:after="0" w:line="240" w:lineRule="auto"/>
        <w:jc w:val="both"/>
        <w:rPr>
          <w:rFonts w:ascii="Verdana" w:eastAsia="Calibri" w:hAnsi="Verdana" w:cs="Arial"/>
          <w:sz w:val="24"/>
          <w:szCs w:val="24"/>
        </w:rPr>
      </w:pPr>
      <w:r w:rsidRPr="009A730B">
        <w:rPr>
          <w:rFonts w:ascii="Verdana" w:eastAsia="Calibri" w:hAnsi="Verdana" w:cs="Arial"/>
          <w:sz w:val="24"/>
          <w:szCs w:val="24"/>
        </w:rPr>
        <w:t>The Committee considered Internal Audit reports referred from the Audit Committee, where findings related specifically to digital systems, data governance or digital resilience. This included audit work examining areas such as digital support arrangements and business continuity, where recommendations were partially or not fully assured and required further scrutiny by DDRI.</w:t>
      </w:r>
    </w:p>
    <w:p w14:paraId="2B988831" w14:textId="2D566021" w:rsidR="0037540C" w:rsidRPr="009A730B" w:rsidRDefault="27404EBF" w:rsidP="3EC4081A">
      <w:pPr>
        <w:spacing w:after="0" w:line="240" w:lineRule="auto"/>
        <w:jc w:val="both"/>
        <w:rPr>
          <w:rFonts w:ascii="Verdana" w:eastAsia="Calibri" w:hAnsi="Verdana" w:cs="Arial"/>
          <w:sz w:val="24"/>
          <w:szCs w:val="24"/>
        </w:rPr>
      </w:pPr>
      <w:r w:rsidRPr="009A730B">
        <w:rPr>
          <w:rFonts w:ascii="Verdana" w:eastAsia="Calibri" w:hAnsi="Verdana" w:cs="Arial"/>
          <w:sz w:val="24"/>
          <w:szCs w:val="24"/>
        </w:rPr>
        <w:t>Where Internal Audit recommendations were reviewed, the Committee:</w:t>
      </w:r>
    </w:p>
    <w:p w14:paraId="4803904A" w14:textId="79B120AE" w:rsidR="0037540C" w:rsidRPr="009A730B" w:rsidRDefault="27404EBF" w:rsidP="00C2615D">
      <w:pPr>
        <w:numPr>
          <w:ilvl w:val="0"/>
          <w:numId w:val="2"/>
        </w:numPr>
        <w:spacing w:after="0" w:line="240" w:lineRule="auto"/>
        <w:jc w:val="both"/>
        <w:rPr>
          <w:rFonts w:ascii="Verdana" w:eastAsia="Calibri" w:hAnsi="Verdana" w:cs="Arial"/>
          <w:sz w:val="24"/>
          <w:szCs w:val="24"/>
        </w:rPr>
      </w:pPr>
      <w:r w:rsidRPr="009A730B">
        <w:rPr>
          <w:rFonts w:ascii="Verdana" w:eastAsia="Calibri" w:hAnsi="Verdana" w:cs="Arial"/>
          <w:sz w:val="24"/>
          <w:szCs w:val="24"/>
        </w:rPr>
        <w:t>Scrutinised the management response and proposed mitigating actions.</w:t>
      </w:r>
    </w:p>
    <w:p w14:paraId="483E94B8" w14:textId="7253BBF9" w:rsidR="0037540C" w:rsidRPr="009A730B" w:rsidRDefault="27404EBF" w:rsidP="00C2615D">
      <w:pPr>
        <w:numPr>
          <w:ilvl w:val="0"/>
          <w:numId w:val="2"/>
        </w:numPr>
        <w:spacing w:after="0" w:line="240" w:lineRule="auto"/>
        <w:jc w:val="both"/>
        <w:rPr>
          <w:rFonts w:ascii="Verdana" w:eastAsia="Calibri" w:hAnsi="Verdana" w:cs="Arial"/>
          <w:sz w:val="24"/>
          <w:szCs w:val="24"/>
        </w:rPr>
      </w:pPr>
      <w:r w:rsidRPr="009A730B">
        <w:rPr>
          <w:rFonts w:ascii="Verdana" w:eastAsia="Calibri" w:hAnsi="Verdana" w:cs="Arial"/>
          <w:sz w:val="24"/>
          <w:szCs w:val="24"/>
        </w:rPr>
        <w:t>Considered the adequacy of assurance provided, including any resource or capacity implications.</w:t>
      </w:r>
    </w:p>
    <w:p w14:paraId="6C839CBA" w14:textId="6B17EC79" w:rsidR="0037540C" w:rsidRPr="009A730B" w:rsidRDefault="27404EBF" w:rsidP="00C2615D">
      <w:pPr>
        <w:numPr>
          <w:ilvl w:val="0"/>
          <w:numId w:val="2"/>
        </w:numPr>
        <w:spacing w:after="0" w:line="240" w:lineRule="auto"/>
        <w:jc w:val="both"/>
        <w:rPr>
          <w:rFonts w:ascii="Verdana" w:eastAsia="Calibri" w:hAnsi="Verdana" w:cs="Arial"/>
          <w:sz w:val="24"/>
          <w:szCs w:val="24"/>
        </w:rPr>
      </w:pPr>
      <w:r w:rsidRPr="009A730B">
        <w:rPr>
          <w:rFonts w:ascii="Verdana" w:eastAsia="Calibri" w:hAnsi="Verdana" w:cs="Arial"/>
          <w:sz w:val="24"/>
          <w:szCs w:val="24"/>
        </w:rPr>
        <w:lastRenderedPageBreak/>
        <w:t>Agreed whether additional information or follow‑up reporting was required.</w:t>
      </w:r>
    </w:p>
    <w:p w14:paraId="2B2E00A3" w14:textId="61545C3B" w:rsidR="0037540C" w:rsidRPr="009A730B" w:rsidRDefault="0037540C" w:rsidP="3EC4081A">
      <w:pPr>
        <w:spacing w:after="0" w:line="240" w:lineRule="auto"/>
        <w:jc w:val="both"/>
        <w:rPr>
          <w:rFonts w:ascii="Verdana" w:eastAsia="Calibri" w:hAnsi="Verdana" w:cs="Arial"/>
          <w:sz w:val="24"/>
          <w:szCs w:val="24"/>
        </w:rPr>
      </w:pPr>
    </w:p>
    <w:p w14:paraId="55F208C4" w14:textId="2BF99A76" w:rsidR="0037540C" w:rsidRPr="009A730B" w:rsidRDefault="27404EBF" w:rsidP="3EC4081A">
      <w:pPr>
        <w:spacing w:after="0" w:line="240" w:lineRule="auto"/>
        <w:jc w:val="both"/>
        <w:rPr>
          <w:rFonts w:ascii="Verdana" w:eastAsia="Calibri" w:hAnsi="Verdana" w:cs="Arial"/>
          <w:sz w:val="24"/>
          <w:szCs w:val="24"/>
        </w:rPr>
      </w:pPr>
      <w:r w:rsidRPr="009A730B">
        <w:rPr>
          <w:rFonts w:ascii="Verdana" w:eastAsia="Calibri" w:hAnsi="Verdana" w:cs="Arial"/>
          <w:sz w:val="24"/>
          <w:szCs w:val="24"/>
        </w:rPr>
        <w:t>The Committee also received matters arising from external audit work, primarily via referral or assurance pipelines from the Audit Committee. Where external audit findings had implications for digital systems, data quality, or information governance, these were brought to DDRI to ensure:</w:t>
      </w:r>
    </w:p>
    <w:p w14:paraId="23331C48" w14:textId="20E17653" w:rsidR="0037540C" w:rsidRPr="009A730B" w:rsidRDefault="27404EBF" w:rsidP="00C2615D">
      <w:pPr>
        <w:numPr>
          <w:ilvl w:val="0"/>
          <w:numId w:val="1"/>
        </w:numPr>
        <w:spacing w:after="0" w:line="240" w:lineRule="auto"/>
        <w:jc w:val="both"/>
        <w:rPr>
          <w:rFonts w:ascii="Verdana" w:eastAsia="Calibri" w:hAnsi="Verdana" w:cs="Arial"/>
          <w:sz w:val="24"/>
          <w:szCs w:val="24"/>
        </w:rPr>
      </w:pPr>
      <w:r w:rsidRPr="009A730B">
        <w:rPr>
          <w:rFonts w:ascii="Verdana" w:eastAsia="Calibri" w:hAnsi="Verdana" w:cs="Arial"/>
          <w:sz w:val="24"/>
          <w:szCs w:val="24"/>
        </w:rPr>
        <w:t>Appropriate digital and data risks were identified and managed.</w:t>
      </w:r>
    </w:p>
    <w:p w14:paraId="3B0794CE" w14:textId="79DD2314" w:rsidR="0037540C" w:rsidRPr="009A730B" w:rsidRDefault="27404EBF" w:rsidP="00C2615D">
      <w:pPr>
        <w:numPr>
          <w:ilvl w:val="0"/>
          <w:numId w:val="1"/>
        </w:numPr>
        <w:spacing w:after="0" w:line="240" w:lineRule="auto"/>
        <w:jc w:val="both"/>
        <w:rPr>
          <w:rFonts w:ascii="Verdana" w:eastAsia="Calibri" w:hAnsi="Verdana" w:cs="Arial"/>
          <w:sz w:val="24"/>
          <w:szCs w:val="24"/>
        </w:rPr>
      </w:pPr>
      <w:r w:rsidRPr="009A730B">
        <w:rPr>
          <w:rFonts w:ascii="Verdana" w:eastAsia="Calibri" w:hAnsi="Verdana" w:cs="Arial"/>
          <w:sz w:val="24"/>
          <w:szCs w:val="24"/>
        </w:rPr>
        <w:t>Actions aligned with the wider organisational response to audit findings.</w:t>
      </w:r>
    </w:p>
    <w:p w14:paraId="72F37433" w14:textId="1AF6B46B" w:rsidR="0037540C" w:rsidRPr="009A730B" w:rsidRDefault="27404EBF" w:rsidP="00C2615D">
      <w:pPr>
        <w:numPr>
          <w:ilvl w:val="0"/>
          <w:numId w:val="1"/>
        </w:numPr>
        <w:spacing w:after="0" w:line="240" w:lineRule="auto"/>
        <w:jc w:val="both"/>
        <w:rPr>
          <w:rFonts w:ascii="Verdana" w:eastAsia="Calibri" w:hAnsi="Verdana" w:cs="Arial"/>
          <w:sz w:val="24"/>
          <w:szCs w:val="24"/>
        </w:rPr>
      </w:pPr>
      <w:r w:rsidRPr="009A730B">
        <w:rPr>
          <w:rFonts w:ascii="Verdana" w:eastAsia="Calibri" w:hAnsi="Verdana" w:cs="Arial"/>
          <w:sz w:val="24"/>
          <w:szCs w:val="24"/>
        </w:rPr>
        <w:t>Any areas requiring cross‑committee oversight were appropriately coordinated.</w:t>
      </w:r>
    </w:p>
    <w:p w14:paraId="06F66849" w14:textId="612C6977" w:rsidR="3EC4081A" w:rsidRDefault="27404EBF" w:rsidP="008B40AB">
      <w:pPr>
        <w:spacing w:after="0" w:line="240" w:lineRule="auto"/>
        <w:jc w:val="both"/>
        <w:rPr>
          <w:rFonts w:ascii="Verdana" w:eastAsia="Calibri" w:hAnsi="Verdana" w:cs="Arial"/>
          <w:sz w:val="24"/>
          <w:szCs w:val="24"/>
        </w:rPr>
      </w:pPr>
      <w:r w:rsidRPr="009A730B">
        <w:rPr>
          <w:rFonts w:ascii="Verdana" w:eastAsia="Calibri" w:hAnsi="Verdana" w:cs="Arial"/>
          <w:sz w:val="24"/>
          <w:szCs w:val="24"/>
        </w:rPr>
        <w:t>In addition, the Committee noted audit‑related referrals that required consideration of digital risk or operational dependency on digital infrastructure, supporting a joined‑up governance approach across Committees.</w:t>
      </w:r>
    </w:p>
    <w:p w14:paraId="736C7BD9" w14:textId="77777777" w:rsidR="008B40AB" w:rsidRPr="008B40AB" w:rsidRDefault="008B40AB" w:rsidP="008B40AB">
      <w:pPr>
        <w:spacing w:after="0" w:line="240" w:lineRule="auto"/>
        <w:jc w:val="both"/>
        <w:rPr>
          <w:rFonts w:ascii="Verdana" w:eastAsia="Calibri" w:hAnsi="Verdana" w:cs="Arial"/>
          <w:sz w:val="24"/>
          <w:szCs w:val="24"/>
        </w:rPr>
      </w:pPr>
    </w:p>
    <w:p w14:paraId="421B5F76" w14:textId="05232E2A" w:rsidR="4C39ED56" w:rsidRPr="0057260C" w:rsidRDefault="20A1DD51" w:rsidP="00C2615D">
      <w:pPr>
        <w:pStyle w:val="ListParagraph"/>
        <w:numPr>
          <w:ilvl w:val="1"/>
          <w:numId w:val="43"/>
        </w:numPr>
        <w:spacing w:after="0" w:line="240" w:lineRule="auto"/>
        <w:rPr>
          <w:rFonts w:ascii="Verdana" w:hAnsi="Verdana" w:cs="Arial"/>
          <w:b/>
          <w:bCs/>
        </w:rPr>
      </w:pPr>
      <w:r w:rsidRPr="000B5CCC">
        <w:rPr>
          <w:rFonts w:ascii="Verdana" w:hAnsi="Verdana" w:cs="Arial"/>
          <w:b/>
          <w:bCs/>
          <w:sz w:val="24"/>
          <w:szCs w:val="24"/>
        </w:rPr>
        <w:t>Digital Financial Management</w:t>
      </w:r>
    </w:p>
    <w:p w14:paraId="037A64F6" w14:textId="284732B3" w:rsidR="4C39ED56" w:rsidRPr="009A730B" w:rsidRDefault="496E4AD2" w:rsidP="3EC4081A">
      <w:pPr>
        <w:spacing w:after="0" w:line="240" w:lineRule="auto"/>
        <w:jc w:val="both"/>
        <w:rPr>
          <w:rFonts w:ascii="Verdana" w:eastAsia="Calibri" w:hAnsi="Verdana" w:cs="Arial"/>
          <w:sz w:val="24"/>
          <w:szCs w:val="24"/>
        </w:rPr>
      </w:pPr>
      <w:r w:rsidRPr="009A730B">
        <w:rPr>
          <w:rFonts w:ascii="Verdana" w:eastAsia="Calibri" w:hAnsi="Verdana" w:cs="Arial"/>
          <w:sz w:val="24"/>
          <w:szCs w:val="24"/>
        </w:rPr>
        <w:t xml:space="preserve">During 2025/26, the Digital, Data, Research and Innovation Committee received regular updates on the financial management of Digital Services, providing oversight of both capital and revenue positions. Reports outlined the Directorate’s responsibility for managing digital infrastructure, systems and services across the organisation, including ongoing challenges associated with securing sustainable capital funding for technology refresh and digital transformation. The Committee scrutinised in‑year financial performance at multiple points, noting continued delivery of required revenue savings and the reliance on non‑recurrent funding to support elements of the digital programme. Financial performance was monitored through established governance arrangements involving close working with Finance colleagues, with key risks, including those relating to insufficient digital investment, remaining under review at Board level. </w:t>
      </w:r>
    </w:p>
    <w:p w14:paraId="34ECF1DE" w14:textId="6B85A1D6" w:rsidR="4C39ED56" w:rsidRPr="009A730B" w:rsidRDefault="4C39ED56" w:rsidP="3EC4081A">
      <w:pPr>
        <w:spacing w:after="0" w:line="240" w:lineRule="auto"/>
        <w:jc w:val="both"/>
        <w:rPr>
          <w:rFonts w:ascii="Verdana" w:hAnsi="Verdana" w:cs="Arial"/>
          <w:sz w:val="24"/>
          <w:szCs w:val="24"/>
        </w:rPr>
      </w:pPr>
    </w:p>
    <w:p w14:paraId="6EAEB946" w14:textId="161D7A6E" w:rsidR="30A15D05" w:rsidRPr="000B5CCC" w:rsidRDefault="7F3D38BA" w:rsidP="00C2615D">
      <w:pPr>
        <w:pStyle w:val="ListParagraph"/>
        <w:numPr>
          <w:ilvl w:val="1"/>
          <w:numId w:val="43"/>
        </w:numPr>
        <w:spacing w:before="60" w:after="60" w:line="240" w:lineRule="auto"/>
        <w:rPr>
          <w:rFonts w:ascii="Verdana" w:eastAsia="Verdana" w:hAnsi="Verdana" w:cs="Verdana"/>
          <w:b/>
          <w:bCs/>
        </w:rPr>
      </w:pPr>
      <w:r w:rsidRPr="000B5CCC">
        <w:rPr>
          <w:rFonts w:ascii="Verdana" w:eastAsia="Verdana" w:hAnsi="Verdana" w:cs="Verdana"/>
          <w:b/>
          <w:bCs/>
          <w:color w:val="000000" w:themeColor="text1"/>
          <w:sz w:val="24"/>
          <w:szCs w:val="24"/>
        </w:rPr>
        <w:t>Operating Performance</w:t>
      </w:r>
    </w:p>
    <w:p w14:paraId="3B0D7BCA" w14:textId="6EF076D2" w:rsidR="6AE825D7" w:rsidRPr="009A730B" w:rsidRDefault="6AE825D7" w:rsidP="3EC4081A">
      <w:pPr>
        <w:spacing w:after="0" w:line="240" w:lineRule="auto"/>
        <w:jc w:val="both"/>
        <w:rPr>
          <w:rFonts w:ascii="Verdana" w:eastAsia="Calibri" w:hAnsi="Verdana" w:cs="Arial"/>
          <w:sz w:val="24"/>
          <w:szCs w:val="24"/>
        </w:rPr>
      </w:pPr>
      <w:r w:rsidRPr="009A730B">
        <w:rPr>
          <w:rFonts w:ascii="Verdana" w:eastAsia="Calibri" w:hAnsi="Verdana" w:cs="Arial"/>
          <w:sz w:val="24"/>
          <w:szCs w:val="24"/>
        </w:rPr>
        <w:t>During 2025/26, the Digital, Data, Research and Innovation Committee received regular updates on the operating performance of digital services, focusing on the resilience, capacity and effectiveness of systems supporting clinical and corporate functions. Reports highlighted operational pressures arising from workforce capacity, vacancies and planned retirements, alongside the impact of national programmes, supplier dependencies and fixed delivery deadlines on system performance. The Committee scrutinised progress against key digital programmes, system stability and service impacts, and sought assurance that risks affecting operational delivery were being actively managed and mitigated. Where concerns were identified, including the potential impact on service continuity and data‑informed decision</w:t>
      </w:r>
      <w:r w:rsidR="00344D29">
        <w:rPr>
          <w:rFonts w:ascii="Verdana" w:eastAsia="Calibri" w:hAnsi="Verdana" w:cs="Arial"/>
          <w:sz w:val="24"/>
          <w:szCs w:val="24"/>
        </w:rPr>
        <w:t xml:space="preserve"> </w:t>
      </w:r>
      <w:r w:rsidRPr="009A730B">
        <w:rPr>
          <w:rFonts w:ascii="Verdana" w:eastAsia="Calibri" w:hAnsi="Verdana" w:cs="Arial"/>
          <w:sz w:val="24"/>
          <w:szCs w:val="24"/>
        </w:rPr>
        <w:t xml:space="preserve">making, the Committee provided challenge, requested additional updates and escalated matters through established </w:t>
      </w:r>
      <w:r w:rsidRPr="009A730B">
        <w:rPr>
          <w:rFonts w:ascii="Verdana" w:eastAsia="Calibri" w:hAnsi="Verdana" w:cs="Arial"/>
          <w:sz w:val="24"/>
          <w:szCs w:val="24"/>
        </w:rPr>
        <w:lastRenderedPageBreak/>
        <w:t>governance routes as appropriate. Overall, the Committee took assurance that operational performance was subject to ongoing monitoring, while recognising the continued pressures associated with delivering and sustaining digital services in a complex operational environment.</w:t>
      </w:r>
    </w:p>
    <w:p w14:paraId="0274E148" w14:textId="7943791A" w:rsidR="6F2B4365" w:rsidRPr="009A730B" w:rsidRDefault="6F2B4365" w:rsidP="3EC4081A">
      <w:pPr>
        <w:spacing w:after="0" w:line="240" w:lineRule="auto"/>
        <w:jc w:val="both"/>
        <w:rPr>
          <w:rFonts w:ascii="Verdana" w:hAnsi="Verdana" w:cs="Arial"/>
          <w:sz w:val="24"/>
          <w:szCs w:val="24"/>
        </w:rPr>
      </w:pPr>
    </w:p>
    <w:p w14:paraId="0FDCF82A" w14:textId="1F6C5CC3" w:rsidR="6F2B4365" w:rsidRPr="000B5CCC" w:rsidRDefault="1E3E8C40" w:rsidP="00C2615D">
      <w:pPr>
        <w:pStyle w:val="ListParagraph"/>
        <w:numPr>
          <w:ilvl w:val="1"/>
          <w:numId w:val="43"/>
        </w:numPr>
        <w:spacing w:after="0" w:line="240" w:lineRule="auto"/>
        <w:rPr>
          <w:rFonts w:ascii="Verdana" w:hAnsi="Verdana" w:cs="Arial"/>
          <w:b/>
          <w:bCs/>
        </w:rPr>
      </w:pPr>
      <w:r w:rsidRPr="000B5CCC">
        <w:rPr>
          <w:rFonts w:ascii="Verdana" w:hAnsi="Verdana" w:cs="Arial"/>
          <w:b/>
          <w:bCs/>
          <w:sz w:val="24"/>
          <w:szCs w:val="24"/>
        </w:rPr>
        <w:t>Business Intelligence and Analytics</w:t>
      </w:r>
    </w:p>
    <w:p w14:paraId="6B5C1277" w14:textId="39D96183" w:rsidR="676E4239" w:rsidRPr="009A730B" w:rsidRDefault="676E4239" w:rsidP="3EC4081A">
      <w:pPr>
        <w:spacing w:after="0" w:line="240" w:lineRule="auto"/>
        <w:jc w:val="both"/>
        <w:rPr>
          <w:rFonts w:ascii="Verdana" w:eastAsia="Calibri" w:hAnsi="Verdana" w:cs="Arial"/>
          <w:sz w:val="24"/>
          <w:szCs w:val="24"/>
        </w:rPr>
      </w:pPr>
      <w:r w:rsidRPr="009A730B">
        <w:rPr>
          <w:rFonts w:ascii="Verdana" w:eastAsia="Calibri" w:hAnsi="Verdana" w:cs="Arial"/>
          <w:sz w:val="24"/>
          <w:szCs w:val="24"/>
        </w:rPr>
        <w:t>During 2025/26, regular assurance reports on Business Intelligence and Analytics, providing oversight of the work of the Digital Intelligence team and the delivery of key intelligence products supporting operational and strategic decision‑making</w:t>
      </w:r>
      <w:r w:rsidR="58CEF158" w:rsidRPr="009A730B">
        <w:rPr>
          <w:rFonts w:ascii="Verdana" w:eastAsia="Calibri" w:hAnsi="Verdana" w:cs="Arial"/>
          <w:sz w:val="24"/>
          <w:szCs w:val="24"/>
        </w:rPr>
        <w:t xml:space="preserve"> were </w:t>
      </w:r>
      <w:r w:rsidR="521AC01F" w:rsidRPr="009A730B">
        <w:rPr>
          <w:rFonts w:ascii="Verdana" w:eastAsia="Calibri" w:hAnsi="Verdana" w:cs="Arial"/>
          <w:sz w:val="24"/>
          <w:szCs w:val="24"/>
        </w:rPr>
        <w:t>received</w:t>
      </w:r>
      <w:r w:rsidRPr="009A730B">
        <w:rPr>
          <w:rFonts w:ascii="Verdana" w:eastAsia="Calibri" w:hAnsi="Verdana" w:cs="Arial"/>
          <w:sz w:val="24"/>
          <w:szCs w:val="24"/>
        </w:rPr>
        <w:t xml:space="preserve">. Updates highlighted progress against the Business Intelligence work programme, including the development and enhancement of dashboards, performance reports and data products to support areas such as waiting list validation, quality and safety, diagnostics and executive reporting. The Committee also received assurance on data literacy activity and the use of advanced analytical techniques to improve data quality and insight. While good progress was recognised and independent audit work provided substantial assurance in this area, the Committee noted ongoing work to finalise and align the Business Intelligence strategic plan with the wider Digital Strategy. </w:t>
      </w:r>
    </w:p>
    <w:p w14:paraId="6CE558D9" w14:textId="027CADB8" w:rsidR="004F056D" w:rsidRPr="009A730B" w:rsidRDefault="004F056D" w:rsidP="3EC4081A">
      <w:pPr>
        <w:spacing w:after="0" w:line="240" w:lineRule="auto"/>
        <w:rPr>
          <w:rFonts w:ascii="Verdana" w:hAnsi="Verdana" w:cs="Arial"/>
          <w:sz w:val="24"/>
          <w:szCs w:val="24"/>
        </w:rPr>
      </w:pPr>
    </w:p>
    <w:p w14:paraId="7C3837E6" w14:textId="79C87104" w:rsidR="00076750" w:rsidRPr="0057260C" w:rsidRDefault="361E34F5" w:rsidP="00C2615D">
      <w:pPr>
        <w:pStyle w:val="ListParagraph"/>
        <w:numPr>
          <w:ilvl w:val="1"/>
          <w:numId w:val="43"/>
        </w:numPr>
        <w:spacing w:after="0" w:line="240" w:lineRule="auto"/>
        <w:jc w:val="both"/>
        <w:rPr>
          <w:rFonts w:ascii="Verdana" w:eastAsia="Verdana" w:hAnsi="Verdana" w:cs="Verdana"/>
          <w:b/>
          <w:bCs/>
        </w:rPr>
      </w:pPr>
      <w:r w:rsidRPr="000B5CCC">
        <w:rPr>
          <w:rFonts w:ascii="Verdana" w:eastAsia="Verdana" w:hAnsi="Verdana" w:cs="Verdana"/>
          <w:b/>
          <w:bCs/>
          <w:color w:val="000000" w:themeColor="text1"/>
          <w:sz w:val="24"/>
          <w:szCs w:val="24"/>
        </w:rPr>
        <w:t xml:space="preserve">Integrated </w:t>
      </w:r>
      <w:r w:rsidR="001C138F" w:rsidRPr="000B5CCC">
        <w:rPr>
          <w:rFonts w:ascii="Verdana" w:eastAsia="Verdana" w:hAnsi="Verdana" w:cs="Verdana"/>
          <w:b/>
          <w:bCs/>
          <w:color w:val="000000" w:themeColor="text1"/>
          <w:sz w:val="24"/>
          <w:szCs w:val="24"/>
        </w:rPr>
        <w:t>Medium-Term</w:t>
      </w:r>
      <w:r w:rsidRPr="000B5CCC">
        <w:rPr>
          <w:rFonts w:ascii="Verdana" w:eastAsia="Verdana" w:hAnsi="Verdana" w:cs="Verdana"/>
          <w:b/>
          <w:bCs/>
          <w:color w:val="000000" w:themeColor="text1"/>
          <w:sz w:val="24"/>
          <w:szCs w:val="24"/>
        </w:rPr>
        <w:t xml:space="preserve"> Plan (IMTP) Digital Planning</w:t>
      </w:r>
    </w:p>
    <w:p w14:paraId="0B2DFA05" w14:textId="0D1D770C" w:rsidR="00076750" w:rsidRPr="009A730B" w:rsidRDefault="5899EA07" w:rsidP="3EC4081A">
      <w:pPr>
        <w:spacing w:after="0" w:line="240" w:lineRule="auto"/>
        <w:jc w:val="both"/>
        <w:rPr>
          <w:rFonts w:ascii="Verdana" w:eastAsia="Verdana" w:hAnsi="Verdana" w:cs="Verdana"/>
          <w:sz w:val="24"/>
          <w:szCs w:val="24"/>
        </w:rPr>
      </w:pPr>
      <w:r w:rsidRPr="009A730B">
        <w:rPr>
          <w:rFonts w:ascii="Verdana" w:eastAsia="Verdana" w:hAnsi="Verdana" w:cs="Verdana"/>
          <w:sz w:val="24"/>
          <w:szCs w:val="24"/>
        </w:rPr>
        <w:t xml:space="preserve">During 2025/26, regular updates on IMTP Digital Planning, providing oversight of the alignment between the Digital Strategy, the Integrated Medium‑Term Plan and wider organisational priorities were </w:t>
      </w:r>
      <w:r w:rsidR="42975ACA" w:rsidRPr="009A730B">
        <w:rPr>
          <w:rFonts w:ascii="Verdana" w:eastAsia="Verdana" w:hAnsi="Verdana" w:cs="Verdana"/>
          <w:sz w:val="24"/>
          <w:szCs w:val="24"/>
        </w:rPr>
        <w:t>received</w:t>
      </w:r>
      <w:r w:rsidRPr="009A730B">
        <w:rPr>
          <w:rFonts w:ascii="Verdana" w:eastAsia="Verdana" w:hAnsi="Verdana" w:cs="Verdana"/>
          <w:sz w:val="24"/>
          <w:szCs w:val="24"/>
        </w:rPr>
        <w:t xml:space="preserve">. The Committee considered progress against the digital elements of the IMTP, including deliverability, prioritisation of programmes and the affordability of planned digital investment. Particular attention was given to ensuring that digital plans supported service sustainability, national priorities and transformation ambitions, while recognising constraints linked to workforce capacity, funding and national dependencies. The Committee used IMTP updates to inform its assurance on digital strategy delivery and financial planning, seeking clarity on risks and mitigations where required. </w:t>
      </w:r>
    </w:p>
    <w:p w14:paraId="710FE05E" w14:textId="77777777" w:rsidR="000B5CCC" w:rsidRDefault="000B5CCC" w:rsidP="000B5CCC">
      <w:pPr>
        <w:spacing w:after="0" w:line="240" w:lineRule="auto"/>
        <w:jc w:val="both"/>
        <w:rPr>
          <w:rFonts w:ascii="Verdana" w:hAnsi="Verdana" w:cs="Arial"/>
          <w:b/>
          <w:bCs/>
          <w:sz w:val="24"/>
          <w:szCs w:val="24"/>
        </w:rPr>
      </w:pPr>
    </w:p>
    <w:p w14:paraId="588CED23" w14:textId="2C3B90A1" w:rsidR="00860409" w:rsidRPr="000B5CCC" w:rsidRDefault="3496A366" w:rsidP="00C2615D">
      <w:pPr>
        <w:pStyle w:val="ListParagraph"/>
        <w:numPr>
          <w:ilvl w:val="1"/>
          <w:numId w:val="43"/>
        </w:numPr>
        <w:spacing w:after="0" w:line="240" w:lineRule="auto"/>
        <w:jc w:val="both"/>
        <w:rPr>
          <w:rFonts w:ascii="Verdana" w:hAnsi="Verdana" w:cs="Arial"/>
          <w:b/>
          <w:bCs/>
        </w:rPr>
      </w:pPr>
      <w:r w:rsidRPr="000B5CCC">
        <w:rPr>
          <w:rFonts w:ascii="Verdana" w:hAnsi="Verdana" w:cs="Arial"/>
          <w:b/>
          <w:bCs/>
          <w:sz w:val="24"/>
          <w:szCs w:val="24"/>
        </w:rPr>
        <w:t>Artificial Intelligence Governance</w:t>
      </w:r>
    </w:p>
    <w:p w14:paraId="125F43F3" w14:textId="39CF5360" w:rsidR="3EC4081A" w:rsidRPr="006A635A" w:rsidRDefault="1555F5CB" w:rsidP="3EC4081A">
      <w:pPr>
        <w:spacing w:after="0" w:line="240" w:lineRule="auto"/>
        <w:jc w:val="both"/>
        <w:rPr>
          <w:rFonts w:ascii="Verdana" w:eastAsia="Calibri" w:hAnsi="Verdana" w:cs="Arial"/>
          <w:sz w:val="24"/>
          <w:szCs w:val="24"/>
        </w:rPr>
      </w:pPr>
      <w:r w:rsidRPr="009A730B">
        <w:rPr>
          <w:rFonts w:ascii="Verdana" w:eastAsia="Calibri" w:hAnsi="Verdana" w:cs="Arial"/>
          <w:sz w:val="24"/>
          <w:szCs w:val="24"/>
        </w:rPr>
        <w:t xml:space="preserve">During 2025/26, the Digital, Data, Research and Innovation Committee provided oversight of Artificial Intelligence (AI) governance, recognising the increasing use of AI‑enabled tools within digital services and the associated ethical, legal and information governance considerations. The Committee considered updates on the development of local governance arrangements for AI, including work to clarify the Health Board’s position on the safe and appropriate use of emerging technologies, particularly generative AI. Discussions emphasised the need to balance innovation with patient safety, data protection, accountability and compliance with national guidance, alongside ongoing engagement with Digital Health and Care Wales and wider NHS Wales partners. The Committee requested further work to strengthen assurance arrangements, including clearer governance frameworks, guardrails for use and ongoing monitoring of AI activity. </w:t>
      </w:r>
    </w:p>
    <w:p w14:paraId="392C2B75" w14:textId="5171E64F" w:rsidR="3E7906D0" w:rsidRPr="000B5CCC" w:rsidRDefault="3D0330B1" w:rsidP="00C2615D">
      <w:pPr>
        <w:pStyle w:val="ListParagraph"/>
        <w:numPr>
          <w:ilvl w:val="1"/>
          <w:numId w:val="43"/>
        </w:numPr>
        <w:spacing w:after="0" w:line="240" w:lineRule="auto"/>
        <w:jc w:val="both"/>
        <w:rPr>
          <w:rFonts w:ascii="Verdana" w:hAnsi="Verdana" w:cs="Arial"/>
          <w:b/>
          <w:bCs/>
        </w:rPr>
      </w:pPr>
      <w:r w:rsidRPr="000B5CCC">
        <w:rPr>
          <w:rFonts w:ascii="Verdana" w:hAnsi="Verdana" w:cs="Arial"/>
          <w:b/>
          <w:bCs/>
          <w:sz w:val="24"/>
          <w:szCs w:val="24"/>
        </w:rPr>
        <w:lastRenderedPageBreak/>
        <w:t>Records Management</w:t>
      </w:r>
    </w:p>
    <w:p w14:paraId="09BBB895" w14:textId="5AD71202" w:rsidR="4C39ED56" w:rsidRPr="009A730B" w:rsidRDefault="2D013F00" w:rsidP="3EC4081A">
      <w:pPr>
        <w:spacing w:after="0" w:line="240" w:lineRule="auto"/>
        <w:jc w:val="both"/>
        <w:rPr>
          <w:rFonts w:ascii="Verdana" w:eastAsia="Calibri" w:hAnsi="Verdana" w:cs="Arial"/>
          <w:sz w:val="24"/>
          <w:szCs w:val="24"/>
        </w:rPr>
      </w:pPr>
      <w:r w:rsidRPr="009A730B">
        <w:rPr>
          <w:rFonts w:ascii="Verdana" w:eastAsia="Calibri" w:hAnsi="Verdana" w:cs="Arial"/>
          <w:sz w:val="24"/>
          <w:szCs w:val="24"/>
        </w:rPr>
        <w:t xml:space="preserve">During 2025/26, the Committee maintained oversight of records management, recognising the significance of information governance, regulatory compliance and operational risk associated with health records and Subject Access Requests (SARs). Focus was placed on understanding system and process limitations, including challenges arising from increased SAR volumes, reliance on manual processes and fragmented systems. The Committee provided challenge and direction on the development of improvement plans, including contractual arrangements for third‑party storage, options for digitisation and actions to address backlogs, whilst noting the impact of embargoes and resource constraints. Where risks relating to UK‑GDPR compliance and records management remained heightened, the Committee escalated concerns to the Board through established governance routes. </w:t>
      </w:r>
    </w:p>
    <w:p w14:paraId="745CD56A" w14:textId="1C53638F" w:rsidR="000B5CCC" w:rsidRDefault="4F52C2C6" w:rsidP="000B5CCC">
      <w:pPr>
        <w:spacing w:after="0" w:line="240" w:lineRule="auto"/>
        <w:jc w:val="both"/>
        <w:rPr>
          <w:rFonts w:ascii="Verdana" w:hAnsi="Verdana" w:cs="Arial"/>
          <w:sz w:val="24"/>
          <w:szCs w:val="24"/>
        </w:rPr>
      </w:pPr>
      <w:r w:rsidRPr="009A730B">
        <w:rPr>
          <w:rFonts w:ascii="Verdana" w:hAnsi="Verdana" w:cs="Arial"/>
          <w:sz w:val="24"/>
          <w:szCs w:val="24"/>
        </w:rPr>
        <w:t xml:space="preserve"> </w:t>
      </w:r>
    </w:p>
    <w:p w14:paraId="64614477" w14:textId="6EE23CA0" w:rsidR="12FB2D53" w:rsidRPr="009A730B" w:rsidRDefault="000B5CCC" w:rsidP="000B5CCC">
      <w:pPr>
        <w:spacing w:after="0" w:line="240" w:lineRule="auto"/>
        <w:jc w:val="both"/>
        <w:rPr>
          <w:rFonts w:ascii="Verdana" w:eastAsia="Calibri" w:hAnsi="Verdana" w:cs="Arial"/>
          <w:sz w:val="24"/>
          <w:szCs w:val="24"/>
        </w:rPr>
      </w:pPr>
      <w:r w:rsidRPr="000B5CCC">
        <w:rPr>
          <w:rFonts w:ascii="Verdana" w:hAnsi="Verdana" w:cs="Arial"/>
          <w:b/>
          <w:bCs/>
          <w:sz w:val="24"/>
          <w:szCs w:val="24"/>
        </w:rPr>
        <w:t>9.10</w:t>
      </w:r>
      <w:r>
        <w:rPr>
          <w:rFonts w:ascii="Verdana" w:hAnsi="Verdana" w:cs="Arial"/>
          <w:sz w:val="24"/>
          <w:szCs w:val="24"/>
        </w:rPr>
        <w:t xml:space="preserve"> </w:t>
      </w:r>
      <w:r w:rsidR="12FB2D53" w:rsidRPr="009A730B">
        <w:rPr>
          <w:rFonts w:ascii="Verdana" w:eastAsia="Calibri" w:hAnsi="Verdana" w:cs="Arial"/>
          <w:b/>
          <w:bCs/>
          <w:sz w:val="24"/>
          <w:szCs w:val="24"/>
        </w:rPr>
        <w:t>Research and Development Strategy</w:t>
      </w:r>
    </w:p>
    <w:p w14:paraId="0C56E8A2" w14:textId="1B3FB2F3" w:rsidR="12FB2D53" w:rsidRPr="009A730B" w:rsidRDefault="12FB2D53" w:rsidP="3EC4081A">
      <w:pPr>
        <w:spacing w:after="0" w:line="240" w:lineRule="auto"/>
        <w:jc w:val="both"/>
        <w:rPr>
          <w:rFonts w:ascii="Verdana" w:eastAsia="Calibri" w:hAnsi="Verdana" w:cs="Arial"/>
          <w:sz w:val="24"/>
          <w:szCs w:val="24"/>
        </w:rPr>
      </w:pPr>
      <w:r w:rsidRPr="009A730B">
        <w:rPr>
          <w:rFonts w:ascii="Verdana" w:eastAsia="Calibri" w:hAnsi="Verdana" w:cs="Arial"/>
          <w:sz w:val="24"/>
          <w:szCs w:val="24"/>
        </w:rPr>
        <w:t>During 2025/26, the Committee provided oversight of the Health Board’s Research and Development (R&amp;D) Strategy and governance arrangements, supporting the promotion of high‑quality research activity aligned to organisational priorities. The Committee received updates on research performance and portfolio management, including assurance on recruitment activity and progress against targets, and acknowledged the strong performance of the R&amp;D function. The establishment of the Research and Development Governance Group, with its terms of reference endorsed by the Committee, strengthened the formal oversight of research activity, risk and prioritisation. The Committee also considered national and regional research requirements, including Health and Care Research Wales submissions, and used these updates to inform its assurance to the Board.</w:t>
      </w:r>
    </w:p>
    <w:p w14:paraId="293F59BF" w14:textId="62DC0968" w:rsidR="4C39ED56" w:rsidRPr="009A730B" w:rsidRDefault="4C39ED56" w:rsidP="4C39ED56">
      <w:pPr>
        <w:spacing w:after="0" w:line="240" w:lineRule="auto"/>
        <w:jc w:val="both"/>
        <w:rPr>
          <w:rFonts w:ascii="Verdana" w:hAnsi="Verdana" w:cs="Arial"/>
          <w:b/>
          <w:bCs/>
          <w:sz w:val="24"/>
          <w:szCs w:val="24"/>
        </w:rPr>
      </w:pPr>
    </w:p>
    <w:p w14:paraId="5B5267B0" w14:textId="2290AAAA" w:rsidR="3061A475" w:rsidRPr="000B5CCC" w:rsidRDefault="3061A475" w:rsidP="00C2615D">
      <w:pPr>
        <w:pStyle w:val="ListParagraph"/>
        <w:numPr>
          <w:ilvl w:val="1"/>
          <w:numId w:val="44"/>
        </w:numPr>
        <w:spacing w:after="0" w:line="240" w:lineRule="auto"/>
        <w:jc w:val="both"/>
        <w:rPr>
          <w:rFonts w:ascii="Verdana" w:hAnsi="Verdana" w:cs="Arial"/>
          <w:b/>
          <w:bCs/>
          <w:sz w:val="24"/>
          <w:szCs w:val="24"/>
        </w:rPr>
      </w:pPr>
      <w:r w:rsidRPr="000B5CCC">
        <w:rPr>
          <w:rFonts w:ascii="Verdana" w:hAnsi="Verdana" w:cs="Arial"/>
          <w:b/>
          <w:bCs/>
          <w:sz w:val="24"/>
          <w:szCs w:val="24"/>
        </w:rPr>
        <w:t>Voluntary Scheme for Branded Medicines Pricing, Access and Growth programme</w:t>
      </w:r>
      <w:r w:rsidR="13E35F00" w:rsidRPr="000B5CCC">
        <w:rPr>
          <w:rFonts w:ascii="Verdana" w:hAnsi="Verdana" w:cs="Arial"/>
          <w:b/>
          <w:bCs/>
          <w:sz w:val="24"/>
          <w:szCs w:val="24"/>
        </w:rPr>
        <w:t xml:space="preserve"> (VPAG)</w:t>
      </w:r>
    </w:p>
    <w:p w14:paraId="52583FBD" w14:textId="323ADCB1" w:rsidR="2309A076" w:rsidRPr="009A730B" w:rsidRDefault="2309A076" w:rsidP="3EC4081A">
      <w:pPr>
        <w:spacing w:after="0" w:line="240" w:lineRule="auto"/>
        <w:jc w:val="both"/>
        <w:rPr>
          <w:rFonts w:ascii="Verdana" w:eastAsia="Calibri" w:hAnsi="Verdana" w:cs="Arial"/>
          <w:sz w:val="24"/>
          <w:szCs w:val="24"/>
        </w:rPr>
      </w:pPr>
      <w:r w:rsidRPr="009A730B">
        <w:rPr>
          <w:rFonts w:ascii="Verdana" w:eastAsia="Calibri" w:hAnsi="Verdana" w:cs="Arial"/>
          <w:sz w:val="24"/>
          <w:szCs w:val="24"/>
        </w:rPr>
        <w:t xml:space="preserve">During 2025/26, the Committee’s work included oversight of the Health Board’s involvement in the Voluntary Scheme for Branded Medicines Pricing, Access and Growth (VPAG) programme, recognising its importance in supporting innovation, commercial research capacity and access to new medicines. The Committee considered progress against bids submitted through the scheme and was assured of the arrangements in place to maximise opportunities arising from available funding, including investment in research infrastructure, workforce capacity and regional collaboration. Attention was given to learning from both successful and unsuccessful funding applications, and to ensuring alignment with wider research and development priorities. </w:t>
      </w:r>
    </w:p>
    <w:p w14:paraId="245AD202" w14:textId="62F7D71E" w:rsidR="3EC4081A" w:rsidRPr="009A730B" w:rsidRDefault="3EC4081A" w:rsidP="3EC4081A">
      <w:pPr>
        <w:spacing w:after="0" w:line="240" w:lineRule="auto"/>
        <w:jc w:val="both"/>
        <w:rPr>
          <w:rFonts w:ascii="Verdana" w:eastAsia="Calibri" w:hAnsi="Verdana" w:cs="Arial"/>
          <w:sz w:val="24"/>
          <w:szCs w:val="24"/>
        </w:rPr>
      </w:pPr>
    </w:p>
    <w:p w14:paraId="1C42C311" w14:textId="3AA54537" w:rsidR="0286ACCE" w:rsidRPr="000B5CCC" w:rsidRDefault="0286ACCE" w:rsidP="00C2615D">
      <w:pPr>
        <w:pStyle w:val="ListParagraph"/>
        <w:numPr>
          <w:ilvl w:val="1"/>
          <w:numId w:val="44"/>
        </w:numPr>
        <w:spacing w:after="0" w:line="240" w:lineRule="auto"/>
        <w:jc w:val="both"/>
        <w:rPr>
          <w:rFonts w:ascii="Verdana" w:hAnsi="Verdana" w:cs="Arial"/>
          <w:b/>
          <w:bCs/>
          <w:sz w:val="24"/>
          <w:szCs w:val="24"/>
        </w:rPr>
      </w:pPr>
      <w:r w:rsidRPr="000B5CCC">
        <w:rPr>
          <w:rFonts w:ascii="Verdana" w:hAnsi="Verdana" w:cs="Arial"/>
          <w:b/>
          <w:bCs/>
          <w:sz w:val="24"/>
          <w:szCs w:val="24"/>
        </w:rPr>
        <w:t>Information Governance and Cyber Security Assurance Group (IGCAG)</w:t>
      </w:r>
    </w:p>
    <w:p w14:paraId="1463CE15" w14:textId="56529344" w:rsidR="0286ACCE" w:rsidRPr="009A730B" w:rsidRDefault="0286ACCE" w:rsidP="3EC4081A">
      <w:pPr>
        <w:spacing w:after="0" w:line="240" w:lineRule="auto"/>
        <w:jc w:val="both"/>
        <w:rPr>
          <w:rFonts w:ascii="Verdana" w:eastAsia="Calibri" w:hAnsi="Verdana" w:cs="Arial"/>
          <w:sz w:val="24"/>
          <w:szCs w:val="24"/>
        </w:rPr>
      </w:pPr>
      <w:r w:rsidRPr="009A730B">
        <w:rPr>
          <w:rFonts w:ascii="Verdana" w:eastAsia="Calibri" w:hAnsi="Verdana" w:cs="Arial"/>
          <w:sz w:val="24"/>
          <w:szCs w:val="24"/>
        </w:rPr>
        <w:t xml:space="preserve">During 2025/26, issues arising from the Information Governance and Cyber Security Assurance Group (IGCAG) were considered through Key Issues </w:t>
      </w:r>
      <w:r w:rsidRPr="009A730B">
        <w:rPr>
          <w:rFonts w:ascii="Verdana" w:eastAsia="Calibri" w:hAnsi="Verdana" w:cs="Arial"/>
          <w:sz w:val="24"/>
          <w:szCs w:val="24"/>
        </w:rPr>
        <w:lastRenderedPageBreak/>
        <w:t xml:space="preserve">reporting to support the Committee’s oversight of information governance and cyber security risks. These reports highlighted matters including data quality, records management, Subject Access Request pressures, capacity within the Information Governance function, and compliance with regulatory requirements. The Committee sought assurance on mitigation plans, policy updates and progress against agreed actions, and where risks remained heightened, particularly in relation to UK‑GDPR compliance, matters were escalated to the Board through established governance routes. </w:t>
      </w:r>
    </w:p>
    <w:p w14:paraId="4E4ED98C" w14:textId="57332FA5" w:rsidR="3EC4081A" w:rsidRPr="009A730B" w:rsidRDefault="3EC4081A" w:rsidP="3EC4081A">
      <w:pPr>
        <w:spacing w:after="0" w:line="240" w:lineRule="auto"/>
        <w:jc w:val="both"/>
        <w:rPr>
          <w:rFonts w:ascii="Verdana" w:eastAsia="Calibri" w:hAnsi="Verdana" w:cs="Arial"/>
          <w:sz w:val="24"/>
          <w:szCs w:val="24"/>
        </w:rPr>
      </w:pPr>
    </w:p>
    <w:p w14:paraId="43594C17" w14:textId="7CEA8E2D" w:rsidR="17B150ED" w:rsidRPr="000B5CCC" w:rsidRDefault="17B150ED" w:rsidP="00C2615D">
      <w:pPr>
        <w:pStyle w:val="ListParagraph"/>
        <w:numPr>
          <w:ilvl w:val="1"/>
          <w:numId w:val="44"/>
        </w:numPr>
        <w:spacing w:after="0" w:line="240" w:lineRule="auto"/>
        <w:jc w:val="both"/>
        <w:rPr>
          <w:rFonts w:ascii="Verdana" w:hAnsi="Verdana" w:cs="Arial"/>
          <w:b/>
          <w:bCs/>
          <w:sz w:val="24"/>
          <w:szCs w:val="24"/>
        </w:rPr>
      </w:pPr>
      <w:r w:rsidRPr="000B5CCC">
        <w:rPr>
          <w:rFonts w:ascii="Verdana" w:hAnsi="Verdana" w:cs="Arial"/>
          <w:b/>
          <w:bCs/>
          <w:sz w:val="24"/>
          <w:szCs w:val="24"/>
        </w:rPr>
        <w:t>Clinical Coding</w:t>
      </w:r>
    </w:p>
    <w:p w14:paraId="79FA8E13" w14:textId="65FC17F7" w:rsidR="17B150ED" w:rsidRPr="009A730B" w:rsidRDefault="17B150ED" w:rsidP="3EC4081A">
      <w:pPr>
        <w:spacing w:after="0" w:line="240" w:lineRule="auto"/>
        <w:jc w:val="both"/>
        <w:rPr>
          <w:rFonts w:ascii="Verdana" w:eastAsia="Calibri" w:hAnsi="Verdana" w:cs="Arial"/>
          <w:sz w:val="24"/>
          <w:szCs w:val="24"/>
        </w:rPr>
      </w:pPr>
      <w:r w:rsidRPr="009A730B">
        <w:rPr>
          <w:rFonts w:ascii="Verdana" w:eastAsia="Calibri" w:hAnsi="Verdana" w:cs="Arial"/>
          <w:sz w:val="24"/>
          <w:szCs w:val="24"/>
        </w:rPr>
        <w:t xml:space="preserve">During 2025/26, the Committee maintained oversight of Clinical Coding, recognising its importance to data quality, performance reporting and regulatory compliance. Progress against internal audit actions and wider improvement plans was monitored, alongside the impact of workforce vacancies, sickness absence and service redesign on coding performance. The Committee sought assurance on measures to improve productivity and backlog management, including the introduction of new coding approaches and the exploration of automation and digital solutions. Where risks relating to capacity, delivery timescales and assurance remained, these were highlighted to the Board through established governance routes. </w:t>
      </w:r>
    </w:p>
    <w:p w14:paraId="69701D5C" w14:textId="57E5516C" w:rsidR="3EC4081A" w:rsidRPr="009A730B" w:rsidRDefault="3EC4081A" w:rsidP="6D8E5F83">
      <w:pPr>
        <w:spacing w:after="0" w:line="240" w:lineRule="auto"/>
        <w:jc w:val="both"/>
        <w:rPr>
          <w:rFonts w:ascii="Verdana" w:eastAsia="Calibri" w:hAnsi="Verdana" w:cs="Arial"/>
          <w:b/>
          <w:bCs/>
          <w:sz w:val="24"/>
          <w:szCs w:val="24"/>
        </w:rPr>
      </w:pPr>
    </w:p>
    <w:p w14:paraId="3B352773" w14:textId="645E23C8" w:rsidR="24502986" w:rsidRPr="000B5CCC" w:rsidRDefault="24502986" w:rsidP="00C2615D">
      <w:pPr>
        <w:pStyle w:val="ListParagraph"/>
        <w:numPr>
          <w:ilvl w:val="1"/>
          <w:numId w:val="44"/>
        </w:numPr>
        <w:spacing w:after="0" w:line="240" w:lineRule="auto"/>
        <w:jc w:val="both"/>
        <w:rPr>
          <w:rFonts w:ascii="Verdana" w:hAnsi="Verdana" w:cs="Arial"/>
          <w:b/>
          <w:bCs/>
          <w:sz w:val="24"/>
          <w:szCs w:val="24"/>
        </w:rPr>
      </w:pPr>
      <w:r w:rsidRPr="000B5CCC">
        <w:rPr>
          <w:rFonts w:ascii="Verdana" w:hAnsi="Verdana" w:cs="Arial"/>
          <w:b/>
          <w:bCs/>
          <w:sz w:val="24"/>
          <w:szCs w:val="24"/>
        </w:rPr>
        <w:t xml:space="preserve">Digitisation of Eye Care Services </w:t>
      </w:r>
    </w:p>
    <w:p w14:paraId="1B0DED17" w14:textId="178F6505" w:rsidR="24502986" w:rsidRPr="009A730B" w:rsidRDefault="24502986" w:rsidP="3EC4081A">
      <w:pPr>
        <w:spacing w:after="0" w:line="240" w:lineRule="auto"/>
        <w:jc w:val="both"/>
        <w:rPr>
          <w:rFonts w:ascii="Verdana" w:eastAsia="Calibri" w:hAnsi="Verdana" w:cs="Arial"/>
          <w:sz w:val="24"/>
          <w:szCs w:val="24"/>
        </w:rPr>
      </w:pPr>
      <w:r w:rsidRPr="009A730B">
        <w:rPr>
          <w:rFonts w:ascii="Verdana" w:eastAsia="Calibri" w:hAnsi="Verdana" w:cs="Arial"/>
          <w:sz w:val="24"/>
          <w:szCs w:val="24"/>
        </w:rPr>
        <w:t>Progress on the Digitisation of Eye Care Services was considered, with assurance sought on delivery of the programme, regional working arrangements and management of cross‑boundary risks. The Committee recognised the strategic importance of the programme in supporting digital transformation and requested ongoing oversight to ensure risks and dependencies remained actively managed.</w:t>
      </w:r>
    </w:p>
    <w:p w14:paraId="757BC0D3" w14:textId="77777777" w:rsidR="000B5CCC" w:rsidRDefault="000B5CCC" w:rsidP="000B5CCC">
      <w:pPr>
        <w:spacing w:after="0" w:line="240" w:lineRule="auto"/>
        <w:jc w:val="both"/>
        <w:rPr>
          <w:rFonts w:ascii="Verdana" w:eastAsia="Verdana" w:hAnsi="Verdana" w:cs="Verdana"/>
          <w:b/>
          <w:bCs/>
          <w:color w:val="000000" w:themeColor="text1"/>
          <w:sz w:val="24"/>
          <w:szCs w:val="24"/>
        </w:rPr>
      </w:pPr>
    </w:p>
    <w:p w14:paraId="28F25535" w14:textId="29FF2237" w:rsidR="24502986" w:rsidRPr="000B5CCC" w:rsidRDefault="24502986" w:rsidP="00C2615D">
      <w:pPr>
        <w:pStyle w:val="ListParagraph"/>
        <w:numPr>
          <w:ilvl w:val="1"/>
          <w:numId w:val="44"/>
        </w:numPr>
        <w:spacing w:after="0" w:line="240" w:lineRule="auto"/>
        <w:jc w:val="both"/>
        <w:rPr>
          <w:rFonts w:ascii="Verdana" w:eastAsia="Verdana" w:hAnsi="Verdana" w:cs="Verdana"/>
          <w:b/>
          <w:bCs/>
          <w:sz w:val="24"/>
          <w:szCs w:val="24"/>
        </w:rPr>
      </w:pPr>
      <w:r w:rsidRPr="000B5CCC">
        <w:rPr>
          <w:rFonts w:ascii="Verdana" w:eastAsia="Verdana" w:hAnsi="Verdana" w:cs="Verdana"/>
          <w:b/>
          <w:bCs/>
          <w:color w:val="000000" w:themeColor="text1"/>
          <w:sz w:val="24"/>
          <w:szCs w:val="24"/>
        </w:rPr>
        <w:t>Clinical Coding and Digital Maternity</w:t>
      </w:r>
    </w:p>
    <w:p w14:paraId="4D79D0D3" w14:textId="572B1B0F" w:rsidR="44A9A962" w:rsidRPr="009A730B" w:rsidRDefault="44A9A962" w:rsidP="3EC4081A">
      <w:pPr>
        <w:spacing w:after="0" w:line="240" w:lineRule="auto"/>
        <w:jc w:val="both"/>
        <w:rPr>
          <w:rFonts w:ascii="Verdana" w:eastAsia="Calibri" w:hAnsi="Verdana" w:cs="Arial"/>
          <w:sz w:val="24"/>
          <w:szCs w:val="24"/>
        </w:rPr>
      </w:pPr>
      <w:r w:rsidRPr="009A730B">
        <w:rPr>
          <w:rFonts w:ascii="Verdana" w:eastAsia="Calibri" w:hAnsi="Verdana" w:cs="Arial"/>
          <w:sz w:val="24"/>
          <w:szCs w:val="24"/>
        </w:rPr>
        <w:t>A progress update on Clinical Coding and Digital Maternity was considered in July, providing assurance on improvement actions, workforce arrangements and delivery plans. The Committee noted progress against audit actions and coding performance trajectories, alongside the impacts of vacancies and service redesign, and sought assurance on mitigation measures including longer‑term service restructuring and use of digital solutions. Updates on Digital Maternity focused on delivery progress, management of financial and non‑financial risks and plans to ensure safe and sustainable implementation, with the Committee requesting ongoing oversight given the scale and complexity of both areas.</w:t>
      </w:r>
    </w:p>
    <w:p w14:paraId="02295944" w14:textId="5588EB2D" w:rsidR="3EC4081A" w:rsidRPr="009A730B" w:rsidRDefault="3EC4081A" w:rsidP="3EC4081A">
      <w:pPr>
        <w:spacing w:after="0" w:line="240" w:lineRule="auto"/>
        <w:jc w:val="both"/>
        <w:rPr>
          <w:rFonts w:ascii="Verdana" w:eastAsia="Calibri" w:hAnsi="Verdana" w:cs="Arial"/>
          <w:sz w:val="24"/>
          <w:szCs w:val="24"/>
        </w:rPr>
      </w:pPr>
    </w:p>
    <w:p w14:paraId="7718BCC0" w14:textId="5ED2F594" w:rsidR="6B1E53A2" w:rsidRPr="000B5CCC" w:rsidRDefault="6B1E53A2" w:rsidP="00C2615D">
      <w:pPr>
        <w:pStyle w:val="ListParagraph"/>
        <w:numPr>
          <w:ilvl w:val="1"/>
          <w:numId w:val="44"/>
        </w:numPr>
        <w:spacing w:after="0" w:line="240" w:lineRule="auto"/>
        <w:jc w:val="both"/>
        <w:rPr>
          <w:rFonts w:ascii="Verdana" w:hAnsi="Verdana" w:cs="Arial"/>
          <w:b/>
          <w:bCs/>
          <w:sz w:val="24"/>
          <w:szCs w:val="24"/>
        </w:rPr>
      </w:pPr>
      <w:r w:rsidRPr="000B5CCC">
        <w:rPr>
          <w:rFonts w:ascii="Verdana" w:hAnsi="Verdana" w:cs="Arial"/>
          <w:b/>
          <w:bCs/>
          <w:sz w:val="24"/>
          <w:szCs w:val="24"/>
        </w:rPr>
        <w:t>NHS Wales App Plan</w:t>
      </w:r>
    </w:p>
    <w:p w14:paraId="6465884E" w14:textId="1F7DB332" w:rsidR="6B1E53A2" w:rsidRPr="009A730B" w:rsidRDefault="6B1E53A2" w:rsidP="3EC4081A">
      <w:pPr>
        <w:spacing w:after="0" w:line="240" w:lineRule="auto"/>
        <w:jc w:val="both"/>
        <w:rPr>
          <w:rFonts w:ascii="Verdana" w:eastAsia="Calibri" w:hAnsi="Verdana" w:cs="Arial"/>
          <w:sz w:val="24"/>
          <w:szCs w:val="24"/>
        </w:rPr>
      </w:pPr>
      <w:r w:rsidRPr="009A730B">
        <w:rPr>
          <w:rFonts w:ascii="Verdana" w:eastAsia="Calibri" w:hAnsi="Verdana" w:cs="Arial"/>
          <w:sz w:val="24"/>
          <w:szCs w:val="24"/>
        </w:rPr>
        <w:t xml:space="preserve">An update on the NHS Wales App plan was considered, providing assurance on progress, alignment with national direction and the Health Board’s readiness to support implementation. The Committee sought assurance on </w:t>
      </w:r>
      <w:r w:rsidRPr="009A730B">
        <w:rPr>
          <w:rFonts w:ascii="Verdana" w:eastAsia="Calibri" w:hAnsi="Verdana" w:cs="Arial"/>
          <w:sz w:val="24"/>
          <w:szCs w:val="24"/>
        </w:rPr>
        <w:lastRenderedPageBreak/>
        <w:t>delivery timescales, dependencies and integration with existing digital systems, and requested continued oversight as the programme progressed.</w:t>
      </w:r>
    </w:p>
    <w:p w14:paraId="36CFCC87" w14:textId="1B958D70" w:rsidR="3EC4081A" w:rsidRPr="009A730B" w:rsidRDefault="3EC4081A" w:rsidP="3EC4081A">
      <w:pPr>
        <w:spacing w:after="0" w:line="240" w:lineRule="auto"/>
        <w:jc w:val="both"/>
        <w:rPr>
          <w:rFonts w:ascii="Verdana" w:eastAsia="Calibri" w:hAnsi="Verdana" w:cs="Arial"/>
          <w:sz w:val="24"/>
          <w:szCs w:val="24"/>
        </w:rPr>
      </w:pPr>
    </w:p>
    <w:p w14:paraId="19EE8029" w14:textId="0093BB9B" w:rsidR="7506C35A" w:rsidRPr="000B5CCC" w:rsidRDefault="7506C35A" w:rsidP="00C2615D">
      <w:pPr>
        <w:pStyle w:val="ListParagraph"/>
        <w:numPr>
          <w:ilvl w:val="1"/>
          <w:numId w:val="44"/>
        </w:numPr>
        <w:spacing w:after="0" w:line="240" w:lineRule="auto"/>
        <w:jc w:val="both"/>
        <w:rPr>
          <w:rFonts w:ascii="Verdana" w:hAnsi="Verdana" w:cs="Arial"/>
          <w:b/>
          <w:bCs/>
          <w:sz w:val="24"/>
          <w:szCs w:val="24"/>
        </w:rPr>
      </w:pPr>
      <w:r w:rsidRPr="000B5CCC">
        <w:rPr>
          <w:rFonts w:ascii="Verdana" w:hAnsi="Verdana" w:cs="Arial"/>
          <w:b/>
          <w:bCs/>
          <w:sz w:val="24"/>
          <w:szCs w:val="24"/>
        </w:rPr>
        <w:t>Exploring Digital Ageism</w:t>
      </w:r>
    </w:p>
    <w:p w14:paraId="3CDF50AA" w14:textId="4549CF7E" w:rsidR="7506C35A" w:rsidRPr="009A730B" w:rsidRDefault="7506C35A" w:rsidP="3EC4081A">
      <w:pPr>
        <w:spacing w:after="0" w:line="240" w:lineRule="auto"/>
        <w:jc w:val="both"/>
        <w:rPr>
          <w:rFonts w:ascii="Verdana" w:eastAsia="Calibri" w:hAnsi="Verdana" w:cs="Arial"/>
          <w:sz w:val="24"/>
          <w:szCs w:val="24"/>
        </w:rPr>
      </w:pPr>
      <w:r w:rsidRPr="009A730B">
        <w:rPr>
          <w:rFonts w:ascii="Verdana" w:eastAsia="Calibri" w:hAnsi="Verdana" w:cs="Arial"/>
          <w:sz w:val="24"/>
          <w:szCs w:val="24"/>
        </w:rPr>
        <w:t>The Committee considered a report on Exploring Digital Ageism, focusing on understanding and mitigating the impact of digital exclusion on different population groups. The Committee emphasised the importance of embedding a population‑health approach, using data and metrics across protected characteristics to inform service planning and ensure digital transformation supports equity and inclusion, with follow‑up reporting requested to support ongoing oversight.</w:t>
      </w:r>
    </w:p>
    <w:p w14:paraId="53031130" w14:textId="2CE1A74F" w:rsidR="3EC4081A" w:rsidRPr="009A730B" w:rsidRDefault="3EC4081A" w:rsidP="3EC4081A">
      <w:pPr>
        <w:spacing w:after="0" w:line="240" w:lineRule="auto"/>
        <w:jc w:val="both"/>
        <w:rPr>
          <w:rFonts w:ascii="Verdana" w:eastAsia="Calibri" w:hAnsi="Verdana" w:cs="Arial"/>
          <w:sz w:val="24"/>
          <w:szCs w:val="24"/>
        </w:rPr>
      </w:pPr>
    </w:p>
    <w:p w14:paraId="2E2AA77A" w14:textId="0128347F" w:rsidR="2943998D" w:rsidRPr="000B5CCC" w:rsidRDefault="2943998D" w:rsidP="00C2615D">
      <w:pPr>
        <w:pStyle w:val="ListParagraph"/>
        <w:numPr>
          <w:ilvl w:val="1"/>
          <w:numId w:val="44"/>
        </w:numPr>
        <w:spacing w:after="0" w:line="240" w:lineRule="auto"/>
        <w:jc w:val="both"/>
        <w:rPr>
          <w:rFonts w:ascii="Verdana" w:hAnsi="Verdana" w:cs="Arial"/>
          <w:b/>
          <w:bCs/>
          <w:sz w:val="24"/>
          <w:szCs w:val="24"/>
        </w:rPr>
      </w:pPr>
      <w:r w:rsidRPr="000B5CCC">
        <w:rPr>
          <w:rFonts w:ascii="Verdana" w:hAnsi="Verdana" w:cs="Arial"/>
          <w:b/>
          <w:bCs/>
          <w:sz w:val="24"/>
          <w:szCs w:val="24"/>
        </w:rPr>
        <w:t>A Digitally Ready Workforce</w:t>
      </w:r>
    </w:p>
    <w:p w14:paraId="00234DB1" w14:textId="3638FAE6" w:rsidR="2943998D" w:rsidRPr="009A730B" w:rsidRDefault="2943998D" w:rsidP="3EC4081A">
      <w:pPr>
        <w:spacing w:after="0" w:line="240" w:lineRule="auto"/>
        <w:jc w:val="both"/>
        <w:rPr>
          <w:rFonts w:ascii="Verdana" w:eastAsia="Calibri" w:hAnsi="Verdana" w:cs="Arial"/>
          <w:sz w:val="24"/>
          <w:szCs w:val="24"/>
        </w:rPr>
      </w:pPr>
      <w:r w:rsidRPr="009A730B">
        <w:rPr>
          <w:rFonts w:ascii="Verdana" w:eastAsia="Calibri" w:hAnsi="Verdana" w:cs="Arial"/>
          <w:sz w:val="24"/>
          <w:szCs w:val="24"/>
        </w:rPr>
        <w:t>An update on A Digitally Ready Workforce was considered following referral from the Workforce and OD Committee, focusing on the development of a plan to support digital capability, capacity and skills across the organisation. The Committee sought assurance that the proposed approach aligned with digital transformation priorities and requested ongoing reporting to support oversight and cross‑committee assurance.</w:t>
      </w:r>
    </w:p>
    <w:p w14:paraId="6F874A23" w14:textId="1E64D404" w:rsidR="3EC4081A" w:rsidRPr="009A730B" w:rsidRDefault="3EC4081A" w:rsidP="3EC4081A">
      <w:pPr>
        <w:spacing w:after="0" w:line="240" w:lineRule="auto"/>
        <w:jc w:val="both"/>
        <w:rPr>
          <w:rFonts w:ascii="Verdana" w:eastAsia="Calibri" w:hAnsi="Verdana" w:cs="Arial"/>
          <w:b/>
          <w:bCs/>
          <w:sz w:val="24"/>
          <w:szCs w:val="24"/>
        </w:rPr>
      </w:pPr>
    </w:p>
    <w:p w14:paraId="495D89AA" w14:textId="77777777" w:rsidR="0057260C" w:rsidRPr="0057260C" w:rsidRDefault="1EB58E29" w:rsidP="00C2615D">
      <w:pPr>
        <w:pStyle w:val="ListParagraph"/>
        <w:numPr>
          <w:ilvl w:val="1"/>
          <w:numId w:val="44"/>
        </w:numPr>
        <w:spacing w:line="240" w:lineRule="auto"/>
        <w:rPr>
          <w:rFonts w:ascii="Verdana" w:eastAsia="Verdana" w:hAnsi="Verdana" w:cs="Verdana"/>
          <w:b/>
          <w:bCs/>
          <w:sz w:val="24"/>
          <w:szCs w:val="24"/>
        </w:rPr>
      </w:pPr>
      <w:r w:rsidRPr="27469953">
        <w:rPr>
          <w:rFonts w:ascii="Verdana" w:eastAsia="Verdana" w:hAnsi="Verdana" w:cs="Verdana"/>
          <w:b/>
          <w:bCs/>
          <w:color w:val="000000" w:themeColor="text1"/>
          <w:sz w:val="24"/>
          <w:szCs w:val="24"/>
        </w:rPr>
        <w:t>Digital Frailty Screening</w:t>
      </w:r>
    </w:p>
    <w:p w14:paraId="6FB60E5D" w14:textId="571E883E" w:rsidR="3EC4081A" w:rsidRPr="0057260C" w:rsidRDefault="1EB58E29" w:rsidP="002A7D3A">
      <w:pPr>
        <w:spacing w:line="240" w:lineRule="auto"/>
        <w:jc w:val="both"/>
        <w:rPr>
          <w:rFonts w:ascii="Verdana" w:eastAsia="Verdana" w:hAnsi="Verdana" w:cs="Verdana"/>
          <w:b/>
          <w:bCs/>
          <w:sz w:val="24"/>
          <w:szCs w:val="24"/>
        </w:rPr>
      </w:pPr>
      <w:r w:rsidRPr="0057260C">
        <w:rPr>
          <w:rFonts w:ascii="Verdana" w:eastAsia="Verdana" w:hAnsi="Verdana" w:cs="Verdana"/>
          <w:sz w:val="24"/>
          <w:szCs w:val="24"/>
        </w:rPr>
        <w:t>A presentation on Digital Frailty Screening was considered, providing assurance on the use of a digital self</w:t>
      </w:r>
      <w:r w:rsidRPr="0057260C">
        <w:rPr>
          <w:rFonts w:ascii="Cambria Math" w:eastAsia="Verdana" w:hAnsi="Cambria Math" w:cs="Cambria Math"/>
          <w:sz w:val="24"/>
          <w:szCs w:val="24"/>
        </w:rPr>
        <w:t>‑</w:t>
      </w:r>
      <w:r w:rsidRPr="0057260C">
        <w:rPr>
          <w:rFonts w:ascii="Verdana" w:eastAsia="Verdana" w:hAnsi="Verdana" w:cs="Verdana"/>
          <w:sz w:val="24"/>
          <w:szCs w:val="24"/>
        </w:rPr>
        <w:t>screening tool to support early identification and management of frailty in older patients. The Committee noted improvements in clinical efficiency, patient understanding and service capacity, alongside plans to embed the tool within pre</w:t>
      </w:r>
      <w:r w:rsidRPr="0057260C">
        <w:rPr>
          <w:rFonts w:ascii="Cambria Math" w:eastAsia="Verdana" w:hAnsi="Cambria Math" w:cs="Cambria Math"/>
          <w:sz w:val="24"/>
          <w:szCs w:val="24"/>
        </w:rPr>
        <w:t>‑</w:t>
      </w:r>
      <w:r w:rsidRPr="0057260C">
        <w:rPr>
          <w:rFonts w:ascii="Verdana" w:eastAsia="Verdana" w:hAnsi="Verdana" w:cs="Verdana"/>
          <w:sz w:val="24"/>
          <w:szCs w:val="24"/>
        </w:rPr>
        <w:t>operative assessment processes, and supported continued monitoring as the approach is expanded.</w:t>
      </w:r>
    </w:p>
    <w:p w14:paraId="342B7782" w14:textId="3DA9FDE2" w:rsidR="42E62E45" w:rsidRPr="004232F3" w:rsidRDefault="42E62E45" w:rsidP="00C2615D">
      <w:pPr>
        <w:pStyle w:val="ListParagraph"/>
        <w:numPr>
          <w:ilvl w:val="1"/>
          <w:numId w:val="44"/>
        </w:numPr>
        <w:spacing w:line="240" w:lineRule="auto"/>
        <w:jc w:val="both"/>
        <w:rPr>
          <w:rFonts w:ascii="Verdana" w:eastAsia="Verdana" w:hAnsi="Verdana" w:cs="Verdana"/>
          <w:b/>
          <w:bCs/>
          <w:sz w:val="24"/>
          <w:szCs w:val="24"/>
        </w:rPr>
      </w:pPr>
      <w:r w:rsidRPr="004232F3">
        <w:rPr>
          <w:rFonts w:ascii="Verdana" w:eastAsia="Verdana" w:hAnsi="Verdana" w:cs="Verdana"/>
          <w:b/>
          <w:bCs/>
          <w:sz w:val="24"/>
          <w:szCs w:val="24"/>
        </w:rPr>
        <w:t>Regional Oncology Review</w:t>
      </w:r>
    </w:p>
    <w:p w14:paraId="5C57C247" w14:textId="4D94184A" w:rsidR="42E62E45" w:rsidRPr="009A730B" w:rsidRDefault="42E62E45" w:rsidP="3EC4081A">
      <w:pPr>
        <w:spacing w:line="240" w:lineRule="auto"/>
        <w:jc w:val="both"/>
        <w:rPr>
          <w:rFonts w:ascii="Verdana" w:eastAsia="Verdana" w:hAnsi="Verdana" w:cs="Verdana"/>
          <w:sz w:val="24"/>
          <w:szCs w:val="24"/>
        </w:rPr>
      </w:pPr>
      <w:r w:rsidRPr="009A730B">
        <w:rPr>
          <w:rFonts w:ascii="Verdana" w:eastAsia="Verdana" w:hAnsi="Verdana" w:cs="Verdana"/>
          <w:sz w:val="24"/>
          <w:szCs w:val="24"/>
        </w:rPr>
        <w:t xml:space="preserve">A Regional Oncology Review was considered, exploring the development of a regional approach to oncology services and clinical trials across Swansea Bay and partner Health Boards. The Committee acknowledged the work undertaken to date but noted that it was not fully assured due to a lack of clarity regarding the financial position, governance and approval pathways, and the absence of a defined preferred delivery model. </w:t>
      </w:r>
    </w:p>
    <w:p w14:paraId="17F67D16" w14:textId="38A25417" w:rsidR="0F1EF2EA" w:rsidRPr="002A7D3A" w:rsidRDefault="0F1EF2EA" w:rsidP="00C2615D">
      <w:pPr>
        <w:pStyle w:val="ListParagraph"/>
        <w:numPr>
          <w:ilvl w:val="1"/>
          <w:numId w:val="44"/>
        </w:numPr>
        <w:spacing w:line="240" w:lineRule="auto"/>
        <w:rPr>
          <w:rFonts w:ascii="Verdana" w:eastAsia="Verdana" w:hAnsi="Verdana" w:cs="Verdana"/>
          <w:b/>
          <w:bCs/>
          <w:sz w:val="24"/>
          <w:szCs w:val="24"/>
        </w:rPr>
      </w:pPr>
      <w:r w:rsidRPr="002A7D3A">
        <w:rPr>
          <w:rFonts w:ascii="Verdana" w:eastAsia="Verdana" w:hAnsi="Verdana" w:cs="Verdana"/>
          <w:b/>
          <w:bCs/>
          <w:color w:val="000000" w:themeColor="text1"/>
          <w:sz w:val="24"/>
          <w:szCs w:val="24"/>
        </w:rPr>
        <w:t>Health and Care Research Wales (HCRW) Self-Assessment Submission</w:t>
      </w:r>
    </w:p>
    <w:p w14:paraId="0EB412B4" w14:textId="6CF3C8BF" w:rsidR="3EC4081A" w:rsidRDefault="4466DD9D" w:rsidP="002A7D3A">
      <w:pPr>
        <w:spacing w:after="0" w:line="240" w:lineRule="auto"/>
        <w:jc w:val="both"/>
        <w:rPr>
          <w:rFonts w:ascii="Verdana" w:eastAsia="Verdana" w:hAnsi="Verdana" w:cs="Verdana"/>
          <w:sz w:val="24"/>
          <w:szCs w:val="24"/>
        </w:rPr>
      </w:pPr>
      <w:r w:rsidRPr="009A730B">
        <w:rPr>
          <w:rFonts w:ascii="Verdana" w:eastAsia="Verdana" w:hAnsi="Verdana" w:cs="Verdana"/>
          <w:sz w:val="24"/>
          <w:szCs w:val="24"/>
        </w:rPr>
        <w:t>The Committee considered the Health and Care Research Wales (HCRW) self</w:t>
      </w:r>
      <w:r w:rsidRPr="009A730B">
        <w:noBreakHyphen/>
      </w:r>
      <w:r w:rsidRPr="009A730B">
        <w:rPr>
          <w:rFonts w:ascii="Verdana" w:eastAsia="Verdana" w:hAnsi="Verdana" w:cs="Verdana"/>
          <w:sz w:val="24"/>
          <w:szCs w:val="24"/>
        </w:rPr>
        <w:t>assessment submission against the NHS Wales Research &amp; Development Framework, providing assurance on the Health Board’s maturity against national requirements and expectations. The refreshed self</w:t>
      </w:r>
      <w:r w:rsidRPr="009A730B">
        <w:noBreakHyphen/>
      </w:r>
      <w:r w:rsidRPr="009A730B">
        <w:rPr>
          <w:rFonts w:ascii="Verdana" w:eastAsia="Verdana" w:hAnsi="Verdana" w:cs="Verdana"/>
          <w:sz w:val="24"/>
          <w:szCs w:val="24"/>
        </w:rPr>
        <w:t>assessment demonstrated progress since the 2023 baseline, set out priorities for the next three years, and endorsed the approach to evidencing improvement. The Committee supported submission of the self</w:t>
      </w:r>
      <w:r w:rsidRPr="009A730B">
        <w:noBreakHyphen/>
      </w:r>
      <w:r w:rsidRPr="009A730B">
        <w:rPr>
          <w:rFonts w:ascii="Verdana" w:eastAsia="Verdana" w:hAnsi="Verdana" w:cs="Verdana"/>
          <w:sz w:val="24"/>
          <w:szCs w:val="24"/>
        </w:rPr>
        <w:t xml:space="preserve">assessment </w:t>
      </w:r>
      <w:r w:rsidRPr="009A730B">
        <w:rPr>
          <w:rFonts w:ascii="Verdana" w:eastAsia="Verdana" w:hAnsi="Verdana" w:cs="Verdana"/>
          <w:sz w:val="24"/>
          <w:szCs w:val="24"/>
        </w:rPr>
        <w:lastRenderedPageBreak/>
        <w:t>to HCRW ahead of the national deadline and noted that it would inform ongoing engagement with Welsh Government and the future development of the Health Board’s research portfolio.</w:t>
      </w:r>
    </w:p>
    <w:p w14:paraId="2BAF776B" w14:textId="77777777" w:rsidR="0057260C" w:rsidRPr="009A730B" w:rsidRDefault="0057260C" w:rsidP="0057260C">
      <w:pPr>
        <w:spacing w:after="0" w:line="240" w:lineRule="auto"/>
        <w:jc w:val="both"/>
        <w:rPr>
          <w:rFonts w:ascii="Verdana" w:eastAsia="Verdana" w:hAnsi="Verdana" w:cs="Verdana"/>
          <w:sz w:val="24"/>
          <w:szCs w:val="24"/>
        </w:rPr>
      </w:pPr>
    </w:p>
    <w:p w14:paraId="773DCE56" w14:textId="0AC5DECE" w:rsidR="009C63B9" w:rsidRPr="004232F3" w:rsidRDefault="009C63B9" w:rsidP="00C2615D">
      <w:pPr>
        <w:pStyle w:val="ListParagraph"/>
        <w:numPr>
          <w:ilvl w:val="1"/>
          <w:numId w:val="44"/>
        </w:numPr>
        <w:spacing w:line="240" w:lineRule="auto"/>
        <w:jc w:val="both"/>
        <w:rPr>
          <w:rFonts w:ascii="Verdana" w:eastAsia="Verdana" w:hAnsi="Verdana" w:cs="Verdana"/>
          <w:b/>
          <w:bCs/>
          <w:color w:val="000000" w:themeColor="text1"/>
          <w:sz w:val="24"/>
          <w:szCs w:val="24"/>
        </w:rPr>
      </w:pPr>
      <w:r w:rsidRPr="004232F3">
        <w:rPr>
          <w:rFonts w:ascii="Verdana" w:eastAsia="Verdana" w:hAnsi="Verdana" w:cs="Verdana"/>
          <w:b/>
          <w:bCs/>
          <w:color w:val="000000" w:themeColor="text1"/>
          <w:sz w:val="24"/>
          <w:szCs w:val="24"/>
        </w:rPr>
        <w:t>Digital delivery against the digital plan for 25/26 and digital strategy</w:t>
      </w:r>
    </w:p>
    <w:p w14:paraId="45D72504" w14:textId="3AE99903" w:rsidR="009C63B9" w:rsidRPr="009A730B" w:rsidRDefault="009C63B9" w:rsidP="6D8E5F83">
      <w:pPr>
        <w:spacing w:line="240" w:lineRule="auto"/>
        <w:jc w:val="both"/>
        <w:rPr>
          <w:rFonts w:ascii="Verdana" w:eastAsia="Verdana" w:hAnsi="Verdana" w:cs="Verdana"/>
          <w:sz w:val="24"/>
          <w:szCs w:val="24"/>
        </w:rPr>
      </w:pPr>
      <w:r w:rsidRPr="009A730B">
        <w:rPr>
          <w:rFonts w:ascii="Verdana" w:eastAsia="Verdana" w:hAnsi="Verdana" w:cs="Verdana"/>
          <w:sz w:val="24"/>
          <w:szCs w:val="24"/>
        </w:rPr>
        <w:t>Progress on digital delivery against the digital plan for 2025/26 and the Digital Strategy was considered, providing assurance on alignment with the Integrated Medium‑Term Plan (IMTP) and organisational priorities. The Committee reviewed delivery across multiple digital workstreams, noted key risks and dependencies, and requested ongoing oversight where nationally mandated timescales and programme complexity created delivery pressures.</w:t>
      </w:r>
    </w:p>
    <w:p w14:paraId="64137093" w14:textId="4CB32E64" w:rsidR="3EC4081A" w:rsidRPr="004232F3" w:rsidRDefault="5BE9E3AE" w:rsidP="00C2615D">
      <w:pPr>
        <w:pStyle w:val="ListParagraph"/>
        <w:numPr>
          <w:ilvl w:val="1"/>
          <w:numId w:val="44"/>
        </w:numPr>
        <w:spacing w:after="0" w:line="240" w:lineRule="auto"/>
        <w:jc w:val="both"/>
        <w:rPr>
          <w:rFonts w:ascii="Verdana" w:eastAsia="Verdana" w:hAnsi="Verdana" w:cs="Verdana"/>
          <w:b/>
          <w:bCs/>
          <w:sz w:val="24"/>
          <w:szCs w:val="24"/>
        </w:rPr>
      </w:pPr>
      <w:r w:rsidRPr="004232F3">
        <w:rPr>
          <w:rFonts w:ascii="Verdana" w:eastAsia="Verdana" w:hAnsi="Verdana" w:cs="Verdana"/>
          <w:b/>
          <w:bCs/>
          <w:sz w:val="24"/>
          <w:szCs w:val="24"/>
        </w:rPr>
        <w:t>Briefing</w:t>
      </w:r>
      <w:r w:rsidR="37CB5EB7" w:rsidRPr="004232F3">
        <w:rPr>
          <w:rFonts w:ascii="Verdana" w:eastAsia="Verdana" w:hAnsi="Verdana" w:cs="Verdana"/>
          <w:b/>
          <w:bCs/>
          <w:sz w:val="24"/>
          <w:szCs w:val="24"/>
        </w:rPr>
        <w:t xml:space="preserve"> Session on Artificial </w:t>
      </w:r>
      <w:r w:rsidR="4C5F8103" w:rsidRPr="004232F3">
        <w:rPr>
          <w:rFonts w:ascii="Verdana" w:eastAsia="Verdana" w:hAnsi="Verdana" w:cs="Verdana"/>
          <w:b/>
          <w:bCs/>
          <w:sz w:val="24"/>
          <w:szCs w:val="24"/>
        </w:rPr>
        <w:t>Intelligence</w:t>
      </w:r>
    </w:p>
    <w:p w14:paraId="4A69663A" w14:textId="78A55305" w:rsidR="3EC4081A" w:rsidRPr="009A730B" w:rsidRDefault="4C5F8103" w:rsidP="6D8E5F83">
      <w:pPr>
        <w:spacing w:after="0" w:line="240" w:lineRule="auto"/>
        <w:jc w:val="both"/>
        <w:rPr>
          <w:rFonts w:ascii="Verdana" w:eastAsia="Verdana" w:hAnsi="Verdana" w:cs="Verdana"/>
          <w:sz w:val="24"/>
          <w:szCs w:val="24"/>
        </w:rPr>
      </w:pPr>
      <w:r w:rsidRPr="009A730B">
        <w:rPr>
          <w:rFonts w:ascii="Verdana" w:eastAsia="Verdana" w:hAnsi="Verdana" w:cs="Verdana"/>
          <w:sz w:val="24"/>
          <w:szCs w:val="24"/>
        </w:rPr>
        <w:t>The Committee held a briefing session to enhance members’ understanding of the current position regarding the use of business intelligence dashboards, including the range of operational information available to support decision</w:t>
      </w:r>
      <w:r w:rsidR="3EC4081A" w:rsidRPr="009A730B">
        <w:noBreakHyphen/>
      </w:r>
      <w:r w:rsidRPr="009A730B">
        <w:rPr>
          <w:rFonts w:ascii="Verdana" w:eastAsia="Verdana" w:hAnsi="Verdana" w:cs="Verdana"/>
          <w:sz w:val="24"/>
          <w:szCs w:val="24"/>
        </w:rPr>
        <w:t>making. The session also explored the extent to which artificial intelligence is currently being utilised across the Health Board, its potential future applications, and emerging opportunities. In addition, the Committee considered the scope for regional collaboration on digital initiatives, recognising the potential to deliver increased benefits through shared approaches and innovation.</w:t>
      </w:r>
    </w:p>
    <w:p w14:paraId="657C6D69" w14:textId="40A59E28" w:rsidR="3EC4081A" w:rsidRPr="009A730B" w:rsidRDefault="3EC4081A" w:rsidP="6D8E5F83">
      <w:pPr>
        <w:spacing w:after="0" w:line="240" w:lineRule="auto"/>
        <w:jc w:val="both"/>
        <w:rPr>
          <w:rFonts w:ascii="Verdana" w:eastAsia="Verdana" w:hAnsi="Verdana" w:cs="Verdana"/>
          <w:b/>
          <w:bCs/>
          <w:sz w:val="24"/>
          <w:szCs w:val="24"/>
        </w:rPr>
      </w:pPr>
    </w:p>
    <w:p w14:paraId="3B87E118" w14:textId="64ACE2E2" w:rsidR="3CDAC972" w:rsidRPr="002A7D3A" w:rsidRDefault="2235358A" w:rsidP="00C2615D">
      <w:pPr>
        <w:pStyle w:val="ListParagraph"/>
        <w:numPr>
          <w:ilvl w:val="1"/>
          <w:numId w:val="44"/>
        </w:numPr>
        <w:spacing w:after="0" w:line="240" w:lineRule="auto"/>
        <w:rPr>
          <w:rFonts w:ascii="Verdana" w:hAnsi="Verdana" w:cs="Arial"/>
          <w:b/>
          <w:bCs/>
        </w:rPr>
      </w:pPr>
      <w:r w:rsidRPr="002A7D3A">
        <w:rPr>
          <w:rFonts w:ascii="Verdana" w:hAnsi="Verdana" w:cs="Arial"/>
          <w:b/>
          <w:bCs/>
          <w:sz w:val="24"/>
          <w:szCs w:val="24"/>
        </w:rPr>
        <w:t>Committee Effectiveness</w:t>
      </w:r>
    </w:p>
    <w:p w14:paraId="53D21452" w14:textId="50175CB4" w:rsidR="00860409" w:rsidRPr="009A730B" w:rsidRDefault="0F87E352" w:rsidP="3EC4081A">
      <w:pPr>
        <w:spacing w:after="0" w:line="240" w:lineRule="auto"/>
        <w:jc w:val="both"/>
        <w:rPr>
          <w:rFonts w:ascii="Verdana" w:eastAsia="Calibri" w:hAnsi="Verdana" w:cs="Arial"/>
          <w:sz w:val="24"/>
          <w:szCs w:val="24"/>
        </w:rPr>
      </w:pPr>
      <w:r w:rsidRPr="009A730B">
        <w:rPr>
          <w:rFonts w:ascii="Verdana" w:eastAsia="Calibri" w:hAnsi="Verdana" w:cs="Arial"/>
          <w:sz w:val="24"/>
          <w:szCs w:val="24"/>
        </w:rPr>
        <w:t>During 2025/26, the effectiveness of the Digital, Data, Research and Innovation Committee was formally considered through a self‑assessment process, which provided reflection on the Committee’s role, focus and ways of working. This confirmed that the Committee had set clear priorities, was supported by appropriate reporting and information, and benefited from strong engagement and challenge from Members. Attendance and participation remained consistent throughout the year, supporting effective discussion and decision‑making. The self‑assessment also helped identify opportunities to further refine agenda planning and reporting as the Committee’s remit continued to mature.</w:t>
      </w:r>
    </w:p>
    <w:p w14:paraId="28C4588E" w14:textId="3316CDFD" w:rsidR="00860409" w:rsidRPr="009A730B" w:rsidRDefault="00860409" w:rsidP="3EC4081A">
      <w:pPr>
        <w:spacing w:after="0" w:line="240" w:lineRule="auto"/>
        <w:jc w:val="both"/>
        <w:rPr>
          <w:rFonts w:ascii="Verdana" w:eastAsia="Calibri" w:hAnsi="Verdana" w:cs="Arial"/>
          <w:sz w:val="24"/>
          <w:szCs w:val="24"/>
        </w:rPr>
      </w:pPr>
    </w:p>
    <w:p w14:paraId="7930F40C" w14:textId="2C397EA5" w:rsidR="000D087D" w:rsidRPr="000D087D" w:rsidRDefault="000D087D" w:rsidP="00C2615D">
      <w:pPr>
        <w:pStyle w:val="ListParagraph"/>
        <w:numPr>
          <w:ilvl w:val="1"/>
          <w:numId w:val="44"/>
        </w:numPr>
        <w:spacing w:after="0" w:line="240" w:lineRule="auto"/>
        <w:jc w:val="both"/>
        <w:rPr>
          <w:rFonts w:ascii="Verdana" w:hAnsi="Verdana" w:cs="Arial"/>
          <w:b/>
          <w:bCs/>
          <w:sz w:val="24"/>
          <w:szCs w:val="24"/>
        </w:rPr>
      </w:pPr>
      <w:r w:rsidRPr="000D087D">
        <w:rPr>
          <w:rFonts w:ascii="Verdana" w:hAnsi="Verdana" w:cs="Arial"/>
          <w:b/>
          <w:bCs/>
          <w:sz w:val="24"/>
          <w:szCs w:val="24"/>
        </w:rPr>
        <w:t>Committee Management</w:t>
      </w:r>
    </w:p>
    <w:p w14:paraId="503BD812" w14:textId="6229D082" w:rsidR="00860409" w:rsidRPr="000D087D" w:rsidRDefault="211CDDA8" w:rsidP="000D087D">
      <w:pPr>
        <w:spacing w:after="0" w:line="240" w:lineRule="auto"/>
        <w:jc w:val="both"/>
        <w:rPr>
          <w:rFonts w:ascii="Verdana" w:hAnsi="Verdana" w:cs="Arial"/>
          <w:sz w:val="24"/>
          <w:szCs w:val="24"/>
        </w:rPr>
      </w:pPr>
      <w:r w:rsidRPr="000D087D">
        <w:rPr>
          <w:rFonts w:ascii="Verdana" w:hAnsi="Verdana" w:cs="Arial"/>
          <w:sz w:val="24"/>
          <w:szCs w:val="24"/>
        </w:rPr>
        <w:t>During 2025/26, the Committee endorsed a small number of key governance and strategic items within its delegated authority, including revisions to its Terms of Reference and the Research and Development Strategy, and approved its annual work programme and meeting minutes.</w:t>
      </w:r>
    </w:p>
    <w:p w14:paraId="7B2D547C" w14:textId="77777777" w:rsidR="00860409" w:rsidRPr="009A730B" w:rsidRDefault="00860409" w:rsidP="000006C6">
      <w:pPr>
        <w:spacing w:after="0" w:line="240" w:lineRule="auto"/>
        <w:rPr>
          <w:rFonts w:ascii="Verdana" w:hAnsi="Verdana" w:cs="Arial"/>
          <w:b/>
          <w:bCs/>
          <w:sz w:val="24"/>
          <w:szCs w:val="24"/>
          <w:u w:val="single"/>
        </w:rPr>
      </w:pPr>
    </w:p>
    <w:p w14:paraId="1E2C96C5" w14:textId="77777777" w:rsidR="008534EE" w:rsidRDefault="008534EE" w:rsidP="6F2B4365">
      <w:pPr>
        <w:spacing w:after="0" w:line="240" w:lineRule="auto"/>
        <w:jc w:val="center"/>
        <w:rPr>
          <w:rFonts w:ascii="Verdana" w:hAnsi="Verdana" w:cs="Arial"/>
          <w:b/>
          <w:bCs/>
          <w:sz w:val="24"/>
          <w:szCs w:val="24"/>
          <w:u w:val="single"/>
        </w:rPr>
      </w:pPr>
    </w:p>
    <w:p w14:paraId="487A7A8A" w14:textId="77777777" w:rsidR="008534EE" w:rsidRDefault="008534EE" w:rsidP="6F2B4365">
      <w:pPr>
        <w:spacing w:after="0" w:line="240" w:lineRule="auto"/>
        <w:jc w:val="center"/>
        <w:rPr>
          <w:rFonts w:ascii="Verdana" w:hAnsi="Verdana" w:cs="Arial"/>
          <w:b/>
          <w:bCs/>
          <w:sz w:val="24"/>
          <w:szCs w:val="24"/>
          <w:u w:val="single"/>
        </w:rPr>
      </w:pPr>
    </w:p>
    <w:p w14:paraId="7C675279" w14:textId="77777777" w:rsidR="00C71573" w:rsidRDefault="00C71573" w:rsidP="6F2B4365">
      <w:pPr>
        <w:spacing w:after="0" w:line="240" w:lineRule="auto"/>
        <w:jc w:val="center"/>
        <w:rPr>
          <w:rFonts w:ascii="Verdana" w:hAnsi="Verdana" w:cs="Arial"/>
          <w:b/>
          <w:bCs/>
          <w:sz w:val="24"/>
          <w:szCs w:val="24"/>
          <w:u w:val="single"/>
        </w:rPr>
      </w:pPr>
    </w:p>
    <w:p w14:paraId="4CC25ED1" w14:textId="77777777" w:rsidR="008534EE" w:rsidRDefault="008534EE" w:rsidP="6F2B4365">
      <w:pPr>
        <w:spacing w:after="0" w:line="240" w:lineRule="auto"/>
        <w:jc w:val="center"/>
        <w:rPr>
          <w:rFonts w:ascii="Verdana" w:hAnsi="Verdana" w:cs="Arial"/>
          <w:b/>
          <w:bCs/>
          <w:sz w:val="24"/>
          <w:szCs w:val="24"/>
          <w:u w:val="single"/>
        </w:rPr>
      </w:pPr>
    </w:p>
    <w:p w14:paraId="53BAF930" w14:textId="1DBBE810" w:rsidR="000F3D80" w:rsidRPr="009A730B" w:rsidRDefault="09AF3B4C" w:rsidP="6F2B4365">
      <w:pPr>
        <w:spacing w:after="0" w:line="240" w:lineRule="auto"/>
        <w:jc w:val="center"/>
        <w:rPr>
          <w:rFonts w:ascii="Verdana" w:hAnsi="Verdana" w:cs="Arial"/>
          <w:b/>
          <w:bCs/>
          <w:sz w:val="24"/>
          <w:szCs w:val="24"/>
          <w:u w:val="single"/>
        </w:rPr>
      </w:pPr>
      <w:r w:rsidRPr="009A730B">
        <w:rPr>
          <w:rFonts w:ascii="Verdana" w:hAnsi="Verdana" w:cs="Arial"/>
          <w:b/>
          <w:bCs/>
          <w:sz w:val="24"/>
          <w:szCs w:val="24"/>
          <w:u w:val="single"/>
        </w:rPr>
        <w:lastRenderedPageBreak/>
        <w:t xml:space="preserve">Section </w:t>
      </w:r>
      <w:r w:rsidR="46469DE1" w:rsidRPr="009A730B">
        <w:rPr>
          <w:rFonts w:ascii="Verdana" w:hAnsi="Verdana" w:cs="Arial"/>
          <w:b/>
          <w:bCs/>
          <w:sz w:val="24"/>
          <w:szCs w:val="24"/>
          <w:u w:val="single"/>
        </w:rPr>
        <w:t>10</w:t>
      </w:r>
    </w:p>
    <w:p w14:paraId="78AC3A5D" w14:textId="302698A7" w:rsidR="00EC2026" w:rsidRPr="009A730B" w:rsidRDefault="00EC2026" w:rsidP="00D56023">
      <w:pPr>
        <w:spacing w:after="0" w:line="240" w:lineRule="auto"/>
        <w:jc w:val="center"/>
        <w:rPr>
          <w:rFonts w:ascii="Verdana" w:hAnsi="Verdana" w:cs="Arial"/>
          <w:b/>
          <w:sz w:val="24"/>
          <w:szCs w:val="24"/>
          <w:u w:val="single"/>
        </w:rPr>
      </w:pPr>
      <w:r w:rsidRPr="009A730B">
        <w:rPr>
          <w:rFonts w:ascii="Verdana" w:hAnsi="Verdana" w:cs="Arial"/>
          <w:b/>
          <w:sz w:val="24"/>
          <w:szCs w:val="24"/>
          <w:u w:val="single"/>
        </w:rPr>
        <w:t>Remuneration and Terms of Service Committee</w:t>
      </w:r>
    </w:p>
    <w:p w14:paraId="0247F8B3" w14:textId="77777777" w:rsidR="00EC2026" w:rsidRPr="009A730B" w:rsidRDefault="00EC2026" w:rsidP="00D56023">
      <w:pPr>
        <w:spacing w:after="0" w:line="240" w:lineRule="auto"/>
        <w:jc w:val="both"/>
        <w:rPr>
          <w:rFonts w:ascii="Verdana" w:hAnsi="Verdana" w:cs="Arial"/>
          <w:b/>
          <w:color w:val="5B9BD5" w:themeColor="accent1"/>
          <w:sz w:val="24"/>
          <w:szCs w:val="24"/>
          <w:u w:val="single"/>
        </w:rPr>
      </w:pPr>
    </w:p>
    <w:p w14:paraId="0D8EBB25" w14:textId="7A556DBE" w:rsidR="00DA537E" w:rsidRPr="009A730B" w:rsidRDefault="00E606D5" w:rsidP="001D1EFE">
      <w:pPr>
        <w:widowControl w:val="0"/>
        <w:tabs>
          <w:tab w:val="left" w:pos="720"/>
        </w:tabs>
        <w:autoSpaceDE w:val="0"/>
        <w:autoSpaceDN w:val="0"/>
        <w:adjustRightInd w:val="0"/>
        <w:spacing w:after="0" w:line="240" w:lineRule="auto"/>
        <w:jc w:val="both"/>
        <w:rPr>
          <w:rFonts w:ascii="Verdana" w:eastAsia="Times New Roman" w:hAnsi="Verdana" w:cs="Arial"/>
          <w:bCs/>
          <w:sz w:val="24"/>
          <w:szCs w:val="24"/>
        </w:rPr>
      </w:pPr>
      <w:r w:rsidRPr="009A730B">
        <w:rPr>
          <w:rFonts w:ascii="Verdana" w:eastAsia="Times New Roman" w:hAnsi="Verdana" w:cs="Arial"/>
          <w:bCs/>
          <w:sz w:val="24"/>
          <w:szCs w:val="24"/>
        </w:rPr>
        <w:t>The purpose of the Remuneration and Terms of Service Committee is to provide advice to the board on remuneration and terms of service for the Chief Executive, Executive Directors and other senior staff within the framework set by Welsh Government and assurance</w:t>
      </w:r>
      <w:r w:rsidRPr="009A730B">
        <w:rPr>
          <w:rFonts w:ascii="Verdana" w:eastAsia="Times New Roman" w:hAnsi="Verdana" w:cs="Arial"/>
          <w:bCs/>
          <w:i/>
          <w:sz w:val="24"/>
          <w:szCs w:val="24"/>
        </w:rPr>
        <w:t xml:space="preserve"> </w:t>
      </w:r>
      <w:r w:rsidRPr="009A730B">
        <w:rPr>
          <w:rFonts w:ascii="Verdana" w:eastAsia="Times New Roman" w:hAnsi="Verdana" w:cs="Arial"/>
          <w:bCs/>
          <w:sz w:val="24"/>
          <w:szCs w:val="24"/>
        </w:rPr>
        <w:t xml:space="preserve">to the board in relation to the </w:t>
      </w:r>
      <w:r w:rsidR="00A72658" w:rsidRPr="009A730B">
        <w:rPr>
          <w:rFonts w:ascii="Verdana" w:eastAsia="Times New Roman" w:hAnsi="Verdana" w:cs="Arial"/>
          <w:bCs/>
          <w:sz w:val="24"/>
          <w:szCs w:val="24"/>
        </w:rPr>
        <w:t>H</w:t>
      </w:r>
      <w:r w:rsidRPr="009A730B">
        <w:rPr>
          <w:rFonts w:ascii="Verdana" w:eastAsia="Times New Roman" w:hAnsi="Verdana" w:cs="Arial"/>
          <w:bCs/>
          <w:sz w:val="24"/>
          <w:szCs w:val="24"/>
        </w:rPr>
        <w:t xml:space="preserve">ealth </w:t>
      </w:r>
      <w:r w:rsidR="00A72658" w:rsidRPr="009A730B">
        <w:rPr>
          <w:rFonts w:ascii="Verdana" w:eastAsia="Times New Roman" w:hAnsi="Verdana" w:cs="Arial"/>
          <w:bCs/>
          <w:sz w:val="24"/>
          <w:szCs w:val="24"/>
        </w:rPr>
        <w:t>B</w:t>
      </w:r>
      <w:r w:rsidRPr="009A730B">
        <w:rPr>
          <w:rFonts w:ascii="Verdana" w:eastAsia="Times New Roman" w:hAnsi="Verdana" w:cs="Arial"/>
          <w:bCs/>
          <w:sz w:val="24"/>
          <w:szCs w:val="24"/>
        </w:rPr>
        <w:t xml:space="preserve">oard’s arrangements for the remuneration and terms of service, including contractual arrangements, for </w:t>
      </w:r>
      <w:r w:rsidRPr="009A730B">
        <w:rPr>
          <w:rFonts w:ascii="Verdana" w:eastAsia="Times New Roman" w:hAnsi="Verdana" w:cs="Arial"/>
          <w:bCs/>
          <w:i/>
          <w:sz w:val="24"/>
          <w:szCs w:val="24"/>
          <w:u w:val="single"/>
        </w:rPr>
        <w:t>all staff</w:t>
      </w:r>
      <w:r w:rsidRPr="009A730B">
        <w:rPr>
          <w:rFonts w:ascii="Verdana" w:eastAsia="Times New Roman" w:hAnsi="Verdana" w:cs="Arial"/>
          <w:bCs/>
          <w:sz w:val="24"/>
          <w:szCs w:val="24"/>
        </w:rPr>
        <w:t>, in accordance with the requirements and standards determined for the NHS in Wales and to perform certain, specific functions on behalf of the board.</w:t>
      </w:r>
    </w:p>
    <w:p w14:paraId="4A824AF9" w14:textId="225DD4DE" w:rsidR="00DA537E" w:rsidRPr="009A730B" w:rsidRDefault="00DA537E" w:rsidP="001D1EFE">
      <w:pPr>
        <w:spacing w:after="0" w:line="240" w:lineRule="auto"/>
        <w:ind w:right="96"/>
        <w:jc w:val="both"/>
        <w:rPr>
          <w:rFonts w:ascii="Verdana" w:hAnsi="Verdana" w:cs="Arial"/>
          <w:sz w:val="24"/>
          <w:szCs w:val="24"/>
        </w:rPr>
      </w:pPr>
    </w:p>
    <w:p w14:paraId="7522107A" w14:textId="277B4E8E" w:rsidR="000F3D80" w:rsidRPr="009A730B" w:rsidRDefault="003340EC" w:rsidP="001D1EFE">
      <w:pPr>
        <w:spacing w:after="0" w:line="240" w:lineRule="auto"/>
        <w:ind w:right="96"/>
        <w:jc w:val="both"/>
        <w:rPr>
          <w:rFonts w:ascii="Verdana" w:hAnsi="Verdana" w:cs="Arial"/>
          <w:sz w:val="24"/>
          <w:szCs w:val="24"/>
        </w:rPr>
      </w:pPr>
      <w:r w:rsidRPr="009A730B">
        <w:rPr>
          <w:rFonts w:ascii="Verdana" w:hAnsi="Verdana" w:cs="Arial"/>
          <w:sz w:val="24"/>
          <w:szCs w:val="24"/>
        </w:rPr>
        <w:t>During 202</w:t>
      </w:r>
      <w:r w:rsidR="000006C6" w:rsidRPr="009A730B">
        <w:rPr>
          <w:rFonts w:ascii="Verdana" w:hAnsi="Verdana" w:cs="Arial"/>
          <w:sz w:val="24"/>
          <w:szCs w:val="24"/>
        </w:rPr>
        <w:t>5</w:t>
      </w:r>
      <w:r w:rsidRPr="009A730B">
        <w:rPr>
          <w:rFonts w:ascii="Verdana" w:hAnsi="Verdana" w:cs="Arial"/>
          <w:sz w:val="24"/>
          <w:szCs w:val="24"/>
        </w:rPr>
        <w:t>/2</w:t>
      </w:r>
      <w:r w:rsidR="000006C6" w:rsidRPr="009A730B">
        <w:rPr>
          <w:rFonts w:ascii="Verdana" w:hAnsi="Verdana" w:cs="Arial"/>
          <w:sz w:val="24"/>
          <w:szCs w:val="24"/>
        </w:rPr>
        <w:t>6</w:t>
      </w:r>
      <w:r w:rsidRPr="009A730B">
        <w:rPr>
          <w:rFonts w:ascii="Verdana" w:hAnsi="Verdana" w:cs="Arial"/>
          <w:sz w:val="24"/>
          <w:szCs w:val="24"/>
        </w:rPr>
        <w:t xml:space="preserve">, the Remuneration and Terms of Service Committee received the following; </w:t>
      </w:r>
    </w:p>
    <w:p w14:paraId="5B6899FC" w14:textId="77777777" w:rsidR="003340EC" w:rsidRPr="009A730B" w:rsidRDefault="003340EC" w:rsidP="001D1EFE">
      <w:pPr>
        <w:spacing w:after="0" w:line="240" w:lineRule="auto"/>
        <w:ind w:right="96"/>
        <w:jc w:val="both"/>
        <w:rPr>
          <w:rFonts w:ascii="Verdana" w:hAnsi="Verdana" w:cs="Arial"/>
          <w:b/>
          <w:bCs/>
          <w:sz w:val="24"/>
          <w:szCs w:val="24"/>
        </w:rPr>
      </w:pPr>
    </w:p>
    <w:p w14:paraId="7D9E8EB3" w14:textId="4EA7E5E6" w:rsidR="00E75257" w:rsidRPr="009A730B" w:rsidRDefault="004A3E31" w:rsidP="007658C4">
      <w:pPr>
        <w:spacing w:after="0" w:line="240" w:lineRule="auto"/>
        <w:ind w:right="96"/>
        <w:jc w:val="both"/>
        <w:rPr>
          <w:rFonts w:ascii="Verdana" w:hAnsi="Verdana" w:cs="Arial"/>
          <w:b/>
          <w:bCs/>
          <w:sz w:val="24"/>
          <w:szCs w:val="24"/>
        </w:rPr>
      </w:pPr>
      <w:r w:rsidRPr="009A730B">
        <w:rPr>
          <w:rFonts w:ascii="Verdana" w:hAnsi="Verdana" w:cs="Arial"/>
          <w:b/>
          <w:bCs/>
          <w:sz w:val="24"/>
          <w:szCs w:val="24"/>
        </w:rPr>
        <w:t>8 July</w:t>
      </w:r>
      <w:r w:rsidR="00E75257" w:rsidRPr="009A730B">
        <w:rPr>
          <w:rFonts w:ascii="Verdana" w:hAnsi="Verdana" w:cs="Arial"/>
          <w:b/>
          <w:bCs/>
          <w:sz w:val="24"/>
          <w:szCs w:val="24"/>
        </w:rPr>
        <w:t xml:space="preserve"> 2025</w:t>
      </w:r>
      <w:r w:rsidR="00705981" w:rsidRPr="009A730B">
        <w:rPr>
          <w:rFonts w:ascii="Verdana" w:hAnsi="Verdana" w:cs="Arial"/>
          <w:b/>
          <w:bCs/>
          <w:sz w:val="24"/>
          <w:szCs w:val="24"/>
        </w:rPr>
        <w:t xml:space="preserve"> (Special) </w:t>
      </w:r>
    </w:p>
    <w:p w14:paraId="2E433E9D" w14:textId="3ACD7C14" w:rsidR="007629C5" w:rsidRPr="000D087D" w:rsidRDefault="0078141F" w:rsidP="00C2615D">
      <w:pPr>
        <w:pStyle w:val="ListParagraph"/>
        <w:numPr>
          <w:ilvl w:val="0"/>
          <w:numId w:val="15"/>
        </w:numPr>
        <w:spacing w:after="0" w:line="240" w:lineRule="auto"/>
        <w:ind w:right="96"/>
        <w:jc w:val="both"/>
        <w:rPr>
          <w:rFonts w:ascii="Verdana" w:hAnsi="Verdana" w:cs="Arial"/>
          <w:sz w:val="24"/>
          <w:szCs w:val="24"/>
        </w:rPr>
      </w:pPr>
      <w:r w:rsidRPr="009A730B">
        <w:rPr>
          <w:rFonts w:ascii="Verdana" w:hAnsi="Verdana" w:cs="Arial"/>
          <w:sz w:val="24"/>
          <w:szCs w:val="24"/>
        </w:rPr>
        <w:t>Approval of an Employment Tribunal Claim and an Early Conciliation Claim</w:t>
      </w:r>
    </w:p>
    <w:p w14:paraId="1F93C9B1" w14:textId="15D6A498" w:rsidR="001D3FBC" w:rsidRPr="009A730B" w:rsidRDefault="004A3E31" w:rsidP="007658C4">
      <w:pPr>
        <w:spacing w:after="0" w:line="240" w:lineRule="auto"/>
        <w:ind w:right="96"/>
        <w:jc w:val="both"/>
        <w:rPr>
          <w:rFonts w:ascii="Verdana" w:hAnsi="Verdana" w:cs="Arial"/>
          <w:b/>
          <w:bCs/>
          <w:sz w:val="24"/>
          <w:szCs w:val="24"/>
        </w:rPr>
      </w:pPr>
      <w:r w:rsidRPr="009A730B">
        <w:rPr>
          <w:rFonts w:ascii="Verdana" w:hAnsi="Verdana" w:cs="Arial"/>
          <w:b/>
          <w:bCs/>
          <w:sz w:val="24"/>
          <w:szCs w:val="24"/>
        </w:rPr>
        <w:t xml:space="preserve">29 July </w:t>
      </w:r>
      <w:r w:rsidR="00A76B04" w:rsidRPr="009A730B">
        <w:rPr>
          <w:rFonts w:ascii="Verdana" w:hAnsi="Verdana" w:cs="Arial"/>
          <w:b/>
          <w:bCs/>
          <w:sz w:val="24"/>
          <w:szCs w:val="24"/>
        </w:rPr>
        <w:t>2025</w:t>
      </w:r>
    </w:p>
    <w:p w14:paraId="4F21D84C" w14:textId="35584FEF" w:rsidR="000B7B15" w:rsidRPr="000D087D" w:rsidRDefault="000B7B15" w:rsidP="00C2615D">
      <w:pPr>
        <w:pStyle w:val="ListParagraph"/>
        <w:numPr>
          <w:ilvl w:val="0"/>
          <w:numId w:val="15"/>
        </w:numPr>
        <w:spacing w:after="0" w:line="240" w:lineRule="auto"/>
        <w:ind w:right="96"/>
        <w:jc w:val="both"/>
        <w:rPr>
          <w:rFonts w:ascii="Verdana" w:hAnsi="Verdana" w:cs="Arial"/>
          <w:sz w:val="24"/>
          <w:szCs w:val="24"/>
        </w:rPr>
      </w:pPr>
      <w:r w:rsidRPr="009A730B">
        <w:rPr>
          <w:rFonts w:ascii="Verdana" w:hAnsi="Verdana" w:cs="Arial"/>
          <w:sz w:val="24"/>
          <w:szCs w:val="24"/>
        </w:rPr>
        <w:t xml:space="preserve">Approval of the Planned Additional Activity Rate </w:t>
      </w:r>
    </w:p>
    <w:p w14:paraId="448C4718" w14:textId="356DE111" w:rsidR="003D5195" w:rsidRPr="009A730B" w:rsidRDefault="008B5ECD" w:rsidP="007658C4">
      <w:pPr>
        <w:spacing w:after="0" w:line="240" w:lineRule="auto"/>
        <w:ind w:right="96"/>
        <w:jc w:val="both"/>
        <w:rPr>
          <w:rFonts w:ascii="Verdana" w:hAnsi="Verdana" w:cs="Arial"/>
          <w:b/>
          <w:bCs/>
          <w:sz w:val="24"/>
          <w:szCs w:val="24"/>
        </w:rPr>
      </w:pPr>
      <w:r w:rsidRPr="009A730B">
        <w:rPr>
          <w:rFonts w:ascii="Verdana" w:hAnsi="Verdana" w:cs="Arial"/>
          <w:b/>
          <w:bCs/>
          <w:sz w:val="24"/>
          <w:szCs w:val="24"/>
        </w:rPr>
        <w:t>16 September</w:t>
      </w:r>
      <w:r w:rsidR="00965257" w:rsidRPr="009A730B">
        <w:rPr>
          <w:rFonts w:ascii="Verdana" w:hAnsi="Verdana" w:cs="Arial"/>
          <w:b/>
          <w:bCs/>
          <w:sz w:val="24"/>
          <w:szCs w:val="24"/>
        </w:rPr>
        <w:t xml:space="preserve"> 2025</w:t>
      </w:r>
      <w:r w:rsidR="00750453" w:rsidRPr="009A730B">
        <w:rPr>
          <w:rFonts w:ascii="Verdana" w:hAnsi="Verdana" w:cs="Arial"/>
          <w:b/>
          <w:bCs/>
          <w:sz w:val="24"/>
          <w:szCs w:val="24"/>
        </w:rPr>
        <w:t xml:space="preserve"> (Special) </w:t>
      </w:r>
    </w:p>
    <w:p w14:paraId="0AF0B5FA" w14:textId="2D03902D" w:rsidR="00965257" w:rsidRPr="000D087D" w:rsidRDefault="003D5195" w:rsidP="00C2615D">
      <w:pPr>
        <w:pStyle w:val="ListParagraph"/>
        <w:numPr>
          <w:ilvl w:val="0"/>
          <w:numId w:val="15"/>
        </w:numPr>
        <w:spacing w:after="0" w:line="240" w:lineRule="auto"/>
        <w:ind w:right="96"/>
        <w:jc w:val="both"/>
        <w:rPr>
          <w:rFonts w:ascii="Verdana" w:hAnsi="Verdana" w:cs="Arial"/>
          <w:sz w:val="24"/>
          <w:szCs w:val="24"/>
        </w:rPr>
      </w:pPr>
      <w:r w:rsidRPr="009A730B">
        <w:rPr>
          <w:rFonts w:ascii="Verdana" w:hAnsi="Verdana" w:cs="Arial"/>
          <w:sz w:val="24"/>
          <w:szCs w:val="24"/>
        </w:rPr>
        <w:t xml:space="preserve">Request to pay settlement payment – COT3 Agreement </w:t>
      </w:r>
    </w:p>
    <w:p w14:paraId="4AD1D343" w14:textId="2A12434A" w:rsidR="001F7CDF" w:rsidRPr="009A730B" w:rsidRDefault="008B5ECD" w:rsidP="007658C4">
      <w:pPr>
        <w:spacing w:after="0" w:line="240" w:lineRule="auto"/>
        <w:ind w:right="96"/>
        <w:jc w:val="both"/>
        <w:rPr>
          <w:rFonts w:ascii="Verdana" w:hAnsi="Verdana" w:cs="Arial"/>
          <w:b/>
          <w:bCs/>
          <w:sz w:val="24"/>
          <w:szCs w:val="24"/>
        </w:rPr>
      </w:pPr>
      <w:r w:rsidRPr="009A730B">
        <w:rPr>
          <w:rFonts w:ascii="Verdana" w:hAnsi="Verdana" w:cs="Arial"/>
          <w:b/>
          <w:bCs/>
          <w:sz w:val="24"/>
          <w:szCs w:val="24"/>
        </w:rPr>
        <w:t>29 Septem</w:t>
      </w:r>
      <w:r w:rsidR="00163D83" w:rsidRPr="009A730B">
        <w:rPr>
          <w:rFonts w:ascii="Verdana" w:hAnsi="Verdana" w:cs="Arial"/>
          <w:b/>
          <w:bCs/>
          <w:sz w:val="24"/>
          <w:szCs w:val="24"/>
        </w:rPr>
        <w:t>b</w:t>
      </w:r>
      <w:r w:rsidRPr="009A730B">
        <w:rPr>
          <w:rFonts w:ascii="Verdana" w:hAnsi="Verdana" w:cs="Arial"/>
          <w:b/>
          <w:bCs/>
          <w:sz w:val="24"/>
          <w:szCs w:val="24"/>
        </w:rPr>
        <w:t>er</w:t>
      </w:r>
      <w:r w:rsidR="00965257" w:rsidRPr="009A730B">
        <w:rPr>
          <w:rFonts w:ascii="Verdana" w:hAnsi="Verdana" w:cs="Arial"/>
          <w:b/>
          <w:bCs/>
          <w:sz w:val="24"/>
          <w:szCs w:val="24"/>
        </w:rPr>
        <w:t xml:space="preserve"> 2025</w:t>
      </w:r>
    </w:p>
    <w:p w14:paraId="191FF1A8" w14:textId="0DBA1BD2" w:rsidR="00965257" w:rsidRPr="000D087D" w:rsidRDefault="00C17F3A" w:rsidP="00C2615D">
      <w:pPr>
        <w:pStyle w:val="ListParagraph"/>
        <w:numPr>
          <w:ilvl w:val="0"/>
          <w:numId w:val="15"/>
        </w:numPr>
        <w:spacing w:after="0" w:line="240" w:lineRule="auto"/>
        <w:ind w:right="96"/>
        <w:jc w:val="both"/>
        <w:rPr>
          <w:rFonts w:ascii="Verdana" w:hAnsi="Verdana" w:cs="Arial"/>
          <w:sz w:val="24"/>
          <w:szCs w:val="24"/>
        </w:rPr>
      </w:pPr>
      <w:r w:rsidRPr="009A730B">
        <w:rPr>
          <w:rFonts w:ascii="Verdana" w:hAnsi="Verdana" w:cs="Arial"/>
          <w:sz w:val="24"/>
          <w:szCs w:val="24"/>
        </w:rPr>
        <w:t xml:space="preserve">Request to pay settlement payment on a commercial basis – COT3 Agreement </w:t>
      </w:r>
    </w:p>
    <w:p w14:paraId="0F0FD415" w14:textId="010638DC" w:rsidR="008B5ECD" w:rsidRPr="009A730B" w:rsidRDefault="00B64367" w:rsidP="007658C4">
      <w:pPr>
        <w:spacing w:after="0" w:line="240" w:lineRule="auto"/>
        <w:ind w:right="96"/>
        <w:jc w:val="both"/>
        <w:rPr>
          <w:rFonts w:ascii="Verdana" w:hAnsi="Verdana" w:cs="Arial"/>
          <w:b/>
          <w:bCs/>
          <w:sz w:val="24"/>
          <w:szCs w:val="24"/>
        </w:rPr>
      </w:pPr>
      <w:r w:rsidRPr="009A730B">
        <w:rPr>
          <w:rFonts w:ascii="Verdana" w:hAnsi="Verdana" w:cs="Arial"/>
          <w:b/>
          <w:bCs/>
          <w:sz w:val="24"/>
          <w:szCs w:val="24"/>
        </w:rPr>
        <w:t xml:space="preserve">9 </w:t>
      </w:r>
      <w:r w:rsidR="008B5ECD" w:rsidRPr="009A730B">
        <w:rPr>
          <w:rFonts w:ascii="Verdana" w:hAnsi="Verdana" w:cs="Arial"/>
          <w:b/>
          <w:bCs/>
          <w:sz w:val="24"/>
          <w:szCs w:val="24"/>
        </w:rPr>
        <w:t>Oc</w:t>
      </w:r>
      <w:r w:rsidRPr="009A730B">
        <w:rPr>
          <w:rFonts w:ascii="Verdana" w:hAnsi="Verdana" w:cs="Arial"/>
          <w:b/>
          <w:bCs/>
          <w:sz w:val="24"/>
          <w:szCs w:val="24"/>
        </w:rPr>
        <w:t xml:space="preserve">tober </w:t>
      </w:r>
      <w:r w:rsidR="00965257" w:rsidRPr="009A730B">
        <w:rPr>
          <w:rFonts w:ascii="Verdana" w:hAnsi="Verdana" w:cs="Arial"/>
          <w:b/>
          <w:bCs/>
          <w:sz w:val="24"/>
          <w:szCs w:val="24"/>
        </w:rPr>
        <w:t>2025</w:t>
      </w:r>
    </w:p>
    <w:p w14:paraId="422D9084" w14:textId="27D1409D" w:rsidR="001A3A40" w:rsidRPr="009A730B" w:rsidRDefault="001A3A40" w:rsidP="00C2615D">
      <w:pPr>
        <w:pStyle w:val="ListParagraph"/>
        <w:numPr>
          <w:ilvl w:val="0"/>
          <w:numId w:val="15"/>
        </w:numPr>
        <w:spacing w:after="0" w:line="240" w:lineRule="auto"/>
        <w:ind w:right="96"/>
        <w:jc w:val="both"/>
        <w:rPr>
          <w:rFonts w:ascii="Verdana" w:hAnsi="Verdana" w:cs="Arial"/>
          <w:sz w:val="24"/>
          <w:szCs w:val="24"/>
        </w:rPr>
      </w:pPr>
      <w:r w:rsidRPr="009A730B">
        <w:rPr>
          <w:rFonts w:ascii="Verdana" w:hAnsi="Verdana" w:cs="Arial"/>
          <w:sz w:val="24"/>
          <w:szCs w:val="24"/>
        </w:rPr>
        <w:t xml:space="preserve">Request to pay settlement payment </w:t>
      </w:r>
    </w:p>
    <w:p w14:paraId="275A7979" w14:textId="237B9E76" w:rsidR="00B560CC" w:rsidRPr="000D087D" w:rsidRDefault="001A3A40" w:rsidP="00C2615D">
      <w:pPr>
        <w:pStyle w:val="ListParagraph"/>
        <w:numPr>
          <w:ilvl w:val="0"/>
          <w:numId w:val="15"/>
        </w:numPr>
        <w:spacing w:after="0" w:line="240" w:lineRule="auto"/>
        <w:ind w:right="96"/>
        <w:jc w:val="both"/>
        <w:rPr>
          <w:rFonts w:ascii="Verdana" w:hAnsi="Verdana" w:cs="Arial"/>
          <w:sz w:val="24"/>
          <w:szCs w:val="24"/>
        </w:rPr>
      </w:pPr>
      <w:r w:rsidRPr="009A730B">
        <w:rPr>
          <w:rFonts w:ascii="Verdana" w:hAnsi="Verdana" w:cs="Arial"/>
          <w:sz w:val="24"/>
          <w:szCs w:val="24"/>
        </w:rPr>
        <w:t xml:space="preserve">Request to pay redundancy payment </w:t>
      </w:r>
    </w:p>
    <w:p w14:paraId="6C836C78" w14:textId="6C32F58C" w:rsidR="00B560CC" w:rsidRPr="009A730B" w:rsidRDefault="00B560CC" w:rsidP="00570A23">
      <w:pPr>
        <w:spacing w:after="0" w:line="240" w:lineRule="auto"/>
        <w:ind w:right="96"/>
        <w:jc w:val="both"/>
        <w:rPr>
          <w:rFonts w:ascii="Verdana" w:hAnsi="Verdana" w:cs="Arial"/>
          <w:b/>
          <w:bCs/>
          <w:sz w:val="24"/>
          <w:szCs w:val="24"/>
        </w:rPr>
      </w:pPr>
      <w:r w:rsidRPr="009A730B">
        <w:rPr>
          <w:rFonts w:ascii="Verdana" w:hAnsi="Verdana" w:cs="Arial"/>
          <w:b/>
          <w:bCs/>
          <w:sz w:val="24"/>
          <w:szCs w:val="24"/>
        </w:rPr>
        <w:t>10 December 2025</w:t>
      </w:r>
    </w:p>
    <w:p w14:paraId="3843A1F4" w14:textId="4D069A9D" w:rsidR="00B560CC" w:rsidRPr="009A730B" w:rsidRDefault="00291F13" w:rsidP="00C2615D">
      <w:pPr>
        <w:pStyle w:val="ListParagraph"/>
        <w:numPr>
          <w:ilvl w:val="0"/>
          <w:numId w:val="16"/>
        </w:numPr>
        <w:spacing w:after="0" w:line="240" w:lineRule="auto"/>
        <w:ind w:right="96"/>
        <w:jc w:val="both"/>
        <w:rPr>
          <w:rFonts w:ascii="Verdana" w:hAnsi="Verdana" w:cs="Arial"/>
          <w:sz w:val="24"/>
          <w:szCs w:val="24"/>
        </w:rPr>
      </w:pPr>
      <w:r w:rsidRPr="009A730B">
        <w:rPr>
          <w:rFonts w:ascii="Verdana" w:hAnsi="Verdana" w:cs="Arial"/>
          <w:sz w:val="24"/>
          <w:szCs w:val="24"/>
        </w:rPr>
        <w:t xml:space="preserve">Committee Terms of Reference </w:t>
      </w:r>
    </w:p>
    <w:p w14:paraId="02C1E056" w14:textId="77777777" w:rsidR="00291F13" w:rsidRPr="009A730B" w:rsidRDefault="00291F13" w:rsidP="00C2615D">
      <w:pPr>
        <w:pStyle w:val="ListParagraph"/>
        <w:numPr>
          <w:ilvl w:val="0"/>
          <w:numId w:val="16"/>
        </w:numPr>
        <w:spacing w:after="0" w:line="240" w:lineRule="auto"/>
        <w:ind w:right="96"/>
        <w:jc w:val="both"/>
        <w:rPr>
          <w:rFonts w:ascii="Verdana" w:hAnsi="Verdana" w:cs="Arial"/>
          <w:sz w:val="24"/>
          <w:szCs w:val="24"/>
        </w:rPr>
      </w:pPr>
      <w:r w:rsidRPr="009A730B">
        <w:rPr>
          <w:rFonts w:ascii="Verdana" w:hAnsi="Verdana" w:cs="Arial"/>
          <w:sz w:val="24"/>
          <w:szCs w:val="24"/>
        </w:rPr>
        <w:t>Review Executive Portfolios</w:t>
      </w:r>
    </w:p>
    <w:p w14:paraId="2E8A5C3C" w14:textId="7243E2C6" w:rsidR="00D244CD" w:rsidRPr="000D087D" w:rsidRDefault="00291F13" w:rsidP="00C2615D">
      <w:pPr>
        <w:pStyle w:val="ListParagraph"/>
        <w:numPr>
          <w:ilvl w:val="0"/>
          <w:numId w:val="16"/>
        </w:numPr>
        <w:spacing w:after="0" w:line="240" w:lineRule="auto"/>
        <w:ind w:right="96"/>
        <w:jc w:val="both"/>
        <w:rPr>
          <w:rFonts w:ascii="Verdana" w:hAnsi="Verdana" w:cs="Arial"/>
          <w:sz w:val="24"/>
          <w:szCs w:val="24"/>
        </w:rPr>
      </w:pPr>
      <w:r w:rsidRPr="009A730B">
        <w:rPr>
          <w:rFonts w:ascii="Verdana" w:hAnsi="Verdana" w:cs="Arial"/>
          <w:sz w:val="24"/>
          <w:szCs w:val="24"/>
        </w:rPr>
        <w:t xml:space="preserve">COT3 Settlement Payment for Morriston Service Group </w:t>
      </w:r>
    </w:p>
    <w:p w14:paraId="750D0C1F" w14:textId="5FCC00B6" w:rsidR="00A044DB" w:rsidRPr="009A730B" w:rsidRDefault="00EA6488" w:rsidP="00A044DB">
      <w:pPr>
        <w:spacing w:after="0" w:line="240" w:lineRule="auto"/>
        <w:ind w:right="96"/>
        <w:jc w:val="both"/>
        <w:rPr>
          <w:rFonts w:ascii="Verdana" w:hAnsi="Verdana" w:cs="Arial"/>
          <w:b/>
          <w:bCs/>
          <w:sz w:val="24"/>
          <w:szCs w:val="24"/>
        </w:rPr>
      </w:pPr>
      <w:r w:rsidRPr="009A730B">
        <w:rPr>
          <w:rFonts w:ascii="Verdana" w:hAnsi="Verdana" w:cs="Arial"/>
          <w:b/>
          <w:bCs/>
          <w:sz w:val="24"/>
          <w:szCs w:val="24"/>
        </w:rPr>
        <w:t xml:space="preserve">14 </w:t>
      </w:r>
      <w:r w:rsidR="00935836" w:rsidRPr="009A730B">
        <w:rPr>
          <w:rFonts w:ascii="Verdana" w:hAnsi="Verdana" w:cs="Arial"/>
          <w:b/>
          <w:bCs/>
          <w:sz w:val="24"/>
          <w:szCs w:val="24"/>
        </w:rPr>
        <w:t>January 2026</w:t>
      </w:r>
    </w:p>
    <w:p w14:paraId="0861DBCE" w14:textId="4AB038A3" w:rsidR="00935836" w:rsidRPr="009A730B" w:rsidRDefault="00144C01" w:rsidP="00C2615D">
      <w:pPr>
        <w:pStyle w:val="ListParagraph"/>
        <w:numPr>
          <w:ilvl w:val="0"/>
          <w:numId w:val="17"/>
        </w:numPr>
        <w:spacing w:after="0" w:line="240" w:lineRule="auto"/>
        <w:ind w:right="96"/>
        <w:jc w:val="both"/>
        <w:rPr>
          <w:rFonts w:ascii="Verdana" w:hAnsi="Verdana" w:cs="Arial"/>
          <w:sz w:val="24"/>
          <w:szCs w:val="24"/>
        </w:rPr>
      </w:pPr>
      <w:r w:rsidRPr="009A730B">
        <w:rPr>
          <w:rFonts w:ascii="Verdana" w:hAnsi="Verdana" w:cs="Arial"/>
          <w:sz w:val="24"/>
          <w:szCs w:val="24"/>
        </w:rPr>
        <w:t xml:space="preserve">Approval of the </w:t>
      </w:r>
      <w:r w:rsidR="00BA62A6" w:rsidRPr="009A730B">
        <w:rPr>
          <w:rFonts w:ascii="Verdana" w:hAnsi="Verdana" w:cs="Arial"/>
          <w:sz w:val="24"/>
          <w:szCs w:val="24"/>
        </w:rPr>
        <w:t>Director of Fi</w:t>
      </w:r>
      <w:r w:rsidRPr="009A730B">
        <w:rPr>
          <w:rFonts w:ascii="Verdana" w:hAnsi="Verdana" w:cs="Arial"/>
          <w:sz w:val="24"/>
          <w:szCs w:val="24"/>
        </w:rPr>
        <w:t xml:space="preserve">nance Interim and Substantive Appointment </w:t>
      </w:r>
    </w:p>
    <w:p w14:paraId="42D4D532" w14:textId="0948CB04" w:rsidR="00974EA0" w:rsidRPr="000D087D" w:rsidRDefault="00144C01" w:rsidP="00C2615D">
      <w:pPr>
        <w:pStyle w:val="ListParagraph"/>
        <w:numPr>
          <w:ilvl w:val="0"/>
          <w:numId w:val="17"/>
        </w:numPr>
        <w:spacing w:after="0" w:line="240" w:lineRule="auto"/>
        <w:ind w:right="96"/>
        <w:jc w:val="both"/>
        <w:rPr>
          <w:rFonts w:ascii="Verdana" w:hAnsi="Verdana" w:cs="Arial"/>
          <w:sz w:val="24"/>
          <w:szCs w:val="24"/>
        </w:rPr>
      </w:pPr>
      <w:r w:rsidRPr="009A730B">
        <w:rPr>
          <w:rFonts w:ascii="Verdana" w:hAnsi="Verdana" w:cs="Arial"/>
          <w:sz w:val="24"/>
          <w:szCs w:val="24"/>
        </w:rPr>
        <w:t xml:space="preserve">COT3 Settlement Payment </w:t>
      </w:r>
    </w:p>
    <w:p w14:paraId="7CFFDC44" w14:textId="4530D623" w:rsidR="001D4D40" w:rsidRPr="009A730B" w:rsidRDefault="00974EA0" w:rsidP="00974EA0">
      <w:pPr>
        <w:spacing w:after="0" w:line="240" w:lineRule="auto"/>
        <w:ind w:right="96"/>
        <w:jc w:val="both"/>
        <w:rPr>
          <w:rFonts w:ascii="Verdana" w:hAnsi="Verdana" w:cs="Arial"/>
          <w:b/>
          <w:bCs/>
          <w:sz w:val="24"/>
          <w:szCs w:val="24"/>
        </w:rPr>
      </w:pPr>
      <w:r w:rsidRPr="009A730B">
        <w:rPr>
          <w:rFonts w:ascii="Verdana" w:hAnsi="Verdana" w:cs="Arial"/>
          <w:b/>
          <w:bCs/>
          <w:sz w:val="24"/>
          <w:szCs w:val="24"/>
        </w:rPr>
        <w:t>10</w:t>
      </w:r>
      <w:r w:rsidRPr="009A730B">
        <w:rPr>
          <w:rFonts w:ascii="Verdana" w:hAnsi="Verdana" w:cs="Arial"/>
          <w:b/>
          <w:bCs/>
          <w:sz w:val="24"/>
          <w:szCs w:val="24"/>
          <w:vertAlign w:val="superscript"/>
        </w:rPr>
        <w:t xml:space="preserve"> </w:t>
      </w:r>
      <w:r w:rsidRPr="009A730B">
        <w:rPr>
          <w:rFonts w:ascii="Verdana" w:hAnsi="Verdana" w:cs="Arial"/>
          <w:b/>
          <w:bCs/>
          <w:sz w:val="24"/>
          <w:szCs w:val="24"/>
        </w:rPr>
        <w:t xml:space="preserve">February 2026 (Special) </w:t>
      </w:r>
    </w:p>
    <w:p w14:paraId="19DC92DF" w14:textId="2AEF2C76" w:rsidR="0006726A" w:rsidRPr="000D087D" w:rsidRDefault="001D4D40" w:rsidP="00C2615D">
      <w:pPr>
        <w:pStyle w:val="ListParagraph"/>
        <w:numPr>
          <w:ilvl w:val="0"/>
          <w:numId w:val="18"/>
        </w:numPr>
        <w:spacing w:after="0" w:line="240" w:lineRule="auto"/>
        <w:ind w:right="96"/>
        <w:jc w:val="both"/>
        <w:rPr>
          <w:rFonts w:ascii="Verdana" w:hAnsi="Verdana" w:cs="Arial"/>
          <w:sz w:val="24"/>
          <w:szCs w:val="24"/>
        </w:rPr>
      </w:pPr>
      <w:r w:rsidRPr="009A730B">
        <w:rPr>
          <w:rFonts w:ascii="Verdana" w:hAnsi="Verdana" w:cs="Arial"/>
          <w:sz w:val="24"/>
          <w:szCs w:val="24"/>
        </w:rPr>
        <w:t xml:space="preserve">Request to pay settlement payment </w:t>
      </w:r>
    </w:p>
    <w:p w14:paraId="56B9D3E2" w14:textId="28D1F755" w:rsidR="002B2A86" w:rsidRPr="009A730B" w:rsidRDefault="00974EA0" w:rsidP="00974EA0">
      <w:pPr>
        <w:spacing w:after="0" w:line="240" w:lineRule="auto"/>
        <w:ind w:right="96"/>
        <w:jc w:val="both"/>
        <w:rPr>
          <w:rFonts w:ascii="Verdana" w:hAnsi="Verdana" w:cs="Arial"/>
          <w:b/>
          <w:bCs/>
          <w:sz w:val="24"/>
          <w:szCs w:val="24"/>
        </w:rPr>
      </w:pPr>
      <w:r w:rsidRPr="009A730B">
        <w:rPr>
          <w:rFonts w:ascii="Verdana" w:hAnsi="Verdana" w:cs="Arial"/>
          <w:b/>
          <w:bCs/>
          <w:sz w:val="24"/>
          <w:szCs w:val="24"/>
        </w:rPr>
        <w:t xml:space="preserve">18 February 2026 (Special) </w:t>
      </w:r>
    </w:p>
    <w:p w14:paraId="7D6EAD80" w14:textId="1C04E3A1" w:rsidR="00E86D1C" w:rsidRPr="000D087D" w:rsidRDefault="002B2A86" w:rsidP="00C2615D">
      <w:pPr>
        <w:pStyle w:val="ListParagraph"/>
        <w:numPr>
          <w:ilvl w:val="0"/>
          <w:numId w:val="18"/>
        </w:numPr>
        <w:spacing w:after="0" w:line="240" w:lineRule="auto"/>
        <w:ind w:right="96"/>
        <w:jc w:val="both"/>
        <w:rPr>
          <w:rFonts w:ascii="Verdana" w:hAnsi="Verdana" w:cs="Arial"/>
          <w:sz w:val="24"/>
          <w:szCs w:val="24"/>
        </w:rPr>
      </w:pPr>
      <w:r w:rsidRPr="009A730B">
        <w:rPr>
          <w:rFonts w:ascii="Verdana" w:hAnsi="Verdana" w:cs="Arial"/>
          <w:sz w:val="24"/>
          <w:szCs w:val="24"/>
        </w:rPr>
        <w:t xml:space="preserve">Executive Portfolios </w:t>
      </w:r>
    </w:p>
    <w:p w14:paraId="022E6C00" w14:textId="16D169D5" w:rsidR="00E86D1C" w:rsidRPr="009A730B" w:rsidRDefault="00E86D1C" w:rsidP="00974EA0">
      <w:pPr>
        <w:spacing w:after="0" w:line="240" w:lineRule="auto"/>
        <w:ind w:right="96"/>
        <w:jc w:val="both"/>
        <w:rPr>
          <w:rFonts w:ascii="Verdana" w:hAnsi="Verdana" w:cs="Arial"/>
          <w:b/>
          <w:bCs/>
          <w:sz w:val="24"/>
          <w:szCs w:val="24"/>
        </w:rPr>
      </w:pPr>
      <w:r w:rsidRPr="009A730B">
        <w:rPr>
          <w:rFonts w:ascii="Verdana" w:hAnsi="Verdana" w:cs="Arial"/>
          <w:b/>
          <w:bCs/>
          <w:sz w:val="24"/>
          <w:szCs w:val="24"/>
        </w:rPr>
        <w:t>24 February 2026</w:t>
      </w:r>
    </w:p>
    <w:p w14:paraId="3762B2E2" w14:textId="32B26E9B" w:rsidR="00E86D1C" w:rsidRPr="000D087D" w:rsidRDefault="00D06DEA" w:rsidP="00C2615D">
      <w:pPr>
        <w:pStyle w:val="ListParagraph"/>
        <w:numPr>
          <w:ilvl w:val="0"/>
          <w:numId w:val="18"/>
        </w:numPr>
        <w:spacing w:after="0" w:line="240" w:lineRule="auto"/>
        <w:ind w:right="96"/>
        <w:jc w:val="both"/>
        <w:rPr>
          <w:rFonts w:ascii="Verdana" w:hAnsi="Verdana" w:cs="Arial"/>
          <w:sz w:val="24"/>
          <w:szCs w:val="24"/>
        </w:rPr>
      </w:pPr>
      <w:r w:rsidRPr="009A730B">
        <w:rPr>
          <w:rFonts w:ascii="Verdana" w:hAnsi="Verdana" w:cs="Arial"/>
          <w:sz w:val="24"/>
          <w:szCs w:val="24"/>
        </w:rPr>
        <w:t xml:space="preserve">Executive and Senior Post Update </w:t>
      </w:r>
    </w:p>
    <w:p w14:paraId="1143F759" w14:textId="76D5AE12" w:rsidR="00E86D1C" w:rsidRPr="009A730B" w:rsidRDefault="00E86D1C" w:rsidP="00974EA0">
      <w:pPr>
        <w:spacing w:after="0" w:line="240" w:lineRule="auto"/>
        <w:ind w:right="96"/>
        <w:jc w:val="both"/>
        <w:rPr>
          <w:rFonts w:ascii="Verdana" w:hAnsi="Verdana" w:cs="Arial"/>
          <w:b/>
          <w:bCs/>
          <w:sz w:val="24"/>
          <w:szCs w:val="24"/>
        </w:rPr>
      </w:pPr>
      <w:r w:rsidRPr="009A730B">
        <w:rPr>
          <w:rFonts w:ascii="Verdana" w:hAnsi="Verdana" w:cs="Arial"/>
          <w:b/>
          <w:bCs/>
          <w:sz w:val="24"/>
          <w:szCs w:val="24"/>
        </w:rPr>
        <w:t xml:space="preserve">31 March 2026 (Special) </w:t>
      </w:r>
    </w:p>
    <w:p w14:paraId="4507A777" w14:textId="6015FF21" w:rsidR="008523E4" w:rsidRPr="009A730B" w:rsidRDefault="0017705D" w:rsidP="00C2615D">
      <w:pPr>
        <w:pStyle w:val="ListParagraph"/>
        <w:numPr>
          <w:ilvl w:val="0"/>
          <w:numId w:val="18"/>
        </w:numPr>
        <w:spacing w:after="0" w:line="240" w:lineRule="auto"/>
        <w:ind w:right="96"/>
        <w:jc w:val="both"/>
        <w:rPr>
          <w:rFonts w:ascii="Verdana" w:hAnsi="Verdana" w:cs="Arial"/>
          <w:b/>
          <w:bCs/>
          <w:sz w:val="24"/>
          <w:szCs w:val="24"/>
        </w:rPr>
      </w:pPr>
      <w:r w:rsidRPr="009A730B">
        <w:rPr>
          <w:rFonts w:ascii="Verdana" w:hAnsi="Verdana" w:cs="Arial"/>
          <w:sz w:val="24"/>
          <w:szCs w:val="24"/>
        </w:rPr>
        <w:t xml:space="preserve">Requests to pay COT3 settlement payments </w:t>
      </w:r>
    </w:p>
    <w:p w14:paraId="066154C4" w14:textId="79080D70" w:rsidR="0017705D" w:rsidRPr="009A730B" w:rsidRDefault="0017705D" w:rsidP="00C2615D">
      <w:pPr>
        <w:pStyle w:val="ListParagraph"/>
        <w:numPr>
          <w:ilvl w:val="0"/>
          <w:numId w:val="18"/>
        </w:numPr>
        <w:spacing w:after="0" w:line="240" w:lineRule="auto"/>
        <w:ind w:right="96"/>
        <w:jc w:val="both"/>
        <w:rPr>
          <w:rFonts w:ascii="Verdana" w:hAnsi="Verdana" w:cs="Arial"/>
          <w:b/>
          <w:bCs/>
          <w:sz w:val="24"/>
          <w:szCs w:val="24"/>
        </w:rPr>
      </w:pPr>
      <w:r w:rsidRPr="009A730B">
        <w:rPr>
          <w:rFonts w:ascii="Verdana" w:hAnsi="Verdana" w:cs="Arial"/>
          <w:sz w:val="24"/>
          <w:szCs w:val="24"/>
        </w:rPr>
        <w:t xml:space="preserve">Executive Team Update </w:t>
      </w:r>
    </w:p>
    <w:sectPr w:rsidR="0017705D" w:rsidRPr="009A730B" w:rsidSect="00590449">
      <w:headerReference w:type="default" r:id="rId21"/>
      <w:footerReference w:type="first" r:id="rId22"/>
      <w:pgSz w:w="11906" w:h="16838"/>
      <w:pgMar w:top="1440" w:right="1440" w:bottom="1440" w:left="1440"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7B4AD2" w14:textId="77777777" w:rsidR="005A5D49" w:rsidRDefault="005A5D49" w:rsidP="000A5D7D">
      <w:pPr>
        <w:spacing w:after="0" w:line="240" w:lineRule="auto"/>
      </w:pPr>
      <w:r>
        <w:separator/>
      </w:r>
    </w:p>
  </w:endnote>
  <w:endnote w:type="continuationSeparator" w:id="0">
    <w:p w14:paraId="001D3ACE" w14:textId="77777777" w:rsidR="005A5D49" w:rsidRDefault="005A5D49" w:rsidP="000A5D7D">
      <w:pPr>
        <w:spacing w:after="0" w:line="240" w:lineRule="auto"/>
      </w:pPr>
      <w:r>
        <w:continuationSeparator/>
      </w:r>
    </w:p>
  </w:endnote>
  <w:endnote w:type="continuationNotice" w:id="1">
    <w:p w14:paraId="61B6AA3C" w14:textId="77777777" w:rsidR="005A5D49" w:rsidRDefault="005A5D4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FCF439" w14:textId="1969A5B4" w:rsidR="51F4664D" w:rsidRPr="00570A23" w:rsidRDefault="51F4664D" w:rsidP="51F4664D">
    <w:pPr>
      <w:pStyle w:val="Footer"/>
      <w:jc w:val="right"/>
      <w:rPr>
        <w:rFonts w:ascii="Verdana" w:hAnsi="Verdana"/>
      </w:rPr>
    </w:pPr>
    <w:r w:rsidRPr="00570A23">
      <w:rPr>
        <w:rFonts w:ascii="Verdana" w:hAnsi="Verdana"/>
      </w:rPr>
      <w:fldChar w:fldCharType="begin"/>
    </w:r>
    <w:r w:rsidRPr="00570A23">
      <w:rPr>
        <w:rFonts w:ascii="Verdana" w:hAnsi="Verdana"/>
      </w:rPr>
      <w:instrText>PAGE</w:instrText>
    </w:r>
    <w:r w:rsidRPr="00570A23">
      <w:rPr>
        <w:rFonts w:ascii="Verdana" w:hAnsi="Verdana"/>
      </w:rPr>
      <w:fldChar w:fldCharType="separate"/>
    </w:r>
    <w:r w:rsidR="009653D5" w:rsidRPr="00570A23">
      <w:rPr>
        <w:rFonts w:ascii="Verdana" w:hAnsi="Verdana"/>
        <w:noProof/>
      </w:rPr>
      <w:t>2</w:t>
    </w:r>
    <w:r w:rsidRPr="00570A23">
      <w:rPr>
        <w:rFonts w:ascii="Verdana" w:hAnsi="Verdana"/>
      </w:rPr>
      <w:fldChar w:fldCharType="end"/>
    </w:r>
    <w:r w:rsidRPr="00570A23">
      <w:rPr>
        <w:rFonts w:ascii="Verdana" w:hAnsi="Verdana"/>
      </w:rPr>
      <w:t xml:space="preserve"> of </w:t>
    </w:r>
    <w:r w:rsidRPr="00570A23">
      <w:rPr>
        <w:rFonts w:ascii="Verdana" w:hAnsi="Verdana"/>
      </w:rPr>
      <w:fldChar w:fldCharType="begin"/>
    </w:r>
    <w:r w:rsidRPr="00570A23">
      <w:rPr>
        <w:rFonts w:ascii="Verdana" w:hAnsi="Verdana"/>
      </w:rPr>
      <w:instrText>NUMPAGES</w:instrText>
    </w:r>
    <w:r w:rsidRPr="00570A23">
      <w:rPr>
        <w:rFonts w:ascii="Verdana" w:hAnsi="Verdana"/>
      </w:rPr>
      <w:fldChar w:fldCharType="separate"/>
    </w:r>
    <w:r w:rsidR="009653D5" w:rsidRPr="00570A23">
      <w:rPr>
        <w:rFonts w:ascii="Verdana" w:hAnsi="Verdana"/>
        <w:noProof/>
      </w:rPr>
      <w:t>3</w:t>
    </w:r>
    <w:r w:rsidRPr="00570A23">
      <w:rPr>
        <w:rFonts w:ascii="Verdana" w:hAnsi="Verdana"/>
      </w:rPr>
      <w:fldChar w:fldCharType="end"/>
    </w:r>
  </w:p>
  <w:sdt>
    <w:sdtPr>
      <w:rPr>
        <w:rFonts w:ascii="Verdana" w:hAnsi="Verdana"/>
      </w:rPr>
      <w:id w:val="-1274785246"/>
      <w:showingPlcHdr/>
      <w:docPartObj>
        <w:docPartGallery w:val="Page Numbers (Bottom of Page)"/>
        <w:docPartUnique/>
      </w:docPartObj>
    </w:sdtPr>
    <w:sdtEndPr>
      <w:rPr>
        <w:color w:val="7F7F7F" w:themeColor="background1" w:themeShade="7F"/>
        <w:spacing w:val="60"/>
      </w:rPr>
    </w:sdtEndPr>
    <w:sdtContent>
      <w:p w14:paraId="3FFC75EE" w14:textId="6D99D401" w:rsidR="0071254C" w:rsidRPr="00570A23" w:rsidRDefault="51F4664D" w:rsidP="51F4664D">
        <w:pPr>
          <w:pStyle w:val="Footer"/>
          <w:pBdr>
            <w:top w:val="single" w:sz="4" w:space="1" w:color="D9D9D9" w:themeColor="background1" w:themeShade="D9"/>
          </w:pBdr>
          <w:jc w:val="right"/>
          <w:rPr>
            <w:rFonts w:ascii="Verdana" w:hAnsi="Verdana"/>
            <w:color w:val="7F7F7F" w:themeColor="text1" w:themeTint="80"/>
          </w:rPr>
        </w:pPr>
        <w:r w:rsidRPr="00570A23">
          <w:rPr>
            <w:rStyle w:val="PlaceholderText"/>
            <w:rFonts w:ascii="Verdana" w:hAnsi="Verdana"/>
          </w:rPr>
          <w:t xml:space="preserve">     </w:t>
        </w:r>
      </w:p>
    </w:sdtContent>
  </w:sdt>
  <w:p w14:paraId="53450C31" w14:textId="6433E669" w:rsidR="0071254C" w:rsidRPr="00570A23" w:rsidRDefault="0071254C">
    <w:pPr>
      <w:pStyle w:val="Footer"/>
      <w:rPr>
        <w:rFonts w:ascii="Verdana" w:hAnsi="Verdana" w:cs="Arial"/>
        <w:sz w:val="24"/>
        <w:szCs w:val="24"/>
      </w:rPr>
    </w:pPr>
    <w:r w:rsidRPr="00570A23">
      <w:rPr>
        <w:rFonts w:ascii="Verdana" w:hAnsi="Verdana" w:cs="Arial"/>
        <w:sz w:val="24"/>
        <w:szCs w:val="24"/>
      </w:rPr>
      <w:t>Swansea Bay University Health Board Committee Annual Report 202</w:t>
    </w:r>
    <w:r w:rsidR="000006C6" w:rsidRPr="00570A23">
      <w:rPr>
        <w:rFonts w:ascii="Verdana" w:hAnsi="Verdana" w:cs="Arial"/>
        <w:sz w:val="24"/>
        <w:szCs w:val="24"/>
      </w:rPr>
      <w:t>5</w:t>
    </w:r>
    <w:r w:rsidR="00214B00" w:rsidRPr="00570A23">
      <w:rPr>
        <w:rFonts w:ascii="Verdana" w:hAnsi="Verdana" w:cs="Arial"/>
        <w:sz w:val="24"/>
        <w:szCs w:val="24"/>
      </w:rPr>
      <w:t>/</w:t>
    </w:r>
    <w:r w:rsidR="0075457F" w:rsidRPr="00570A23">
      <w:rPr>
        <w:rFonts w:ascii="Verdana" w:hAnsi="Verdana" w:cs="Arial"/>
        <w:sz w:val="24"/>
        <w:szCs w:val="24"/>
      </w:rPr>
      <w:t>2</w:t>
    </w:r>
    <w:r w:rsidR="000006C6" w:rsidRPr="00570A23">
      <w:rPr>
        <w:rFonts w:ascii="Verdana" w:hAnsi="Verdana" w:cs="Arial"/>
        <w:sz w:val="24"/>
        <w:szCs w:val="24"/>
      </w:rPr>
      <w:t>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005"/>
      <w:gridCol w:w="3005"/>
      <w:gridCol w:w="3005"/>
    </w:tblGrid>
    <w:tr w:rsidR="51F4664D" w14:paraId="06FEC3C5" w14:textId="77777777" w:rsidTr="51F4664D">
      <w:trPr>
        <w:trHeight w:val="300"/>
      </w:trPr>
      <w:tc>
        <w:tcPr>
          <w:tcW w:w="3005" w:type="dxa"/>
        </w:tcPr>
        <w:p w14:paraId="4E11BD42" w14:textId="238EEF71" w:rsidR="51F4664D" w:rsidRDefault="51F4664D" w:rsidP="51F4664D">
          <w:pPr>
            <w:pStyle w:val="Header"/>
            <w:ind w:left="-115"/>
          </w:pPr>
        </w:p>
      </w:tc>
      <w:tc>
        <w:tcPr>
          <w:tcW w:w="3005" w:type="dxa"/>
        </w:tcPr>
        <w:p w14:paraId="358439F3" w14:textId="004DB029" w:rsidR="51F4664D" w:rsidRDefault="51F4664D" w:rsidP="51F4664D">
          <w:pPr>
            <w:pStyle w:val="Header"/>
            <w:jc w:val="center"/>
          </w:pPr>
        </w:p>
      </w:tc>
      <w:tc>
        <w:tcPr>
          <w:tcW w:w="3005" w:type="dxa"/>
        </w:tcPr>
        <w:p w14:paraId="3603B0E6" w14:textId="67D4BDB4" w:rsidR="51F4664D" w:rsidRDefault="51F4664D" w:rsidP="51F4664D">
          <w:pPr>
            <w:pStyle w:val="Header"/>
            <w:ind w:right="-115"/>
            <w:jc w:val="right"/>
          </w:pPr>
        </w:p>
      </w:tc>
    </w:tr>
  </w:tbl>
  <w:p w14:paraId="12A85939" w14:textId="28D60BBE" w:rsidR="51F4664D" w:rsidRDefault="51F4664D" w:rsidP="51F4664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005"/>
      <w:gridCol w:w="3005"/>
      <w:gridCol w:w="3005"/>
    </w:tblGrid>
    <w:tr w:rsidR="51F4664D" w14:paraId="4A04BF01" w14:textId="77777777" w:rsidTr="51F4664D">
      <w:trPr>
        <w:trHeight w:val="300"/>
      </w:trPr>
      <w:tc>
        <w:tcPr>
          <w:tcW w:w="3005" w:type="dxa"/>
        </w:tcPr>
        <w:p w14:paraId="7C22574F" w14:textId="283F9FE4" w:rsidR="51F4664D" w:rsidRDefault="51F4664D" w:rsidP="51F4664D">
          <w:pPr>
            <w:pStyle w:val="Header"/>
            <w:ind w:left="-115"/>
          </w:pPr>
        </w:p>
      </w:tc>
      <w:tc>
        <w:tcPr>
          <w:tcW w:w="3005" w:type="dxa"/>
        </w:tcPr>
        <w:p w14:paraId="30F12789" w14:textId="22F68C30" w:rsidR="51F4664D" w:rsidRDefault="51F4664D" w:rsidP="51F4664D">
          <w:pPr>
            <w:pStyle w:val="Header"/>
            <w:jc w:val="center"/>
          </w:pPr>
        </w:p>
      </w:tc>
      <w:tc>
        <w:tcPr>
          <w:tcW w:w="3005" w:type="dxa"/>
        </w:tcPr>
        <w:p w14:paraId="7D2A61CE" w14:textId="298F2BAA" w:rsidR="51F4664D" w:rsidRDefault="51F4664D" w:rsidP="51F4664D">
          <w:pPr>
            <w:pStyle w:val="Header"/>
            <w:ind w:right="-115"/>
            <w:jc w:val="right"/>
          </w:pPr>
        </w:p>
      </w:tc>
    </w:tr>
  </w:tbl>
  <w:p w14:paraId="478CB523" w14:textId="0FFD76EA" w:rsidR="51F4664D" w:rsidRDefault="51F4664D" w:rsidP="51F4664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4650"/>
      <w:gridCol w:w="4650"/>
      <w:gridCol w:w="4650"/>
    </w:tblGrid>
    <w:tr w:rsidR="51F4664D" w14:paraId="205F7109" w14:textId="77777777" w:rsidTr="51F4664D">
      <w:trPr>
        <w:trHeight w:val="300"/>
      </w:trPr>
      <w:tc>
        <w:tcPr>
          <w:tcW w:w="4650" w:type="dxa"/>
        </w:tcPr>
        <w:p w14:paraId="32190E8D" w14:textId="68649353" w:rsidR="51F4664D" w:rsidRDefault="51F4664D" w:rsidP="51F4664D">
          <w:pPr>
            <w:pStyle w:val="Header"/>
            <w:ind w:left="-115"/>
          </w:pPr>
        </w:p>
      </w:tc>
      <w:tc>
        <w:tcPr>
          <w:tcW w:w="4650" w:type="dxa"/>
        </w:tcPr>
        <w:p w14:paraId="7DAFB9A0" w14:textId="302E4D27" w:rsidR="51F4664D" w:rsidRDefault="51F4664D" w:rsidP="51F4664D">
          <w:pPr>
            <w:pStyle w:val="Header"/>
            <w:jc w:val="center"/>
          </w:pPr>
        </w:p>
      </w:tc>
      <w:tc>
        <w:tcPr>
          <w:tcW w:w="4650" w:type="dxa"/>
        </w:tcPr>
        <w:p w14:paraId="4C2221F5" w14:textId="379261EB" w:rsidR="51F4664D" w:rsidRDefault="51F4664D" w:rsidP="51F4664D">
          <w:pPr>
            <w:pStyle w:val="Header"/>
            <w:ind w:right="-115"/>
            <w:jc w:val="right"/>
          </w:pPr>
        </w:p>
      </w:tc>
    </w:tr>
  </w:tbl>
  <w:p w14:paraId="18E5696B" w14:textId="22C58039" w:rsidR="51F4664D" w:rsidRDefault="51F4664D" w:rsidP="51F4664D">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005"/>
      <w:gridCol w:w="3005"/>
      <w:gridCol w:w="3005"/>
    </w:tblGrid>
    <w:tr w:rsidR="51F4664D" w14:paraId="32049F78" w14:textId="77777777" w:rsidTr="51F4664D">
      <w:trPr>
        <w:trHeight w:val="300"/>
      </w:trPr>
      <w:tc>
        <w:tcPr>
          <w:tcW w:w="3005" w:type="dxa"/>
        </w:tcPr>
        <w:p w14:paraId="5CEF5789" w14:textId="7FD40A69" w:rsidR="51F4664D" w:rsidRDefault="51F4664D" w:rsidP="51F4664D">
          <w:pPr>
            <w:pStyle w:val="Header"/>
            <w:ind w:left="-115"/>
          </w:pPr>
        </w:p>
      </w:tc>
      <w:tc>
        <w:tcPr>
          <w:tcW w:w="3005" w:type="dxa"/>
        </w:tcPr>
        <w:p w14:paraId="5484D25C" w14:textId="4EA795D1" w:rsidR="51F4664D" w:rsidRDefault="51F4664D" w:rsidP="51F4664D">
          <w:pPr>
            <w:pStyle w:val="Header"/>
            <w:jc w:val="center"/>
          </w:pPr>
        </w:p>
      </w:tc>
      <w:tc>
        <w:tcPr>
          <w:tcW w:w="3005" w:type="dxa"/>
        </w:tcPr>
        <w:p w14:paraId="0D7F2066" w14:textId="18D8D52B" w:rsidR="51F4664D" w:rsidRDefault="51F4664D" w:rsidP="51F4664D">
          <w:pPr>
            <w:pStyle w:val="Header"/>
            <w:ind w:right="-115"/>
            <w:jc w:val="right"/>
          </w:pPr>
        </w:p>
      </w:tc>
    </w:tr>
  </w:tbl>
  <w:p w14:paraId="48D7A074" w14:textId="3228ACC3" w:rsidR="51F4664D" w:rsidRDefault="51F4664D" w:rsidP="51F4664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2DECCE" w14:textId="77777777" w:rsidR="005A5D49" w:rsidRDefault="005A5D49" w:rsidP="000A5D7D">
      <w:pPr>
        <w:spacing w:after="0" w:line="240" w:lineRule="auto"/>
      </w:pPr>
      <w:r>
        <w:separator/>
      </w:r>
    </w:p>
  </w:footnote>
  <w:footnote w:type="continuationSeparator" w:id="0">
    <w:p w14:paraId="55C840D6" w14:textId="77777777" w:rsidR="005A5D49" w:rsidRDefault="005A5D49" w:rsidP="000A5D7D">
      <w:pPr>
        <w:spacing w:after="0" w:line="240" w:lineRule="auto"/>
      </w:pPr>
      <w:r>
        <w:continuationSeparator/>
      </w:r>
    </w:p>
  </w:footnote>
  <w:footnote w:type="continuationNotice" w:id="1">
    <w:p w14:paraId="1A37BD9E" w14:textId="77777777" w:rsidR="005A5D49" w:rsidRDefault="005A5D4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6F2B4365" w14:paraId="4026B486" w14:textId="77777777" w:rsidTr="6F2B4365">
      <w:trPr>
        <w:trHeight w:val="300"/>
      </w:trPr>
      <w:tc>
        <w:tcPr>
          <w:tcW w:w="3005" w:type="dxa"/>
        </w:tcPr>
        <w:p w14:paraId="299671A3" w14:textId="56ABFB7E" w:rsidR="6F2B4365" w:rsidRDefault="6F2B4365" w:rsidP="6F2B4365">
          <w:pPr>
            <w:pStyle w:val="Header"/>
            <w:ind w:left="-115"/>
          </w:pPr>
        </w:p>
      </w:tc>
      <w:tc>
        <w:tcPr>
          <w:tcW w:w="3005" w:type="dxa"/>
        </w:tcPr>
        <w:p w14:paraId="3C298F47" w14:textId="01EB1FEA" w:rsidR="6F2B4365" w:rsidRDefault="6F2B4365" w:rsidP="6F2B4365">
          <w:pPr>
            <w:pStyle w:val="Header"/>
            <w:jc w:val="center"/>
          </w:pPr>
        </w:p>
      </w:tc>
      <w:tc>
        <w:tcPr>
          <w:tcW w:w="3005" w:type="dxa"/>
        </w:tcPr>
        <w:p w14:paraId="5CDB9957" w14:textId="106F5375" w:rsidR="6F2B4365" w:rsidRDefault="6F2B4365" w:rsidP="6F2B4365">
          <w:pPr>
            <w:pStyle w:val="Header"/>
            <w:ind w:right="-115"/>
            <w:jc w:val="right"/>
          </w:pPr>
        </w:p>
      </w:tc>
    </w:tr>
  </w:tbl>
  <w:p w14:paraId="1EE61AC1" w14:textId="6B32FE37" w:rsidR="6F2B4365" w:rsidRDefault="6F2B4365" w:rsidP="6F2B436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B09D46" w14:textId="54FFB82E" w:rsidR="0071254C" w:rsidRDefault="0071254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6F2B4365" w14:paraId="627DB5A4" w14:textId="77777777" w:rsidTr="6F2B4365">
      <w:trPr>
        <w:trHeight w:val="300"/>
      </w:trPr>
      <w:tc>
        <w:tcPr>
          <w:tcW w:w="3005" w:type="dxa"/>
        </w:tcPr>
        <w:p w14:paraId="50EE81D4" w14:textId="5EC9CCD8" w:rsidR="6F2B4365" w:rsidRDefault="6F2B4365" w:rsidP="6F2B4365">
          <w:pPr>
            <w:pStyle w:val="Header"/>
            <w:ind w:left="-115"/>
          </w:pPr>
        </w:p>
      </w:tc>
      <w:tc>
        <w:tcPr>
          <w:tcW w:w="3005" w:type="dxa"/>
        </w:tcPr>
        <w:p w14:paraId="66024F66" w14:textId="19710CEA" w:rsidR="6F2B4365" w:rsidRDefault="6F2B4365" w:rsidP="6F2B4365">
          <w:pPr>
            <w:pStyle w:val="Header"/>
            <w:jc w:val="center"/>
          </w:pPr>
        </w:p>
      </w:tc>
      <w:tc>
        <w:tcPr>
          <w:tcW w:w="3005" w:type="dxa"/>
        </w:tcPr>
        <w:p w14:paraId="417EFC88" w14:textId="3F4AF3C4" w:rsidR="6F2B4365" w:rsidRDefault="6F2B4365" w:rsidP="6F2B4365">
          <w:pPr>
            <w:pStyle w:val="Header"/>
            <w:ind w:right="-115"/>
            <w:jc w:val="right"/>
          </w:pPr>
        </w:p>
      </w:tc>
    </w:tr>
  </w:tbl>
  <w:p w14:paraId="6462BC39" w14:textId="2B0A1C12" w:rsidR="6F2B4365" w:rsidRDefault="6F2B4365" w:rsidP="6F2B436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50"/>
      <w:gridCol w:w="4650"/>
      <w:gridCol w:w="4650"/>
    </w:tblGrid>
    <w:tr w:rsidR="6F2B4365" w14:paraId="46428999" w14:textId="77777777" w:rsidTr="6F2B4365">
      <w:trPr>
        <w:trHeight w:val="300"/>
      </w:trPr>
      <w:tc>
        <w:tcPr>
          <w:tcW w:w="4650" w:type="dxa"/>
        </w:tcPr>
        <w:p w14:paraId="7E301B33" w14:textId="15405F5B" w:rsidR="6F2B4365" w:rsidRDefault="6F2B4365" w:rsidP="6F2B4365">
          <w:pPr>
            <w:pStyle w:val="Header"/>
            <w:ind w:left="-115"/>
          </w:pPr>
        </w:p>
      </w:tc>
      <w:tc>
        <w:tcPr>
          <w:tcW w:w="4650" w:type="dxa"/>
        </w:tcPr>
        <w:p w14:paraId="70D2C649" w14:textId="40A36DE2" w:rsidR="6F2B4365" w:rsidRDefault="6F2B4365" w:rsidP="6F2B4365">
          <w:pPr>
            <w:pStyle w:val="Header"/>
            <w:jc w:val="center"/>
          </w:pPr>
        </w:p>
      </w:tc>
      <w:tc>
        <w:tcPr>
          <w:tcW w:w="4650" w:type="dxa"/>
        </w:tcPr>
        <w:p w14:paraId="46C6D0E4" w14:textId="49006FF1" w:rsidR="6F2B4365" w:rsidRDefault="6F2B4365" w:rsidP="6F2B4365">
          <w:pPr>
            <w:pStyle w:val="Header"/>
            <w:ind w:right="-115"/>
            <w:jc w:val="right"/>
          </w:pPr>
        </w:p>
      </w:tc>
    </w:tr>
  </w:tbl>
  <w:p w14:paraId="21D27069" w14:textId="64723BEC" w:rsidR="6F2B4365" w:rsidRDefault="6F2B4365" w:rsidP="6F2B4365">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6F2B4365" w14:paraId="649570F1" w14:textId="77777777" w:rsidTr="6F2B4365">
      <w:trPr>
        <w:trHeight w:val="300"/>
      </w:trPr>
      <w:tc>
        <w:tcPr>
          <w:tcW w:w="3005" w:type="dxa"/>
        </w:tcPr>
        <w:p w14:paraId="36F3EB55" w14:textId="300D59C5" w:rsidR="6F2B4365" w:rsidRDefault="6F2B4365" w:rsidP="6F2B4365">
          <w:pPr>
            <w:pStyle w:val="Header"/>
            <w:ind w:left="-115"/>
          </w:pPr>
        </w:p>
      </w:tc>
      <w:tc>
        <w:tcPr>
          <w:tcW w:w="3005" w:type="dxa"/>
        </w:tcPr>
        <w:p w14:paraId="01A16CCB" w14:textId="6A6EAE7E" w:rsidR="6F2B4365" w:rsidRDefault="6F2B4365" w:rsidP="6F2B4365">
          <w:pPr>
            <w:pStyle w:val="Header"/>
            <w:jc w:val="center"/>
          </w:pPr>
        </w:p>
      </w:tc>
      <w:tc>
        <w:tcPr>
          <w:tcW w:w="3005" w:type="dxa"/>
        </w:tcPr>
        <w:p w14:paraId="6F9A124A" w14:textId="496E990C" w:rsidR="6F2B4365" w:rsidRDefault="6F2B4365" w:rsidP="6F2B4365">
          <w:pPr>
            <w:pStyle w:val="Header"/>
            <w:ind w:right="-115"/>
            <w:jc w:val="right"/>
          </w:pPr>
        </w:p>
      </w:tc>
    </w:tr>
  </w:tbl>
  <w:p w14:paraId="7857FC3E" w14:textId="1D2FF297" w:rsidR="6F2B4365" w:rsidRDefault="6F2B4365" w:rsidP="6F2B4365">
    <w:pPr>
      <w:pStyle w:val="Header"/>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62C1D"/>
    <w:multiLevelType w:val="hybridMultilevel"/>
    <w:tmpl w:val="5D922F56"/>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1" w15:restartNumberingAfterBreak="0">
    <w:nsid w:val="00D35A03"/>
    <w:multiLevelType w:val="multilevel"/>
    <w:tmpl w:val="CDE21620"/>
    <w:lvl w:ilvl="0">
      <w:start w:val="4"/>
      <w:numFmt w:val="decimal"/>
      <w:lvlText w:val="%1"/>
      <w:lvlJc w:val="left"/>
      <w:pPr>
        <w:ind w:left="430" w:hanging="4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15:restartNumberingAfterBreak="0">
    <w:nsid w:val="014323BF"/>
    <w:multiLevelType w:val="hybridMultilevel"/>
    <w:tmpl w:val="3E5A7C54"/>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3" w15:restartNumberingAfterBreak="0">
    <w:nsid w:val="06C97453"/>
    <w:multiLevelType w:val="hybridMultilevel"/>
    <w:tmpl w:val="6D6A189C"/>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4" w15:restartNumberingAfterBreak="0">
    <w:nsid w:val="076969EA"/>
    <w:multiLevelType w:val="hybridMultilevel"/>
    <w:tmpl w:val="2864EC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AF56B2"/>
    <w:multiLevelType w:val="hybridMultilevel"/>
    <w:tmpl w:val="20B2D3A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9A52905"/>
    <w:multiLevelType w:val="hybridMultilevel"/>
    <w:tmpl w:val="1A50D9C4"/>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7" w15:restartNumberingAfterBreak="0">
    <w:nsid w:val="0AA211E7"/>
    <w:multiLevelType w:val="multilevel"/>
    <w:tmpl w:val="0818F39A"/>
    <w:lvl w:ilvl="0">
      <w:start w:val="3"/>
      <w:numFmt w:val="decimal"/>
      <w:lvlText w:val="%1"/>
      <w:lvlJc w:val="left"/>
      <w:pPr>
        <w:ind w:left="690" w:hanging="690"/>
      </w:pPr>
      <w:rPr>
        <w:rFonts w:hint="default"/>
      </w:rPr>
    </w:lvl>
    <w:lvl w:ilvl="1">
      <w:start w:val="3"/>
      <w:numFmt w:val="decimal"/>
      <w:lvlText w:val="%1.%2"/>
      <w:lvlJc w:val="left"/>
      <w:pPr>
        <w:ind w:left="720" w:hanging="720"/>
      </w:pPr>
      <w:rPr>
        <w:rFonts w:hint="default"/>
      </w:rPr>
    </w:lvl>
    <w:lvl w:ilvl="2">
      <w:start w:val="2"/>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8" w15:restartNumberingAfterBreak="0">
    <w:nsid w:val="0B7F46DA"/>
    <w:multiLevelType w:val="multilevel"/>
    <w:tmpl w:val="C442BFBA"/>
    <w:lvl w:ilvl="0">
      <w:start w:val="2"/>
      <w:numFmt w:val="decimal"/>
      <w:lvlText w:val="%1"/>
      <w:lvlJc w:val="left"/>
      <w:pPr>
        <w:ind w:left="430" w:hanging="4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9" w15:restartNumberingAfterBreak="0">
    <w:nsid w:val="0C165765"/>
    <w:multiLevelType w:val="hybridMultilevel"/>
    <w:tmpl w:val="D0B449B0"/>
    <w:lvl w:ilvl="0" w:tplc="C9880750">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333804E"/>
    <w:multiLevelType w:val="hybridMultilevel"/>
    <w:tmpl w:val="24926CD0"/>
    <w:lvl w:ilvl="0" w:tplc="FF4CBF1C">
      <w:start w:val="1"/>
      <w:numFmt w:val="bullet"/>
      <w:lvlText w:val="-"/>
      <w:lvlJc w:val="left"/>
      <w:pPr>
        <w:ind w:left="720" w:hanging="360"/>
      </w:pPr>
      <w:rPr>
        <w:rFonts w:ascii="Aptos" w:hAnsi="Aptos" w:hint="default"/>
      </w:rPr>
    </w:lvl>
    <w:lvl w:ilvl="1" w:tplc="417CBDC4">
      <w:start w:val="1"/>
      <w:numFmt w:val="bullet"/>
      <w:lvlText w:val="o"/>
      <w:lvlJc w:val="left"/>
      <w:pPr>
        <w:ind w:left="1440" w:hanging="360"/>
      </w:pPr>
      <w:rPr>
        <w:rFonts w:ascii="Courier New" w:hAnsi="Courier New" w:hint="default"/>
      </w:rPr>
    </w:lvl>
    <w:lvl w:ilvl="2" w:tplc="837A4EE4">
      <w:start w:val="1"/>
      <w:numFmt w:val="bullet"/>
      <w:lvlText w:val=""/>
      <w:lvlJc w:val="left"/>
      <w:pPr>
        <w:ind w:left="2160" w:hanging="360"/>
      </w:pPr>
      <w:rPr>
        <w:rFonts w:ascii="Wingdings" w:hAnsi="Wingdings" w:hint="default"/>
      </w:rPr>
    </w:lvl>
    <w:lvl w:ilvl="3" w:tplc="D25A58CE">
      <w:start w:val="1"/>
      <w:numFmt w:val="bullet"/>
      <w:lvlText w:val=""/>
      <w:lvlJc w:val="left"/>
      <w:pPr>
        <w:ind w:left="2880" w:hanging="360"/>
      </w:pPr>
      <w:rPr>
        <w:rFonts w:ascii="Symbol" w:hAnsi="Symbol" w:hint="default"/>
      </w:rPr>
    </w:lvl>
    <w:lvl w:ilvl="4" w:tplc="5D726B32">
      <w:start w:val="1"/>
      <w:numFmt w:val="bullet"/>
      <w:lvlText w:val="o"/>
      <w:lvlJc w:val="left"/>
      <w:pPr>
        <w:ind w:left="3600" w:hanging="360"/>
      </w:pPr>
      <w:rPr>
        <w:rFonts w:ascii="Courier New" w:hAnsi="Courier New" w:hint="default"/>
      </w:rPr>
    </w:lvl>
    <w:lvl w:ilvl="5" w:tplc="CF300B72">
      <w:start w:val="1"/>
      <w:numFmt w:val="bullet"/>
      <w:lvlText w:val=""/>
      <w:lvlJc w:val="left"/>
      <w:pPr>
        <w:ind w:left="4320" w:hanging="360"/>
      </w:pPr>
      <w:rPr>
        <w:rFonts w:ascii="Wingdings" w:hAnsi="Wingdings" w:hint="default"/>
      </w:rPr>
    </w:lvl>
    <w:lvl w:ilvl="6" w:tplc="928A2A54">
      <w:start w:val="1"/>
      <w:numFmt w:val="bullet"/>
      <w:lvlText w:val=""/>
      <w:lvlJc w:val="left"/>
      <w:pPr>
        <w:ind w:left="5040" w:hanging="360"/>
      </w:pPr>
      <w:rPr>
        <w:rFonts w:ascii="Symbol" w:hAnsi="Symbol" w:hint="default"/>
      </w:rPr>
    </w:lvl>
    <w:lvl w:ilvl="7" w:tplc="266A0132">
      <w:start w:val="1"/>
      <w:numFmt w:val="bullet"/>
      <w:lvlText w:val="o"/>
      <w:lvlJc w:val="left"/>
      <w:pPr>
        <w:ind w:left="5760" w:hanging="360"/>
      </w:pPr>
      <w:rPr>
        <w:rFonts w:ascii="Courier New" w:hAnsi="Courier New" w:hint="default"/>
      </w:rPr>
    </w:lvl>
    <w:lvl w:ilvl="8" w:tplc="2EA60714">
      <w:start w:val="1"/>
      <w:numFmt w:val="bullet"/>
      <w:lvlText w:val=""/>
      <w:lvlJc w:val="left"/>
      <w:pPr>
        <w:ind w:left="6480" w:hanging="360"/>
      </w:pPr>
      <w:rPr>
        <w:rFonts w:ascii="Wingdings" w:hAnsi="Wingdings" w:hint="default"/>
      </w:rPr>
    </w:lvl>
  </w:abstractNum>
  <w:abstractNum w:abstractNumId="11" w15:restartNumberingAfterBreak="0">
    <w:nsid w:val="155C2036"/>
    <w:multiLevelType w:val="multilevel"/>
    <w:tmpl w:val="3258B3E8"/>
    <w:lvl w:ilvl="0">
      <w:start w:val="9"/>
      <w:numFmt w:val="decimal"/>
      <w:lvlText w:val="%1"/>
      <w:lvlJc w:val="left"/>
      <w:pPr>
        <w:ind w:left="600" w:hanging="600"/>
      </w:pPr>
      <w:rPr>
        <w:rFonts w:hint="default"/>
      </w:rPr>
    </w:lvl>
    <w:lvl w:ilvl="1">
      <w:start w:val="11"/>
      <w:numFmt w:val="decimal"/>
      <w:lvlText w:val="%1.%2"/>
      <w:lvlJc w:val="left"/>
      <w:pPr>
        <w:ind w:left="720" w:hanging="720"/>
      </w:pPr>
      <w:rPr>
        <w:rFonts w:hint="default"/>
        <w:sz w:val="24"/>
        <w:szCs w:val="24"/>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2" w15:restartNumberingAfterBreak="0">
    <w:nsid w:val="1886A59A"/>
    <w:multiLevelType w:val="hybridMultilevel"/>
    <w:tmpl w:val="50FA0BE8"/>
    <w:lvl w:ilvl="0" w:tplc="110E8722">
      <w:start w:val="1"/>
      <w:numFmt w:val="bullet"/>
      <w:lvlText w:val="-"/>
      <w:lvlJc w:val="left"/>
      <w:pPr>
        <w:ind w:left="720" w:hanging="360"/>
      </w:pPr>
      <w:rPr>
        <w:rFonts w:ascii="Aptos" w:hAnsi="Aptos" w:hint="default"/>
      </w:rPr>
    </w:lvl>
    <w:lvl w:ilvl="1" w:tplc="878A4236">
      <w:start w:val="1"/>
      <w:numFmt w:val="bullet"/>
      <w:lvlText w:val="o"/>
      <w:lvlJc w:val="left"/>
      <w:pPr>
        <w:ind w:left="1440" w:hanging="360"/>
      </w:pPr>
      <w:rPr>
        <w:rFonts w:ascii="Courier New" w:hAnsi="Courier New" w:hint="default"/>
      </w:rPr>
    </w:lvl>
    <w:lvl w:ilvl="2" w:tplc="88EAE6B8">
      <w:start w:val="1"/>
      <w:numFmt w:val="bullet"/>
      <w:lvlText w:val=""/>
      <w:lvlJc w:val="left"/>
      <w:pPr>
        <w:ind w:left="2160" w:hanging="360"/>
      </w:pPr>
      <w:rPr>
        <w:rFonts w:ascii="Wingdings" w:hAnsi="Wingdings" w:hint="default"/>
      </w:rPr>
    </w:lvl>
    <w:lvl w:ilvl="3" w:tplc="C4B62D90">
      <w:start w:val="1"/>
      <w:numFmt w:val="bullet"/>
      <w:lvlText w:val=""/>
      <w:lvlJc w:val="left"/>
      <w:pPr>
        <w:ind w:left="2880" w:hanging="360"/>
      </w:pPr>
      <w:rPr>
        <w:rFonts w:ascii="Symbol" w:hAnsi="Symbol" w:hint="default"/>
      </w:rPr>
    </w:lvl>
    <w:lvl w:ilvl="4" w:tplc="617EA910">
      <w:start w:val="1"/>
      <w:numFmt w:val="bullet"/>
      <w:lvlText w:val="o"/>
      <w:lvlJc w:val="left"/>
      <w:pPr>
        <w:ind w:left="3600" w:hanging="360"/>
      </w:pPr>
      <w:rPr>
        <w:rFonts w:ascii="Courier New" w:hAnsi="Courier New" w:hint="default"/>
      </w:rPr>
    </w:lvl>
    <w:lvl w:ilvl="5" w:tplc="6758F620">
      <w:start w:val="1"/>
      <w:numFmt w:val="bullet"/>
      <w:lvlText w:val=""/>
      <w:lvlJc w:val="left"/>
      <w:pPr>
        <w:ind w:left="4320" w:hanging="360"/>
      </w:pPr>
      <w:rPr>
        <w:rFonts w:ascii="Wingdings" w:hAnsi="Wingdings" w:hint="default"/>
      </w:rPr>
    </w:lvl>
    <w:lvl w:ilvl="6" w:tplc="C99022BE">
      <w:start w:val="1"/>
      <w:numFmt w:val="bullet"/>
      <w:lvlText w:val=""/>
      <w:lvlJc w:val="left"/>
      <w:pPr>
        <w:ind w:left="5040" w:hanging="360"/>
      </w:pPr>
      <w:rPr>
        <w:rFonts w:ascii="Symbol" w:hAnsi="Symbol" w:hint="default"/>
      </w:rPr>
    </w:lvl>
    <w:lvl w:ilvl="7" w:tplc="33AE2B90">
      <w:start w:val="1"/>
      <w:numFmt w:val="bullet"/>
      <w:lvlText w:val="o"/>
      <w:lvlJc w:val="left"/>
      <w:pPr>
        <w:ind w:left="5760" w:hanging="360"/>
      </w:pPr>
      <w:rPr>
        <w:rFonts w:ascii="Courier New" w:hAnsi="Courier New" w:hint="default"/>
      </w:rPr>
    </w:lvl>
    <w:lvl w:ilvl="8" w:tplc="9E3C10C0">
      <w:start w:val="1"/>
      <w:numFmt w:val="bullet"/>
      <w:lvlText w:val=""/>
      <w:lvlJc w:val="left"/>
      <w:pPr>
        <w:ind w:left="6480" w:hanging="360"/>
      </w:pPr>
      <w:rPr>
        <w:rFonts w:ascii="Wingdings" w:hAnsi="Wingdings" w:hint="default"/>
      </w:rPr>
    </w:lvl>
  </w:abstractNum>
  <w:abstractNum w:abstractNumId="13" w15:restartNumberingAfterBreak="0">
    <w:nsid w:val="1E7F1739"/>
    <w:multiLevelType w:val="multilevel"/>
    <w:tmpl w:val="5A3AE532"/>
    <w:lvl w:ilvl="0">
      <w:start w:val="3"/>
      <w:numFmt w:val="decimal"/>
      <w:lvlText w:val="%1"/>
      <w:lvlJc w:val="left"/>
      <w:pPr>
        <w:ind w:left="690" w:hanging="690"/>
      </w:pPr>
      <w:rPr>
        <w:rFonts w:hint="default"/>
      </w:rPr>
    </w:lvl>
    <w:lvl w:ilvl="1">
      <w:start w:val="6"/>
      <w:numFmt w:val="decimal"/>
      <w:lvlText w:val="%1.%2"/>
      <w:lvlJc w:val="left"/>
      <w:pPr>
        <w:ind w:left="720" w:hanging="720"/>
      </w:pPr>
      <w:rPr>
        <w:rFonts w:hint="default"/>
      </w:rPr>
    </w:lvl>
    <w:lvl w:ilvl="2">
      <w:start w:val="2"/>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4" w15:restartNumberingAfterBreak="0">
    <w:nsid w:val="202D4FAB"/>
    <w:multiLevelType w:val="hybridMultilevel"/>
    <w:tmpl w:val="93DA9DB0"/>
    <w:lvl w:ilvl="0" w:tplc="174AD08E">
      <w:start w:val="1"/>
      <w:numFmt w:val="bullet"/>
      <w:lvlText w:val="-"/>
      <w:lvlJc w:val="left"/>
      <w:pPr>
        <w:ind w:left="720" w:hanging="360"/>
      </w:pPr>
      <w:rPr>
        <w:rFonts w:ascii="Aptos" w:hAnsi="Aptos" w:hint="default"/>
      </w:rPr>
    </w:lvl>
    <w:lvl w:ilvl="1" w:tplc="84FEA0D0">
      <w:start w:val="1"/>
      <w:numFmt w:val="bullet"/>
      <w:lvlText w:val="o"/>
      <w:lvlJc w:val="left"/>
      <w:pPr>
        <w:ind w:left="1440" w:hanging="360"/>
      </w:pPr>
      <w:rPr>
        <w:rFonts w:ascii="Courier New" w:hAnsi="Courier New" w:hint="default"/>
      </w:rPr>
    </w:lvl>
    <w:lvl w:ilvl="2" w:tplc="BBE26720">
      <w:start w:val="1"/>
      <w:numFmt w:val="bullet"/>
      <w:lvlText w:val=""/>
      <w:lvlJc w:val="left"/>
      <w:pPr>
        <w:ind w:left="2160" w:hanging="360"/>
      </w:pPr>
      <w:rPr>
        <w:rFonts w:ascii="Wingdings" w:hAnsi="Wingdings" w:hint="default"/>
      </w:rPr>
    </w:lvl>
    <w:lvl w:ilvl="3" w:tplc="C2DE506C">
      <w:start w:val="1"/>
      <w:numFmt w:val="bullet"/>
      <w:lvlText w:val=""/>
      <w:lvlJc w:val="left"/>
      <w:pPr>
        <w:ind w:left="2880" w:hanging="360"/>
      </w:pPr>
      <w:rPr>
        <w:rFonts w:ascii="Symbol" w:hAnsi="Symbol" w:hint="default"/>
      </w:rPr>
    </w:lvl>
    <w:lvl w:ilvl="4" w:tplc="9048976A">
      <w:start w:val="1"/>
      <w:numFmt w:val="bullet"/>
      <w:lvlText w:val="o"/>
      <w:lvlJc w:val="left"/>
      <w:pPr>
        <w:ind w:left="3600" w:hanging="360"/>
      </w:pPr>
      <w:rPr>
        <w:rFonts w:ascii="Courier New" w:hAnsi="Courier New" w:hint="default"/>
      </w:rPr>
    </w:lvl>
    <w:lvl w:ilvl="5" w:tplc="61406CA0">
      <w:start w:val="1"/>
      <w:numFmt w:val="bullet"/>
      <w:lvlText w:val=""/>
      <w:lvlJc w:val="left"/>
      <w:pPr>
        <w:ind w:left="4320" w:hanging="360"/>
      </w:pPr>
      <w:rPr>
        <w:rFonts w:ascii="Wingdings" w:hAnsi="Wingdings" w:hint="default"/>
      </w:rPr>
    </w:lvl>
    <w:lvl w:ilvl="6" w:tplc="B1F213AE">
      <w:start w:val="1"/>
      <w:numFmt w:val="bullet"/>
      <w:lvlText w:val=""/>
      <w:lvlJc w:val="left"/>
      <w:pPr>
        <w:ind w:left="5040" w:hanging="360"/>
      </w:pPr>
      <w:rPr>
        <w:rFonts w:ascii="Symbol" w:hAnsi="Symbol" w:hint="default"/>
      </w:rPr>
    </w:lvl>
    <w:lvl w:ilvl="7" w:tplc="7B92FDF8">
      <w:start w:val="1"/>
      <w:numFmt w:val="bullet"/>
      <w:lvlText w:val="o"/>
      <w:lvlJc w:val="left"/>
      <w:pPr>
        <w:ind w:left="5760" w:hanging="360"/>
      </w:pPr>
      <w:rPr>
        <w:rFonts w:ascii="Courier New" w:hAnsi="Courier New" w:hint="default"/>
      </w:rPr>
    </w:lvl>
    <w:lvl w:ilvl="8" w:tplc="B9E4D84C">
      <w:start w:val="1"/>
      <w:numFmt w:val="bullet"/>
      <w:lvlText w:val=""/>
      <w:lvlJc w:val="left"/>
      <w:pPr>
        <w:ind w:left="6480" w:hanging="360"/>
      </w:pPr>
      <w:rPr>
        <w:rFonts w:ascii="Wingdings" w:hAnsi="Wingdings" w:hint="default"/>
      </w:rPr>
    </w:lvl>
  </w:abstractNum>
  <w:abstractNum w:abstractNumId="15" w15:restartNumberingAfterBreak="0">
    <w:nsid w:val="219A4540"/>
    <w:multiLevelType w:val="multilevel"/>
    <w:tmpl w:val="B2589208"/>
    <w:lvl w:ilvl="0">
      <w:start w:val="8"/>
      <w:numFmt w:val="decimal"/>
      <w:lvlText w:val="%1"/>
      <w:lvlJc w:val="left"/>
      <w:pPr>
        <w:ind w:left="430" w:hanging="430"/>
      </w:pPr>
      <w:rPr>
        <w:rFonts w:hint="default"/>
      </w:rPr>
    </w:lvl>
    <w:lvl w:ilvl="1">
      <w:start w:val="9"/>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6" w15:restartNumberingAfterBreak="0">
    <w:nsid w:val="29C47062"/>
    <w:multiLevelType w:val="hybridMultilevel"/>
    <w:tmpl w:val="8EC0BEB2"/>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7" w15:restartNumberingAfterBreak="0">
    <w:nsid w:val="2AA40058"/>
    <w:multiLevelType w:val="hybridMultilevel"/>
    <w:tmpl w:val="B4F476E2"/>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8" w15:restartNumberingAfterBreak="0">
    <w:nsid w:val="2CD765A3"/>
    <w:multiLevelType w:val="multilevel"/>
    <w:tmpl w:val="331C4702"/>
    <w:lvl w:ilvl="0">
      <w:start w:val="5"/>
      <w:numFmt w:val="decimal"/>
      <w:lvlText w:val="%1"/>
      <w:lvlJc w:val="left"/>
      <w:pPr>
        <w:ind w:left="690" w:hanging="690"/>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1080" w:hanging="1080"/>
      </w:pPr>
      <w:rPr>
        <w:rFonts w:hint="default"/>
        <w:b/>
        <w:bCs/>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9" w15:restartNumberingAfterBreak="0">
    <w:nsid w:val="2E163D76"/>
    <w:multiLevelType w:val="hybridMultilevel"/>
    <w:tmpl w:val="02549DA0"/>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20" w15:restartNumberingAfterBreak="0">
    <w:nsid w:val="30600F8A"/>
    <w:multiLevelType w:val="multilevel"/>
    <w:tmpl w:val="90C8F1BE"/>
    <w:lvl w:ilvl="0">
      <w:start w:val="3"/>
      <w:numFmt w:val="decimal"/>
      <w:lvlText w:val="%1"/>
      <w:lvlJc w:val="left"/>
      <w:pPr>
        <w:ind w:left="430" w:hanging="4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1" w15:restartNumberingAfterBreak="0">
    <w:nsid w:val="306A2234"/>
    <w:multiLevelType w:val="multilevel"/>
    <w:tmpl w:val="DF824214"/>
    <w:lvl w:ilvl="0">
      <w:start w:val="3"/>
      <w:numFmt w:val="decimal"/>
      <w:lvlText w:val="%1"/>
      <w:lvlJc w:val="left"/>
      <w:pPr>
        <w:ind w:left="690" w:hanging="690"/>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2" w15:restartNumberingAfterBreak="0">
    <w:nsid w:val="33E35875"/>
    <w:multiLevelType w:val="hybridMultilevel"/>
    <w:tmpl w:val="8E3E4A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6301CEA"/>
    <w:multiLevelType w:val="multilevel"/>
    <w:tmpl w:val="F2F435E6"/>
    <w:lvl w:ilvl="0">
      <w:start w:val="2"/>
      <w:numFmt w:val="decimal"/>
      <w:lvlText w:val="%1"/>
      <w:lvlJc w:val="left"/>
      <w:pPr>
        <w:ind w:left="690" w:hanging="690"/>
      </w:pPr>
      <w:rPr>
        <w:rFonts w:hint="default"/>
        <w:b/>
      </w:rPr>
    </w:lvl>
    <w:lvl w:ilvl="1">
      <w:start w:val="2"/>
      <w:numFmt w:val="decimal"/>
      <w:lvlText w:val="%1.%2"/>
      <w:lvlJc w:val="left"/>
      <w:pPr>
        <w:ind w:left="720" w:hanging="720"/>
      </w:pPr>
      <w:rPr>
        <w:rFonts w:hint="default"/>
        <w:b/>
      </w:rPr>
    </w:lvl>
    <w:lvl w:ilvl="2">
      <w:start w:val="2"/>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520" w:hanging="2520"/>
      </w:pPr>
      <w:rPr>
        <w:rFonts w:hint="default"/>
        <w:b/>
      </w:rPr>
    </w:lvl>
  </w:abstractNum>
  <w:abstractNum w:abstractNumId="24" w15:restartNumberingAfterBreak="0">
    <w:nsid w:val="3F94628A"/>
    <w:multiLevelType w:val="hybridMultilevel"/>
    <w:tmpl w:val="F45032E0"/>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25" w15:restartNumberingAfterBreak="0">
    <w:nsid w:val="47301BDC"/>
    <w:multiLevelType w:val="hybridMultilevel"/>
    <w:tmpl w:val="87622270"/>
    <w:lvl w:ilvl="0" w:tplc="6C4CFB20">
      <w:start w:val="1"/>
      <w:numFmt w:val="bullet"/>
      <w:lvlText w:val=""/>
      <w:lvlJc w:val="left"/>
      <w:pPr>
        <w:ind w:left="720" w:hanging="360"/>
      </w:pPr>
      <w:rPr>
        <w:rFonts w:ascii="Symbol" w:hAnsi="Symbol" w:hint="default"/>
      </w:rPr>
    </w:lvl>
    <w:lvl w:ilvl="1" w:tplc="AA62E7B8">
      <w:start w:val="1"/>
      <w:numFmt w:val="bullet"/>
      <w:lvlText w:val="o"/>
      <w:lvlJc w:val="left"/>
      <w:pPr>
        <w:ind w:left="1440" w:hanging="360"/>
      </w:pPr>
      <w:rPr>
        <w:rFonts w:ascii="Courier New" w:hAnsi="Courier New" w:hint="default"/>
      </w:rPr>
    </w:lvl>
    <w:lvl w:ilvl="2" w:tplc="1B68E60A">
      <w:start w:val="1"/>
      <w:numFmt w:val="bullet"/>
      <w:lvlText w:val=""/>
      <w:lvlJc w:val="left"/>
      <w:pPr>
        <w:ind w:left="2160" w:hanging="360"/>
      </w:pPr>
      <w:rPr>
        <w:rFonts w:ascii="Wingdings" w:hAnsi="Wingdings" w:hint="default"/>
      </w:rPr>
    </w:lvl>
    <w:lvl w:ilvl="3" w:tplc="C582BE7E">
      <w:start w:val="1"/>
      <w:numFmt w:val="bullet"/>
      <w:lvlText w:val=""/>
      <w:lvlJc w:val="left"/>
      <w:pPr>
        <w:ind w:left="2880" w:hanging="360"/>
      </w:pPr>
      <w:rPr>
        <w:rFonts w:ascii="Symbol" w:hAnsi="Symbol" w:hint="default"/>
      </w:rPr>
    </w:lvl>
    <w:lvl w:ilvl="4" w:tplc="65C259A4">
      <w:start w:val="1"/>
      <w:numFmt w:val="bullet"/>
      <w:lvlText w:val="o"/>
      <w:lvlJc w:val="left"/>
      <w:pPr>
        <w:ind w:left="3600" w:hanging="360"/>
      </w:pPr>
      <w:rPr>
        <w:rFonts w:ascii="Courier New" w:hAnsi="Courier New" w:hint="default"/>
      </w:rPr>
    </w:lvl>
    <w:lvl w:ilvl="5" w:tplc="53EAAD8A">
      <w:start w:val="1"/>
      <w:numFmt w:val="bullet"/>
      <w:lvlText w:val=""/>
      <w:lvlJc w:val="left"/>
      <w:pPr>
        <w:ind w:left="4320" w:hanging="360"/>
      </w:pPr>
      <w:rPr>
        <w:rFonts w:ascii="Wingdings" w:hAnsi="Wingdings" w:hint="default"/>
      </w:rPr>
    </w:lvl>
    <w:lvl w:ilvl="6" w:tplc="13D64686">
      <w:start w:val="1"/>
      <w:numFmt w:val="bullet"/>
      <w:lvlText w:val=""/>
      <w:lvlJc w:val="left"/>
      <w:pPr>
        <w:ind w:left="5040" w:hanging="360"/>
      </w:pPr>
      <w:rPr>
        <w:rFonts w:ascii="Symbol" w:hAnsi="Symbol" w:hint="default"/>
      </w:rPr>
    </w:lvl>
    <w:lvl w:ilvl="7" w:tplc="091CB22E">
      <w:start w:val="1"/>
      <w:numFmt w:val="bullet"/>
      <w:lvlText w:val="o"/>
      <w:lvlJc w:val="left"/>
      <w:pPr>
        <w:ind w:left="5760" w:hanging="360"/>
      </w:pPr>
      <w:rPr>
        <w:rFonts w:ascii="Courier New" w:hAnsi="Courier New" w:hint="default"/>
      </w:rPr>
    </w:lvl>
    <w:lvl w:ilvl="8" w:tplc="20628F82">
      <w:start w:val="1"/>
      <w:numFmt w:val="bullet"/>
      <w:lvlText w:val=""/>
      <w:lvlJc w:val="left"/>
      <w:pPr>
        <w:ind w:left="6480" w:hanging="360"/>
      </w:pPr>
      <w:rPr>
        <w:rFonts w:ascii="Wingdings" w:hAnsi="Wingdings" w:hint="default"/>
      </w:rPr>
    </w:lvl>
  </w:abstractNum>
  <w:abstractNum w:abstractNumId="26" w15:restartNumberingAfterBreak="0">
    <w:nsid w:val="478B5D2B"/>
    <w:multiLevelType w:val="hybridMultilevel"/>
    <w:tmpl w:val="05D068D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47BA708C"/>
    <w:multiLevelType w:val="multilevel"/>
    <w:tmpl w:val="B37C4C7A"/>
    <w:lvl w:ilvl="0">
      <w:start w:val="4"/>
      <w:numFmt w:val="decimal"/>
      <w:lvlText w:val="%1"/>
      <w:lvlJc w:val="left"/>
      <w:pPr>
        <w:ind w:left="690" w:hanging="690"/>
      </w:pPr>
      <w:rPr>
        <w:rFonts w:hint="default"/>
        <w:sz w:val="24"/>
      </w:rPr>
    </w:lvl>
    <w:lvl w:ilvl="1">
      <w:start w:val="1"/>
      <w:numFmt w:val="decimal"/>
      <w:lvlText w:val="%1.%2"/>
      <w:lvlJc w:val="left"/>
      <w:pPr>
        <w:ind w:left="720" w:hanging="720"/>
      </w:pPr>
      <w:rPr>
        <w:rFonts w:hint="default"/>
        <w:sz w:val="24"/>
      </w:rPr>
    </w:lvl>
    <w:lvl w:ilvl="2">
      <w:start w:val="2"/>
      <w:numFmt w:val="decimal"/>
      <w:lvlText w:val="%1.%2.%3"/>
      <w:lvlJc w:val="left"/>
      <w:pPr>
        <w:ind w:left="1080" w:hanging="1080"/>
      </w:pPr>
      <w:rPr>
        <w:rFonts w:hint="default"/>
        <w:b/>
        <w:bCs/>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440" w:hanging="1440"/>
      </w:pPr>
      <w:rPr>
        <w:rFonts w:hint="default"/>
        <w:sz w:val="24"/>
      </w:rPr>
    </w:lvl>
    <w:lvl w:ilvl="5">
      <w:start w:val="1"/>
      <w:numFmt w:val="decimal"/>
      <w:lvlText w:val="%1.%2.%3.%4.%5.%6"/>
      <w:lvlJc w:val="left"/>
      <w:pPr>
        <w:ind w:left="1800" w:hanging="1800"/>
      </w:pPr>
      <w:rPr>
        <w:rFonts w:hint="default"/>
        <w:sz w:val="24"/>
      </w:rPr>
    </w:lvl>
    <w:lvl w:ilvl="6">
      <w:start w:val="1"/>
      <w:numFmt w:val="decimal"/>
      <w:lvlText w:val="%1.%2.%3.%4.%5.%6.%7"/>
      <w:lvlJc w:val="left"/>
      <w:pPr>
        <w:ind w:left="2160" w:hanging="2160"/>
      </w:pPr>
      <w:rPr>
        <w:rFonts w:hint="default"/>
        <w:sz w:val="24"/>
      </w:rPr>
    </w:lvl>
    <w:lvl w:ilvl="7">
      <w:start w:val="1"/>
      <w:numFmt w:val="decimal"/>
      <w:lvlText w:val="%1.%2.%3.%4.%5.%6.%7.%8"/>
      <w:lvlJc w:val="left"/>
      <w:pPr>
        <w:ind w:left="2160" w:hanging="2160"/>
      </w:pPr>
      <w:rPr>
        <w:rFonts w:hint="default"/>
        <w:sz w:val="24"/>
      </w:rPr>
    </w:lvl>
    <w:lvl w:ilvl="8">
      <w:start w:val="1"/>
      <w:numFmt w:val="decimal"/>
      <w:lvlText w:val="%1.%2.%3.%4.%5.%6.%7.%8.%9"/>
      <w:lvlJc w:val="left"/>
      <w:pPr>
        <w:ind w:left="2520" w:hanging="2520"/>
      </w:pPr>
      <w:rPr>
        <w:rFonts w:hint="default"/>
        <w:sz w:val="24"/>
      </w:rPr>
    </w:lvl>
  </w:abstractNum>
  <w:abstractNum w:abstractNumId="28" w15:restartNumberingAfterBreak="0">
    <w:nsid w:val="49B43568"/>
    <w:multiLevelType w:val="multilevel"/>
    <w:tmpl w:val="077438E6"/>
    <w:lvl w:ilvl="0">
      <w:start w:val="4"/>
      <w:numFmt w:val="decimal"/>
      <w:lvlText w:val="%1"/>
      <w:lvlJc w:val="left"/>
      <w:pPr>
        <w:ind w:left="690" w:hanging="690"/>
      </w:pPr>
      <w:rPr>
        <w:rFonts w:hint="default"/>
      </w:rPr>
    </w:lvl>
    <w:lvl w:ilvl="1">
      <w:start w:val="3"/>
      <w:numFmt w:val="decimal"/>
      <w:lvlText w:val="%1.%2"/>
      <w:lvlJc w:val="left"/>
      <w:pPr>
        <w:ind w:left="720" w:hanging="720"/>
      </w:pPr>
      <w:rPr>
        <w:rFonts w:hint="default"/>
      </w:rPr>
    </w:lvl>
    <w:lvl w:ilvl="2">
      <w:start w:val="2"/>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9" w15:restartNumberingAfterBreak="0">
    <w:nsid w:val="4C7D2C2C"/>
    <w:multiLevelType w:val="multilevel"/>
    <w:tmpl w:val="9F923CB0"/>
    <w:lvl w:ilvl="0">
      <w:start w:val="8"/>
      <w:numFmt w:val="decimal"/>
      <w:lvlText w:val="%1"/>
      <w:lvlJc w:val="left"/>
      <w:pPr>
        <w:ind w:left="430" w:hanging="43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0" w15:restartNumberingAfterBreak="0">
    <w:nsid w:val="4DB14DEF"/>
    <w:multiLevelType w:val="multilevel"/>
    <w:tmpl w:val="26AC0E0C"/>
    <w:lvl w:ilvl="0">
      <w:start w:val="4"/>
      <w:numFmt w:val="decimal"/>
      <w:lvlText w:val="%1"/>
      <w:lvlJc w:val="left"/>
      <w:pPr>
        <w:ind w:left="860" w:hanging="860"/>
      </w:pPr>
      <w:rPr>
        <w:rFonts w:hint="default"/>
        <w:sz w:val="24"/>
      </w:rPr>
    </w:lvl>
    <w:lvl w:ilvl="1">
      <w:start w:val="2"/>
      <w:numFmt w:val="decimal"/>
      <w:lvlText w:val="%1.%2"/>
      <w:lvlJc w:val="left"/>
      <w:pPr>
        <w:ind w:left="860" w:hanging="860"/>
      </w:pPr>
      <w:rPr>
        <w:rFonts w:hint="default"/>
        <w:sz w:val="24"/>
      </w:rPr>
    </w:lvl>
    <w:lvl w:ilvl="2">
      <w:start w:val="15"/>
      <w:numFmt w:val="decimal"/>
      <w:lvlText w:val="%1.%2.%3"/>
      <w:lvlJc w:val="left"/>
      <w:pPr>
        <w:ind w:left="1080" w:hanging="108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440" w:hanging="1440"/>
      </w:pPr>
      <w:rPr>
        <w:rFonts w:hint="default"/>
        <w:sz w:val="24"/>
      </w:rPr>
    </w:lvl>
    <w:lvl w:ilvl="5">
      <w:start w:val="1"/>
      <w:numFmt w:val="decimal"/>
      <w:lvlText w:val="%1.%2.%3.%4.%5.%6"/>
      <w:lvlJc w:val="left"/>
      <w:pPr>
        <w:ind w:left="1800" w:hanging="1800"/>
      </w:pPr>
      <w:rPr>
        <w:rFonts w:hint="default"/>
        <w:sz w:val="24"/>
      </w:rPr>
    </w:lvl>
    <w:lvl w:ilvl="6">
      <w:start w:val="1"/>
      <w:numFmt w:val="decimal"/>
      <w:lvlText w:val="%1.%2.%3.%4.%5.%6.%7"/>
      <w:lvlJc w:val="left"/>
      <w:pPr>
        <w:ind w:left="2160" w:hanging="2160"/>
      </w:pPr>
      <w:rPr>
        <w:rFonts w:hint="default"/>
        <w:sz w:val="24"/>
      </w:rPr>
    </w:lvl>
    <w:lvl w:ilvl="7">
      <w:start w:val="1"/>
      <w:numFmt w:val="decimal"/>
      <w:lvlText w:val="%1.%2.%3.%4.%5.%6.%7.%8"/>
      <w:lvlJc w:val="left"/>
      <w:pPr>
        <w:ind w:left="2160" w:hanging="2160"/>
      </w:pPr>
      <w:rPr>
        <w:rFonts w:hint="default"/>
        <w:sz w:val="24"/>
      </w:rPr>
    </w:lvl>
    <w:lvl w:ilvl="8">
      <w:start w:val="1"/>
      <w:numFmt w:val="decimal"/>
      <w:lvlText w:val="%1.%2.%3.%4.%5.%6.%7.%8.%9"/>
      <w:lvlJc w:val="left"/>
      <w:pPr>
        <w:ind w:left="2520" w:hanging="2520"/>
      </w:pPr>
      <w:rPr>
        <w:rFonts w:hint="default"/>
        <w:sz w:val="24"/>
      </w:rPr>
    </w:lvl>
  </w:abstractNum>
  <w:abstractNum w:abstractNumId="31" w15:restartNumberingAfterBreak="0">
    <w:nsid w:val="4F00FADB"/>
    <w:multiLevelType w:val="hybridMultilevel"/>
    <w:tmpl w:val="B38CAB40"/>
    <w:lvl w:ilvl="0" w:tplc="66D679DE">
      <w:start w:val="1"/>
      <w:numFmt w:val="bullet"/>
      <w:lvlText w:val="-"/>
      <w:lvlJc w:val="left"/>
      <w:pPr>
        <w:ind w:left="720" w:hanging="360"/>
      </w:pPr>
      <w:rPr>
        <w:rFonts w:ascii="Aptos" w:hAnsi="Aptos" w:hint="default"/>
      </w:rPr>
    </w:lvl>
    <w:lvl w:ilvl="1" w:tplc="B4A0FDA0">
      <w:start w:val="1"/>
      <w:numFmt w:val="bullet"/>
      <w:lvlText w:val="o"/>
      <w:lvlJc w:val="left"/>
      <w:pPr>
        <w:ind w:left="1440" w:hanging="360"/>
      </w:pPr>
      <w:rPr>
        <w:rFonts w:ascii="Courier New" w:hAnsi="Courier New" w:hint="default"/>
      </w:rPr>
    </w:lvl>
    <w:lvl w:ilvl="2" w:tplc="A8741BFC">
      <w:start w:val="1"/>
      <w:numFmt w:val="bullet"/>
      <w:lvlText w:val=""/>
      <w:lvlJc w:val="left"/>
      <w:pPr>
        <w:ind w:left="2160" w:hanging="360"/>
      </w:pPr>
      <w:rPr>
        <w:rFonts w:ascii="Wingdings" w:hAnsi="Wingdings" w:hint="default"/>
      </w:rPr>
    </w:lvl>
    <w:lvl w:ilvl="3" w:tplc="0E4243CE">
      <w:start w:val="1"/>
      <w:numFmt w:val="bullet"/>
      <w:lvlText w:val=""/>
      <w:lvlJc w:val="left"/>
      <w:pPr>
        <w:ind w:left="2880" w:hanging="360"/>
      </w:pPr>
      <w:rPr>
        <w:rFonts w:ascii="Symbol" w:hAnsi="Symbol" w:hint="default"/>
      </w:rPr>
    </w:lvl>
    <w:lvl w:ilvl="4" w:tplc="8C9A5ECE">
      <w:start w:val="1"/>
      <w:numFmt w:val="bullet"/>
      <w:lvlText w:val="o"/>
      <w:lvlJc w:val="left"/>
      <w:pPr>
        <w:ind w:left="3600" w:hanging="360"/>
      </w:pPr>
      <w:rPr>
        <w:rFonts w:ascii="Courier New" w:hAnsi="Courier New" w:hint="default"/>
      </w:rPr>
    </w:lvl>
    <w:lvl w:ilvl="5" w:tplc="67048870">
      <w:start w:val="1"/>
      <w:numFmt w:val="bullet"/>
      <w:lvlText w:val=""/>
      <w:lvlJc w:val="left"/>
      <w:pPr>
        <w:ind w:left="4320" w:hanging="360"/>
      </w:pPr>
      <w:rPr>
        <w:rFonts w:ascii="Wingdings" w:hAnsi="Wingdings" w:hint="default"/>
      </w:rPr>
    </w:lvl>
    <w:lvl w:ilvl="6" w:tplc="C08EBBF8">
      <w:start w:val="1"/>
      <w:numFmt w:val="bullet"/>
      <w:lvlText w:val=""/>
      <w:lvlJc w:val="left"/>
      <w:pPr>
        <w:ind w:left="5040" w:hanging="360"/>
      </w:pPr>
      <w:rPr>
        <w:rFonts w:ascii="Symbol" w:hAnsi="Symbol" w:hint="default"/>
      </w:rPr>
    </w:lvl>
    <w:lvl w:ilvl="7" w:tplc="AC163A4E">
      <w:start w:val="1"/>
      <w:numFmt w:val="bullet"/>
      <w:lvlText w:val="o"/>
      <w:lvlJc w:val="left"/>
      <w:pPr>
        <w:ind w:left="5760" w:hanging="360"/>
      </w:pPr>
      <w:rPr>
        <w:rFonts w:ascii="Courier New" w:hAnsi="Courier New" w:hint="default"/>
      </w:rPr>
    </w:lvl>
    <w:lvl w:ilvl="8" w:tplc="48EA99CE">
      <w:start w:val="1"/>
      <w:numFmt w:val="bullet"/>
      <w:lvlText w:val=""/>
      <w:lvlJc w:val="left"/>
      <w:pPr>
        <w:ind w:left="6480" w:hanging="360"/>
      </w:pPr>
      <w:rPr>
        <w:rFonts w:ascii="Wingdings" w:hAnsi="Wingdings" w:hint="default"/>
      </w:rPr>
    </w:lvl>
  </w:abstractNum>
  <w:abstractNum w:abstractNumId="32" w15:restartNumberingAfterBreak="0">
    <w:nsid w:val="56A06EB5"/>
    <w:multiLevelType w:val="multilevel"/>
    <w:tmpl w:val="D0585A52"/>
    <w:lvl w:ilvl="0">
      <w:start w:val="5"/>
      <w:numFmt w:val="decimal"/>
      <w:lvlText w:val="%1"/>
      <w:lvlJc w:val="left"/>
      <w:pPr>
        <w:ind w:left="430" w:hanging="4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3" w15:restartNumberingAfterBreak="0">
    <w:nsid w:val="56D15F1A"/>
    <w:multiLevelType w:val="multilevel"/>
    <w:tmpl w:val="AC2CA644"/>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hint="default"/>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4" w15:restartNumberingAfterBreak="0">
    <w:nsid w:val="575EAB88"/>
    <w:multiLevelType w:val="hybridMultilevel"/>
    <w:tmpl w:val="AAAAE3CC"/>
    <w:lvl w:ilvl="0" w:tplc="A33A96C8">
      <w:start w:val="1"/>
      <w:numFmt w:val="bullet"/>
      <w:lvlText w:val=""/>
      <w:lvlJc w:val="left"/>
      <w:pPr>
        <w:ind w:left="720" w:hanging="360"/>
      </w:pPr>
      <w:rPr>
        <w:rFonts w:ascii="Symbol" w:hAnsi="Symbol" w:hint="default"/>
      </w:rPr>
    </w:lvl>
    <w:lvl w:ilvl="1" w:tplc="F63C1B8A">
      <w:start w:val="1"/>
      <w:numFmt w:val="bullet"/>
      <w:lvlText w:val="o"/>
      <w:lvlJc w:val="left"/>
      <w:pPr>
        <w:ind w:left="1440" w:hanging="360"/>
      </w:pPr>
      <w:rPr>
        <w:rFonts w:ascii="Courier New" w:hAnsi="Courier New" w:hint="default"/>
      </w:rPr>
    </w:lvl>
    <w:lvl w:ilvl="2" w:tplc="F8B29182">
      <w:start w:val="1"/>
      <w:numFmt w:val="bullet"/>
      <w:lvlText w:val=""/>
      <w:lvlJc w:val="left"/>
      <w:pPr>
        <w:ind w:left="2160" w:hanging="360"/>
      </w:pPr>
      <w:rPr>
        <w:rFonts w:ascii="Wingdings" w:hAnsi="Wingdings" w:hint="default"/>
      </w:rPr>
    </w:lvl>
    <w:lvl w:ilvl="3" w:tplc="C986D5D2">
      <w:start w:val="1"/>
      <w:numFmt w:val="bullet"/>
      <w:lvlText w:val=""/>
      <w:lvlJc w:val="left"/>
      <w:pPr>
        <w:ind w:left="2880" w:hanging="360"/>
      </w:pPr>
      <w:rPr>
        <w:rFonts w:ascii="Symbol" w:hAnsi="Symbol" w:hint="default"/>
      </w:rPr>
    </w:lvl>
    <w:lvl w:ilvl="4" w:tplc="930479B2">
      <w:start w:val="1"/>
      <w:numFmt w:val="bullet"/>
      <w:lvlText w:val="o"/>
      <w:lvlJc w:val="left"/>
      <w:pPr>
        <w:ind w:left="3600" w:hanging="360"/>
      </w:pPr>
      <w:rPr>
        <w:rFonts w:ascii="Courier New" w:hAnsi="Courier New" w:hint="default"/>
      </w:rPr>
    </w:lvl>
    <w:lvl w:ilvl="5" w:tplc="13E23916">
      <w:start w:val="1"/>
      <w:numFmt w:val="bullet"/>
      <w:lvlText w:val=""/>
      <w:lvlJc w:val="left"/>
      <w:pPr>
        <w:ind w:left="4320" w:hanging="360"/>
      </w:pPr>
      <w:rPr>
        <w:rFonts w:ascii="Wingdings" w:hAnsi="Wingdings" w:hint="default"/>
      </w:rPr>
    </w:lvl>
    <w:lvl w:ilvl="6" w:tplc="888CCC7A">
      <w:start w:val="1"/>
      <w:numFmt w:val="bullet"/>
      <w:lvlText w:val=""/>
      <w:lvlJc w:val="left"/>
      <w:pPr>
        <w:ind w:left="5040" w:hanging="360"/>
      </w:pPr>
      <w:rPr>
        <w:rFonts w:ascii="Symbol" w:hAnsi="Symbol" w:hint="default"/>
      </w:rPr>
    </w:lvl>
    <w:lvl w:ilvl="7" w:tplc="0220D408">
      <w:start w:val="1"/>
      <w:numFmt w:val="bullet"/>
      <w:lvlText w:val="o"/>
      <w:lvlJc w:val="left"/>
      <w:pPr>
        <w:ind w:left="5760" w:hanging="360"/>
      </w:pPr>
      <w:rPr>
        <w:rFonts w:ascii="Courier New" w:hAnsi="Courier New" w:hint="default"/>
      </w:rPr>
    </w:lvl>
    <w:lvl w:ilvl="8" w:tplc="BFCC85A8">
      <w:start w:val="1"/>
      <w:numFmt w:val="bullet"/>
      <w:lvlText w:val=""/>
      <w:lvlJc w:val="left"/>
      <w:pPr>
        <w:ind w:left="6480" w:hanging="360"/>
      </w:pPr>
      <w:rPr>
        <w:rFonts w:ascii="Wingdings" w:hAnsi="Wingdings" w:hint="default"/>
      </w:rPr>
    </w:lvl>
  </w:abstractNum>
  <w:abstractNum w:abstractNumId="35" w15:restartNumberingAfterBreak="0">
    <w:nsid w:val="57FF1738"/>
    <w:multiLevelType w:val="hybridMultilevel"/>
    <w:tmpl w:val="804A031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5AF96CD4"/>
    <w:multiLevelType w:val="hybridMultilevel"/>
    <w:tmpl w:val="EB665A7C"/>
    <w:lvl w:ilvl="0" w:tplc="D4AC4F90">
      <w:start w:val="1"/>
      <w:numFmt w:val="bullet"/>
      <w:lvlText w:val="-"/>
      <w:lvlJc w:val="left"/>
      <w:pPr>
        <w:ind w:left="720" w:hanging="360"/>
      </w:pPr>
      <w:rPr>
        <w:rFonts w:ascii="Aptos" w:hAnsi="Aptos" w:hint="default"/>
      </w:rPr>
    </w:lvl>
    <w:lvl w:ilvl="1" w:tplc="A496A604">
      <w:start w:val="1"/>
      <w:numFmt w:val="bullet"/>
      <w:lvlText w:val="o"/>
      <w:lvlJc w:val="left"/>
      <w:pPr>
        <w:ind w:left="1440" w:hanging="360"/>
      </w:pPr>
      <w:rPr>
        <w:rFonts w:ascii="Courier New" w:hAnsi="Courier New" w:hint="default"/>
      </w:rPr>
    </w:lvl>
    <w:lvl w:ilvl="2" w:tplc="6CA0BC94">
      <w:start w:val="1"/>
      <w:numFmt w:val="bullet"/>
      <w:lvlText w:val=""/>
      <w:lvlJc w:val="left"/>
      <w:pPr>
        <w:ind w:left="2160" w:hanging="360"/>
      </w:pPr>
      <w:rPr>
        <w:rFonts w:ascii="Wingdings" w:hAnsi="Wingdings" w:hint="default"/>
      </w:rPr>
    </w:lvl>
    <w:lvl w:ilvl="3" w:tplc="23746466">
      <w:start w:val="1"/>
      <w:numFmt w:val="bullet"/>
      <w:lvlText w:val=""/>
      <w:lvlJc w:val="left"/>
      <w:pPr>
        <w:ind w:left="2880" w:hanging="360"/>
      </w:pPr>
      <w:rPr>
        <w:rFonts w:ascii="Symbol" w:hAnsi="Symbol" w:hint="default"/>
      </w:rPr>
    </w:lvl>
    <w:lvl w:ilvl="4" w:tplc="35D4510C">
      <w:start w:val="1"/>
      <w:numFmt w:val="bullet"/>
      <w:lvlText w:val="o"/>
      <w:lvlJc w:val="left"/>
      <w:pPr>
        <w:ind w:left="3600" w:hanging="360"/>
      </w:pPr>
      <w:rPr>
        <w:rFonts w:ascii="Courier New" w:hAnsi="Courier New" w:hint="default"/>
      </w:rPr>
    </w:lvl>
    <w:lvl w:ilvl="5" w:tplc="AE7411B4">
      <w:start w:val="1"/>
      <w:numFmt w:val="bullet"/>
      <w:lvlText w:val=""/>
      <w:lvlJc w:val="left"/>
      <w:pPr>
        <w:ind w:left="4320" w:hanging="360"/>
      </w:pPr>
      <w:rPr>
        <w:rFonts w:ascii="Wingdings" w:hAnsi="Wingdings" w:hint="default"/>
      </w:rPr>
    </w:lvl>
    <w:lvl w:ilvl="6" w:tplc="679E896A">
      <w:start w:val="1"/>
      <w:numFmt w:val="bullet"/>
      <w:lvlText w:val=""/>
      <w:lvlJc w:val="left"/>
      <w:pPr>
        <w:ind w:left="5040" w:hanging="360"/>
      </w:pPr>
      <w:rPr>
        <w:rFonts w:ascii="Symbol" w:hAnsi="Symbol" w:hint="default"/>
      </w:rPr>
    </w:lvl>
    <w:lvl w:ilvl="7" w:tplc="280A5744">
      <w:start w:val="1"/>
      <w:numFmt w:val="bullet"/>
      <w:lvlText w:val="o"/>
      <w:lvlJc w:val="left"/>
      <w:pPr>
        <w:ind w:left="5760" w:hanging="360"/>
      </w:pPr>
      <w:rPr>
        <w:rFonts w:ascii="Courier New" w:hAnsi="Courier New" w:hint="default"/>
      </w:rPr>
    </w:lvl>
    <w:lvl w:ilvl="8" w:tplc="39E44998">
      <w:start w:val="1"/>
      <w:numFmt w:val="bullet"/>
      <w:lvlText w:val=""/>
      <w:lvlJc w:val="left"/>
      <w:pPr>
        <w:ind w:left="6480" w:hanging="360"/>
      </w:pPr>
      <w:rPr>
        <w:rFonts w:ascii="Wingdings" w:hAnsi="Wingdings" w:hint="default"/>
      </w:rPr>
    </w:lvl>
  </w:abstractNum>
  <w:abstractNum w:abstractNumId="37" w15:restartNumberingAfterBreak="0">
    <w:nsid w:val="5B285AE5"/>
    <w:multiLevelType w:val="multilevel"/>
    <w:tmpl w:val="77B49772"/>
    <w:lvl w:ilvl="0">
      <w:start w:val="3"/>
      <w:numFmt w:val="decimal"/>
      <w:lvlText w:val="%1"/>
      <w:lvlJc w:val="left"/>
      <w:pPr>
        <w:ind w:left="690" w:hanging="690"/>
      </w:pPr>
      <w:rPr>
        <w:rFonts w:hint="default"/>
        <w:b/>
      </w:rPr>
    </w:lvl>
    <w:lvl w:ilvl="1">
      <w:start w:val="4"/>
      <w:numFmt w:val="decimal"/>
      <w:lvlText w:val="%1.%2"/>
      <w:lvlJc w:val="left"/>
      <w:pPr>
        <w:ind w:left="720" w:hanging="720"/>
      </w:pPr>
      <w:rPr>
        <w:rFonts w:hint="default"/>
        <w:b/>
      </w:rPr>
    </w:lvl>
    <w:lvl w:ilvl="2">
      <w:start w:val="1"/>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520" w:hanging="2520"/>
      </w:pPr>
      <w:rPr>
        <w:rFonts w:hint="default"/>
        <w:b/>
      </w:rPr>
    </w:lvl>
  </w:abstractNum>
  <w:abstractNum w:abstractNumId="38" w15:restartNumberingAfterBreak="0">
    <w:nsid w:val="5BA44C92"/>
    <w:multiLevelType w:val="hybridMultilevel"/>
    <w:tmpl w:val="89A64A1A"/>
    <w:lvl w:ilvl="0" w:tplc="1938CB44">
      <w:start w:val="1"/>
      <w:numFmt w:val="bullet"/>
      <w:lvlText w:val="-"/>
      <w:lvlJc w:val="left"/>
      <w:pPr>
        <w:ind w:left="720" w:hanging="360"/>
      </w:pPr>
      <w:rPr>
        <w:rFonts w:ascii="Aptos" w:hAnsi="Aptos" w:hint="default"/>
      </w:rPr>
    </w:lvl>
    <w:lvl w:ilvl="1" w:tplc="7CFEA93A">
      <w:start w:val="1"/>
      <w:numFmt w:val="bullet"/>
      <w:lvlText w:val="o"/>
      <w:lvlJc w:val="left"/>
      <w:pPr>
        <w:ind w:left="1440" w:hanging="360"/>
      </w:pPr>
      <w:rPr>
        <w:rFonts w:ascii="Courier New" w:hAnsi="Courier New" w:hint="default"/>
      </w:rPr>
    </w:lvl>
    <w:lvl w:ilvl="2" w:tplc="933CCACA">
      <w:start w:val="1"/>
      <w:numFmt w:val="bullet"/>
      <w:lvlText w:val=""/>
      <w:lvlJc w:val="left"/>
      <w:pPr>
        <w:ind w:left="2160" w:hanging="360"/>
      </w:pPr>
      <w:rPr>
        <w:rFonts w:ascii="Wingdings" w:hAnsi="Wingdings" w:hint="default"/>
      </w:rPr>
    </w:lvl>
    <w:lvl w:ilvl="3" w:tplc="2ABE2C78">
      <w:start w:val="1"/>
      <w:numFmt w:val="bullet"/>
      <w:lvlText w:val=""/>
      <w:lvlJc w:val="left"/>
      <w:pPr>
        <w:ind w:left="2880" w:hanging="360"/>
      </w:pPr>
      <w:rPr>
        <w:rFonts w:ascii="Symbol" w:hAnsi="Symbol" w:hint="default"/>
      </w:rPr>
    </w:lvl>
    <w:lvl w:ilvl="4" w:tplc="69EE3364">
      <w:start w:val="1"/>
      <w:numFmt w:val="bullet"/>
      <w:lvlText w:val="o"/>
      <w:lvlJc w:val="left"/>
      <w:pPr>
        <w:ind w:left="3600" w:hanging="360"/>
      </w:pPr>
      <w:rPr>
        <w:rFonts w:ascii="Courier New" w:hAnsi="Courier New" w:hint="default"/>
      </w:rPr>
    </w:lvl>
    <w:lvl w:ilvl="5" w:tplc="F57E7E60">
      <w:start w:val="1"/>
      <w:numFmt w:val="bullet"/>
      <w:lvlText w:val=""/>
      <w:lvlJc w:val="left"/>
      <w:pPr>
        <w:ind w:left="4320" w:hanging="360"/>
      </w:pPr>
      <w:rPr>
        <w:rFonts w:ascii="Wingdings" w:hAnsi="Wingdings" w:hint="default"/>
      </w:rPr>
    </w:lvl>
    <w:lvl w:ilvl="6" w:tplc="BF103DDA">
      <w:start w:val="1"/>
      <w:numFmt w:val="bullet"/>
      <w:lvlText w:val=""/>
      <w:lvlJc w:val="left"/>
      <w:pPr>
        <w:ind w:left="5040" w:hanging="360"/>
      </w:pPr>
      <w:rPr>
        <w:rFonts w:ascii="Symbol" w:hAnsi="Symbol" w:hint="default"/>
      </w:rPr>
    </w:lvl>
    <w:lvl w:ilvl="7" w:tplc="64DEFB66">
      <w:start w:val="1"/>
      <w:numFmt w:val="bullet"/>
      <w:lvlText w:val="o"/>
      <w:lvlJc w:val="left"/>
      <w:pPr>
        <w:ind w:left="5760" w:hanging="360"/>
      </w:pPr>
      <w:rPr>
        <w:rFonts w:ascii="Courier New" w:hAnsi="Courier New" w:hint="default"/>
      </w:rPr>
    </w:lvl>
    <w:lvl w:ilvl="8" w:tplc="3F82C690">
      <w:start w:val="1"/>
      <w:numFmt w:val="bullet"/>
      <w:lvlText w:val=""/>
      <w:lvlJc w:val="left"/>
      <w:pPr>
        <w:ind w:left="6480" w:hanging="360"/>
      </w:pPr>
      <w:rPr>
        <w:rFonts w:ascii="Wingdings" w:hAnsi="Wingdings" w:hint="default"/>
      </w:rPr>
    </w:lvl>
  </w:abstractNum>
  <w:abstractNum w:abstractNumId="39" w15:restartNumberingAfterBreak="0">
    <w:nsid w:val="5F417C71"/>
    <w:multiLevelType w:val="multilevel"/>
    <w:tmpl w:val="841EFA32"/>
    <w:lvl w:ilvl="0">
      <w:start w:val="7"/>
      <w:numFmt w:val="decimal"/>
      <w:lvlText w:val="%1"/>
      <w:lvlJc w:val="left"/>
      <w:pPr>
        <w:ind w:left="430" w:hanging="430"/>
      </w:pPr>
      <w:rPr>
        <w:rFonts w:hint="default"/>
        <w:sz w:val="24"/>
      </w:rPr>
    </w:lvl>
    <w:lvl w:ilvl="1">
      <w:start w:val="1"/>
      <w:numFmt w:val="decimal"/>
      <w:lvlText w:val="%1.%2"/>
      <w:lvlJc w:val="left"/>
      <w:pPr>
        <w:ind w:left="720" w:hanging="720"/>
      </w:pPr>
      <w:rPr>
        <w:rFonts w:hint="default"/>
        <w:sz w:val="24"/>
      </w:rPr>
    </w:lvl>
    <w:lvl w:ilvl="2">
      <w:start w:val="1"/>
      <w:numFmt w:val="decimal"/>
      <w:lvlText w:val="%1.%2.%3"/>
      <w:lvlJc w:val="left"/>
      <w:pPr>
        <w:ind w:left="1080" w:hanging="108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440" w:hanging="1440"/>
      </w:pPr>
      <w:rPr>
        <w:rFonts w:hint="default"/>
        <w:sz w:val="24"/>
      </w:rPr>
    </w:lvl>
    <w:lvl w:ilvl="5">
      <w:start w:val="1"/>
      <w:numFmt w:val="decimal"/>
      <w:lvlText w:val="%1.%2.%3.%4.%5.%6"/>
      <w:lvlJc w:val="left"/>
      <w:pPr>
        <w:ind w:left="1800" w:hanging="1800"/>
      </w:pPr>
      <w:rPr>
        <w:rFonts w:hint="default"/>
        <w:sz w:val="24"/>
      </w:rPr>
    </w:lvl>
    <w:lvl w:ilvl="6">
      <w:start w:val="1"/>
      <w:numFmt w:val="decimal"/>
      <w:lvlText w:val="%1.%2.%3.%4.%5.%6.%7"/>
      <w:lvlJc w:val="left"/>
      <w:pPr>
        <w:ind w:left="2160" w:hanging="2160"/>
      </w:pPr>
      <w:rPr>
        <w:rFonts w:hint="default"/>
        <w:sz w:val="24"/>
      </w:rPr>
    </w:lvl>
    <w:lvl w:ilvl="7">
      <w:start w:val="1"/>
      <w:numFmt w:val="decimal"/>
      <w:lvlText w:val="%1.%2.%3.%4.%5.%6.%7.%8"/>
      <w:lvlJc w:val="left"/>
      <w:pPr>
        <w:ind w:left="2160" w:hanging="2160"/>
      </w:pPr>
      <w:rPr>
        <w:rFonts w:hint="default"/>
        <w:sz w:val="24"/>
      </w:rPr>
    </w:lvl>
    <w:lvl w:ilvl="8">
      <w:start w:val="1"/>
      <w:numFmt w:val="decimal"/>
      <w:lvlText w:val="%1.%2.%3.%4.%5.%6.%7.%8.%9"/>
      <w:lvlJc w:val="left"/>
      <w:pPr>
        <w:ind w:left="2520" w:hanging="2520"/>
      </w:pPr>
      <w:rPr>
        <w:rFonts w:hint="default"/>
        <w:sz w:val="24"/>
      </w:rPr>
    </w:lvl>
  </w:abstractNum>
  <w:abstractNum w:abstractNumId="40" w15:restartNumberingAfterBreak="0">
    <w:nsid w:val="60352158"/>
    <w:multiLevelType w:val="multilevel"/>
    <w:tmpl w:val="BE3C933C"/>
    <w:lvl w:ilvl="0">
      <w:start w:val="8"/>
      <w:numFmt w:val="decimal"/>
      <w:lvlText w:val="%1"/>
      <w:lvlJc w:val="left"/>
      <w:pPr>
        <w:ind w:left="600" w:hanging="600"/>
      </w:pPr>
      <w:rPr>
        <w:rFonts w:hint="default"/>
      </w:rPr>
    </w:lvl>
    <w:lvl w:ilvl="1">
      <w:start w:val="11"/>
      <w:numFmt w:val="decimal"/>
      <w:lvlText w:val="%1.%2"/>
      <w:lvlJc w:val="left"/>
      <w:pPr>
        <w:ind w:left="720" w:hanging="720"/>
      </w:pPr>
      <w:rPr>
        <w:rFonts w:hint="default"/>
        <w:b/>
        <w:bCs/>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41" w15:restartNumberingAfterBreak="0">
    <w:nsid w:val="609E615B"/>
    <w:multiLevelType w:val="hybridMultilevel"/>
    <w:tmpl w:val="0F741500"/>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42" w15:restartNumberingAfterBreak="0">
    <w:nsid w:val="61802FC1"/>
    <w:multiLevelType w:val="hybridMultilevel"/>
    <w:tmpl w:val="251871E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61CB7634"/>
    <w:multiLevelType w:val="multilevel"/>
    <w:tmpl w:val="3848A636"/>
    <w:lvl w:ilvl="0">
      <w:start w:val="5"/>
      <w:numFmt w:val="decimal"/>
      <w:lvlText w:val="%1"/>
      <w:lvlJc w:val="left"/>
      <w:pPr>
        <w:ind w:left="690" w:hanging="690"/>
      </w:pPr>
      <w:rPr>
        <w:rFonts w:hint="default"/>
      </w:rPr>
    </w:lvl>
    <w:lvl w:ilvl="1">
      <w:start w:val="5"/>
      <w:numFmt w:val="decimal"/>
      <w:lvlText w:val="%1.%2"/>
      <w:lvlJc w:val="left"/>
      <w:pPr>
        <w:ind w:left="720" w:hanging="720"/>
      </w:pPr>
      <w:rPr>
        <w:rFonts w:hint="default"/>
      </w:rPr>
    </w:lvl>
    <w:lvl w:ilvl="2">
      <w:start w:val="7"/>
      <w:numFmt w:val="decimal"/>
      <w:lvlText w:val="%1.%2.%3"/>
      <w:lvlJc w:val="left"/>
      <w:pPr>
        <w:ind w:left="1080" w:hanging="1080"/>
      </w:pPr>
      <w:rPr>
        <w:rFonts w:hint="default"/>
        <w:b/>
        <w:bCs/>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44" w15:restartNumberingAfterBreak="0">
    <w:nsid w:val="62D9982D"/>
    <w:multiLevelType w:val="hybridMultilevel"/>
    <w:tmpl w:val="7EE47078"/>
    <w:lvl w:ilvl="0" w:tplc="2EFAA2A0">
      <w:start w:val="1"/>
      <w:numFmt w:val="bullet"/>
      <w:lvlText w:val="-"/>
      <w:lvlJc w:val="left"/>
      <w:pPr>
        <w:ind w:left="720" w:hanging="360"/>
      </w:pPr>
      <w:rPr>
        <w:rFonts w:ascii="Arial" w:hAnsi="Arial" w:hint="default"/>
      </w:rPr>
    </w:lvl>
    <w:lvl w:ilvl="1" w:tplc="57A49322">
      <w:start w:val="1"/>
      <w:numFmt w:val="bullet"/>
      <w:lvlText w:val="o"/>
      <w:lvlJc w:val="left"/>
      <w:pPr>
        <w:ind w:left="1440" w:hanging="360"/>
      </w:pPr>
      <w:rPr>
        <w:rFonts w:ascii="Courier New" w:hAnsi="Courier New" w:hint="default"/>
      </w:rPr>
    </w:lvl>
    <w:lvl w:ilvl="2" w:tplc="F3386442">
      <w:start w:val="1"/>
      <w:numFmt w:val="bullet"/>
      <w:lvlText w:val=""/>
      <w:lvlJc w:val="left"/>
      <w:pPr>
        <w:ind w:left="2160" w:hanging="360"/>
      </w:pPr>
      <w:rPr>
        <w:rFonts w:ascii="Wingdings" w:hAnsi="Wingdings" w:hint="default"/>
      </w:rPr>
    </w:lvl>
    <w:lvl w:ilvl="3" w:tplc="AD74C74E">
      <w:start w:val="1"/>
      <w:numFmt w:val="bullet"/>
      <w:lvlText w:val=""/>
      <w:lvlJc w:val="left"/>
      <w:pPr>
        <w:ind w:left="2880" w:hanging="360"/>
      </w:pPr>
      <w:rPr>
        <w:rFonts w:ascii="Symbol" w:hAnsi="Symbol" w:hint="default"/>
      </w:rPr>
    </w:lvl>
    <w:lvl w:ilvl="4" w:tplc="76B2EFF8">
      <w:start w:val="1"/>
      <w:numFmt w:val="bullet"/>
      <w:lvlText w:val="o"/>
      <w:lvlJc w:val="left"/>
      <w:pPr>
        <w:ind w:left="3600" w:hanging="360"/>
      </w:pPr>
      <w:rPr>
        <w:rFonts w:ascii="Courier New" w:hAnsi="Courier New" w:hint="default"/>
      </w:rPr>
    </w:lvl>
    <w:lvl w:ilvl="5" w:tplc="C14E42E8">
      <w:start w:val="1"/>
      <w:numFmt w:val="bullet"/>
      <w:lvlText w:val=""/>
      <w:lvlJc w:val="left"/>
      <w:pPr>
        <w:ind w:left="4320" w:hanging="360"/>
      </w:pPr>
      <w:rPr>
        <w:rFonts w:ascii="Wingdings" w:hAnsi="Wingdings" w:hint="default"/>
      </w:rPr>
    </w:lvl>
    <w:lvl w:ilvl="6" w:tplc="0DBE92CE">
      <w:start w:val="1"/>
      <w:numFmt w:val="bullet"/>
      <w:lvlText w:val=""/>
      <w:lvlJc w:val="left"/>
      <w:pPr>
        <w:ind w:left="5040" w:hanging="360"/>
      </w:pPr>
      <w:rPr>
        <w:rFonts w:ascii="Symbol" w:hAnsi="Symbol" w:hint="default"/>
      </w:rPr>
    </w:lvl>
    <w:lvl w:ilvl="7" w:tplc="7AC2CF1C">
      <w:start w:val="1"/>
      <w:numFmt w:val="bullet"/>
      <w:lvlText w:val="o"/>
      <w:lvlJc w:val="left"/>
      <w:pPr>
        <w:ind w:left="5760" w:hanging="360"/>
      </w:pPr>
      <w:rPr>
        <w:rFonts w:ascii="Courier New" w:hAnsi="Courier New" w:hint="default"/>
      </w:rPr>
    </w:lvl>
    <w:lvl w:ilvl="8" w:tplc="1C66B406">
      <w:start w:val="1"/>
      <w:numFmt w:val="bullet"/>
      <w:lvlText w:val=""/>
      <w:lvlJc w:val="left"/>
      <w:pPr>
        <w:ind w:left="6480" w:hanging="360"/>
      </w:pPr>
      <w:rPr>
        <w:rFonts w:ascii="Wingdings" w:hAnsi="Wingdings" w:hint="default"/>
      </w:rPr>
    </w:lvl>
  </w:abstractNum>
  <w:abstractNum w:abstractNumId="45" w15:restartNumberingAfterBreak="0">
    <w:nsid w:val="646B32C1"/>
    <w:multiLevelType w:val="multilevel"/>
    <w:tmpl w:val="A058F7AA"/>
    <w:lvl w:ilvl="0">
      <w:start w:val="6"/>
      <w:numFmt w:val="decimal"/>
      <w:lvlText w:val="%1"/>
      <w:lvlJc w:val="left"/>
      <w:pPr>
        <w:ind w:left="430" w:hanging="43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46" w15:restartNumberingAfterBreak="0">
    <w:nsid w:val="656D65CA"/>
    <w:multiLevelType w:val="multilevel"/>
    <w:tmpl w:val="2454EF1C"/>
    <w:lvl w:ilvl="0">
      <w:start w:val="3"/>
      <w:numFmt w:val="decimal"/>
      <w:lvlText w:val="%1"/>
      <w:lvlJc w:val="left"/>
      <w:pPr>
        <w:ind w:left="630" w:hanging="630"/>
      </w:pPr>
      <w:rPr>
        <w:rFonts w:hint="default"/>
        <w:b w:val="0"/>
      </w:rPr>
    </w:lvl>
    <w:lvl w:ilvl="1">
      <w:start w:val="2"/>
      <w:numFmt w:val="decimal"/>
      <w:lvlText w:val="%1.%2"/>
      <w:lvlJc w:val="left"/>
      <w:pPr>
        <w:ind w:left="720" w:hanging="720"/>
      </w:pPr>
      <w:rPr>
        <w:rFonts w:hint="default"/>
        <w:b/>
        <w:bCs w:val="0"/>
      </w:rPr>
    </w:lvl>
    <w:lvl w:ilvl="2">
      <w:start w:val="3"/>
      <w:numFmt w:val="decimal"/>
      <w:lvlText w:val="%1.%2.%3"/>
      <w:lvlJc w:val="left"/>
      <w:pPr>
        <w:ind w:left="1080" w:hanging="1080"/>
      </w:pPr>
      <w:rPr>
        <w:rFonts w:hint="default"/>
        <w:b/>
        <w:bCs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47" w15:restartNumberingAfterBreak="0">
    <w:nsid w:val="67E513FB"/>
    <w:multiLevelType w:val="hybridMultilevel"/>
    <w:tmpl w:val="A386FA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8136A10"/>
    <w:multiLevelType w:val="hybridMultilevel"/>
    <w:tmpl w:val="E3AE1E22"/>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49" w15:restartNumberingAfterBreak="0">
    <w:nsid w:val="6A6B4ECA"/>
    <w:multiLevelType w:val="multilevel"/>
    <w:tmpl w:val="DF7AC81E"/>
    <w:lvl w:ilvl="0">
      <w:start w:val="4"/>
      <w:numFmt w:val="decimal"/>
      <w:lvlText w:val="%1"/>
      <w:lvlJc w:val="left"/>
      <w:pPr>
        <w:ind w:left="860" w:hanging="860"/>
      </w:pPr>
      <w:rPr>
        <w:rFonts w:hint="default"/>
        <w:sz w:val="24"/>
      </w:rPr>
    </w:lvl>
    <w:lvl w:ilvl="1">
      <w:start w:val="1"/>
      <w:numFmt w:val="decimal"/>
      <w:lvlText w:val="%1.%2"/>
      <w:lvlJc w:val="left"/>
      <w:pPr>
        <w:ind w:left="860" w:hanging="860"/>
      </w:pPr>
      <w:rPr>
        <w:rFonts w:hint="default"/>
        <w:sz w:val="24"/>
      </w:rPr>
    </w:lvl>
    <w:lvl w:ilvl="2">
      <w:start w:val="11"/>
      <w:numFmt w:val="decimal"/>
      <w:lvlText w:val="%1.%2.%3"/>
      <w:lvlJc w:val="left"/>
      <w:pPr>
        <w:ind w:left="1080" w:hanging="108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440" w:hanging="1440"/>
      </w:pPr>
      <w:rPr>
        <w:rFonts w:hint="default"/>
        <w:sz w:val="24"/>
      </w:rPr>
    </w:lvl>
    <w:lvl w:ilvl="5">
      <w:start w:val="1"/>
      <w:numFmt w:val="decimal"/>
      <w:lvlText w:val="%1.%2.%3.%4.%5.%6"/>
      <w:lvlJc w:val="left"/>
      <w:pPr>
        <w:ind w:left="1800" w:hanging="1800"/>
      </w:pPr>
      <w:rPr>
        <w:rFonts w:hint="default"/>
        <w:sz w:val="24"/>
      </w:rPr>
    </w:lvl>
    <w:lvl w:ilvl="6">
      <w:start w:val="1"/>
      <w:numFmt w:val="decimal"/>
      <w:lvlText w:val="%1.%2.%3.%4.%5.%6.%7"/>
      <w:lvlJc w:val="left"/>
      <w:pPr>
        <w:ind w:left="2160" w:hanging="2160"/>
      </w:pPr>
      <w:rPr>
        <w:rFonts w:hint="default"/>
        <w:sz w:val="24"/>
      </w:rPr>
    </w:lvl>
    <w:lvl w:ilvl="7">
      <w:start w:val="1"/>
      <w:numFmt w:val="decimal"/>
      <w:lvlText w:val="%1.%2.%3.%4.%5.%6.%7.%8"/>
      <w:lvlJc w:val="left"/>
      <w:pPr>
        <w:ind w:left="2160" w:hanging="2160"/>
      </w:pPr>
      <w:rPr>
        <w:rFonts w:hint="default"/>
        <w:sz w:val="24"/>
      </w:rPr>
    </w:lvl>
    <w:lvl w:ilvl="8">
      <w:start w:val="1"/>
      <w:numFmt w:val="decimal"/>
      <w:lvlText w:val="%1.%2.%3.%4.%5.%6.%7.%8.%9"/>
      <w:lvlJc w:val="left"/>
      <w:pPr>
        <w:ind w:left="2520" w:hanging="2520"/>
      </w:pPr>
      <w:rPr>
        <w:rFonts w:hint="default"/>
        <w:sz w:val="24"/>
      </w:rPr>
    </w:lvl>
  </w:abstractNum>
  <w:abstractNum w:abstractNumId="50" w15:restartNumberingAfterBreak="0">
    <w:nsid w:val="6B13BDBA"/>
    <w:multiLevelType w:val="hybridMultilevel"/>
    <w:tmpl w:val="0FCAF3C6"/>
    <w:styleLink w:val="OutlinenumberedArialOutlinenumberedArial11"/>
    <w:lvl w:ilvl="0" w:tplc="BB600A28">
      <w:start w:val="1"/>
      <w:numFmt w:val="bullet"/>
      <w:lvlText w:val=""/>
      <w:lvlJc w:val="left"/>
      <w:pPr>
        <w:ind w:left="720" w:hanging="360"/>
      </w:pPr>
      <w:rPr>
        <w:rFonts w:ascii="Wingdings" w:hAnsi="Wingdings" w:hint="default"/>
      </w:rPr>
    </w:lvl>
    <w:lvl w:ilvl="1" w:tplc="F0BE4036">
      <w:start w:val="1"/>
      <w:numFmt w:val="bullet"/>
      <w:lvlText w:val="o"/>
      <w:lvlJc w:val="left"/>
      <w:pPr>
        <w:ind w:left="1440" w:hanging="360"/>
      </w:pPr>
      <w:rPr>
        <w:rFonts w:ascii="Courier New" w:hAnsi="Courier New" w:hint="default"/>
      </w:rPr>
    </w:lvl>
    <w:lvl w:ilvl="2" w:tplc="A300DB9C">
      <w:start w:val="1"/>
      <w:numFmt w:val="bullet"/>
      <w:lvlText w:val=""/>
      <w:lvlJc w:val="left"/>
      <w:pPr>
        <w:ind w:left="2160" w:hanging="360"/>
      </w:pPr>
      <w:rPr>
        <w:rFonts w:ascii="Wingdings" w:hAnsi="Wingdings" w:hint="default"/>
      </w:rPr>
    </w:lvl>
    <w:lvl w:ilvl="3" w:tplc="86DE56C6">
      <w:start w:val="1"/>
      <w:numFmt w:val="bullet"/>
      <w:lvlText w:val=""/>
      <w:lvlJc w:val="left"/>
      <w:pPr>
        <w:ind w:left="2880" w:hanging="360"/>
      </w:pPr>
      <w:rPr>
        <w:rFonts w:ascii="Symbol" w:hAnsi="Symbol" w:hint="default"/>
      </w:rPr>
    </w:lvl>
    <w:lvl w:ilvl="4" w:tplc="3F5401BC">
      <w:start w:val="1"/>
      <w:numFmt w:val="bullet"/>
      <w:lvlText w:val="o"/>
      <w:lvlJc w:val="left"/>
      <w:pPr>
        <w:ind w:left="3600" w:hanging="360"/>
      </w:pPr>
      <w:rPr>
        <w:rFonts w:ascii="Courier New" w:hAnsi="Courier New" w:hint="default"/>
      </w:rPr>
    </w:lvl>
    <w:lvl w:ilvl="5" w:tplc="C37C087E">
      <w:start w:val="1"/>
      <w:numFmt w:val="bullet"/>
      <w:lvlText w:val=""/>
      <w:lvlJc w:val="left"/>
      <w:pPr>
        <w:ind w:left="4320" w:hanging="360"/>
      </w:pPr>
      <w:rPr>
        <w:rFonts w:ascii="Wingdings" w:hAnsi="Wingdings" w:hint="default"/>
      </w:rPr>
    </w:lvl>
    <w:lvl w:ilvl="6" w:tplc="4BD2333E">
      <w:start w:val="1"/>
      <w:numFmt w:val="bullet"/>
      <w:lvlText w:val=""/>
      <w:lvlJc w:val="left"/>
      <w:pPr>
        <w:ind w:left="5040" w:hanging="360"/>
      </w:pPr>
      <w:rPr>
        <w:rFonts w:ascii="Symbol" w:hAnsi="Symbol" w:hint="default"/>
      </w:rPr>
    </w:lvl>
    <w:lvl w:ilvl="7" w:tplc="38CC6D80">
      <w:start w:val="1"/>
      <w:numFmt w:val="bullet"/>
      <w:lvlText w:val="o"/>
      <w:lvlJc w:val="left"/>
      <w:pPr>
        <w:ind w:left="5760" w:hanging="360"/>
      </w:pPr>
      <w:rPr>
        <w:rFonts w:ascii="Courier New" w:hAnsi="Courier New" w:hint="default"/>
      </w:rPr>
    </w:lvl>
    <w:lvl w:ilvl="8" w:tplc="5A666162">
      <w:start w:val="1"/>
      <w:numFmt w:val="bullet"/>
      <w:lvlText w:val=""/>
      <w:lvlJc w:val="left"/>
      <w:pPr>
        <w:ind w:left="6480" w:hanging="360"/>
      </w:pPr>
      <w:rPr>
        <w:rFonts w:ascii="Wingdings" w:hAnsi="Wingdings" w:hint="default"/>
      </w:rPr>
    </w:lvl>
  </w:abstractNum>
  <w:abstractNum w:abstractNumId="51" w15:restartNumberingAfterBreak="0">
    <w:nsid w:val="6EA27C40"/>
    <w:multiLevelType w:val="hybridMultilevel"/>
    <w:tmpl w:val="91B8AEC6"/>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52" w15:restartNumberingAfterBreak="0">
    <w:nsid w:val="71BF0F4D"/>
    <w:multiLevelType w:val="multilevel"/>
    <w:tmpl w:val="B6F44CDC"/>
    <w:lvl w:ilvl="0">
      <w:start w:val="4"/>
      <w:numFmt w:val="decimal"/>
      <w:lvlText w:val="%1"/>
      <w:lvlJc w:val="left"/>
      <w:pPr>
        <w:ind w:left="690" w:hanging="690"/>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1080" w:hanging="1080"/>
      </w:pPr>
      <w:rPr>
        <w:rFonts w:hint="default"/>
        <w:sz w:val="24"/>
        <w:szCs w:val="24"/>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53" w15:restartNumberingAfterBreak="0">
    <w:nsid w:val="735C5F19"/>
    <w:multiLevelType w:val="hybridMultilevel"/>
    <w:tmpl w:val="2F5C5194"/>
    <w:lvl w:ilvl="0" w:tplc="0824ACA2">
      <w:numFmt w:val="bullet"/>
      <w:lvlText w:val="-"/>
      <w:lvlJc w:val="left"/>
      <w:pPr>
        <w:ind w:left="720" w:hanging="360"/>
      </w:pPr>
      <w:rPr>
        <w:rFonts w:ascii="Calibri" w:eastAsia="Calibri" w:hAnsi="Calibri" w:cs="Times New Roman"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44C578D"/>
    <w:multiLevelType w:val="hybridMultilevel"/>
    <w:tmpl w:val="841476B6"/>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55" w15:restartNumberingAfterBreak="0">
    <w:nsid w:val="74552F19"/>
    <w:multiLevelType w:val="hybridMultilevel"/>
    <w:tmpl w:val="358A71BC"/>
    <w:lvl w:ilvl="0" w:tplc="FFFFFFFF">
      <w:numFmt w:val="bullet"/>
      <w:lvlText w:val="-"/>
      <w:lvlJc w:val="left"/>
      <w:pPr>
        <w:ind w:left="720" w:hanging="360"/>
      </w:pPr>
      <w:rPr>
        <w:rFonts w:ascii="Calibri" w:hAnsi="Calibri"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77002242"/>
    <w:multiLevelType w:val="hybridMultilevel"/>
    <w:tmpl w:val="3300E284"/>
    <w:lvl w:ilvl="0" w:tplc="73AAB132">
      <w:start w:val="1"/>
      <w:numFmt w:val="bullet"/>
      <w:lvlText w:val=""/>
      <w:lvlJc w:val="left"/>
      <w:pPr>
        <w:ind w:left="720" w:hanging="360"/>
      </w:pPr>
      <w:rPr>
        <w:rFonts w:ascii="Symbol" w:hAnsi="Symbol" w:hint="default"/>
      </w:rPr>
    </w:lvl>
    <w:lvl w:ilvl="1" w:tplc="46B27A7E">
      <w:start w:val="1"/>
      <w:numFmt w:val="bullet"/>
      <w:lvlText w:val="o"/>
      <w:lvlJc w:val="left"/>
      <w:pPr>
        <w:ind w:left="1440" w:hanging="360"/>
      </w:pPr>
      <w:rPr>
        <w:rFonts w:ascii="Courier New" w:hAnsi="Courier New" w:hint="default"/>
      </w:rPr>
    </w:lvl>
    <w:lvl w:ilvl="2" w:tplc="AD4A63C4">
      <w:start w:val="1"/>
      <w:numFmt w:val="bullet"/>
      <w:lvlText w:val=""/>
      <w:lvlJc w:val="left"/>
      <w:pPr>
        <w:ind w:left="2160" w:hanging="360"/>
      </w:pPr>
      <w:rPr>
        <w:rFonts w:ascii="Wingdings" w:hAnsi="Wingdings" w:hint="default"/>
      </w:rPr>
    </w:lvl>
    <w:lvl w:ilvl="3" w:tplc="B176AD2A">
      <w:start w:val="1"/>
      <w:numFmt w:val="bullet"/>
      <w:lvlText w:val=""/>
      <w:lvlJc w:val="left"/>
      <w:pPr>
        <w:ind w:left="2880" w:hanging="360"/>
      </w:pPr>
      <w:rPr>
        <w:rFonts w:ascii="Symbol" w:hAnsi="Symbol" w:hint="default"/>
      </w:rPr>
    </w:lvl>
    <w:lvl w:ilvl="4" w:tplc="D79C176E">
      <w:start w:val="1"/>
      <w:numFmt w:val="bullet"/>
      <w:lvlText w:val="o"/>
      <w:lvlJc w:val="left"/>
      <w:pPr>
        <w:ind w:left="3600" w:hanging="360"/>
      </w:pPr>
      <w:rPr>
        <w:rFonts w:ascii="Courier New" w:hAnsi="Courier New" w:hint="default"/>
      </w:rPr>
    </w:lvl>
    <w:lvl w:ilvl="5" w:tplc="36CEDB0E">
      <w:start w:val="1"/>
      <w:numFmt w:val="bullet"/>
      <w:lvlText w:val=""/>
      <w:lvlJc w:val="left"/>
      <w:pPr>
        <w:ind w:left="4320" w:hanging="360"/>
      </w:pPr>
      <w:rPr>
        <w:rFonts w:ascii="Wingdings" w:hAnsi="Wingdings" w:hint="default"/>
      </w:rPr>
    </w:lvl>
    <w:lvl w:ilvl="6" w:tplc="61EE8064">
      <w:start w:val="1"/>
      <w:numFmt w:val="bullet"/>
      <w:lvlText w:val=""/>
      <w:lvlJc w:val="left"/>
      <w:pPr>
        <w:ind w:left="5040" w:hanging="360"/>
      </w:pPr>
      <w:rPr>
        <w:rFonts w:ascii="Symbol" w:hAnsi="Symbol" w:hint="default"/>
      </w:rPr>
    </w:lvl>
    <w:lvl w:ilvl="7" w:tplc="E6A87ED6">
      <w:start w:val="1"/>
      <w:numFmt w:val="bullet"/>
      <w:lvlText w:val="o"/>
      <w:lvlJc w:val="left"/>
      <w:pPr>
        <w:ind w:left="5760" w:hanging="360"/>
      </w:pPr>
      <w:rPr>
        <w:rFonts w:ascii="Courier New" w:hAnsi="Courier New" w:hint="default"/>
      </w:rPr>
    </w:lvl>
    <w:lvl w:ilvl="8" w:tplc="5C34A652">
      <w:start w:val="1"/>
      <w:numFmt w:val="bullet"/>
      <w:lvlText w:val=""/>
      <w:lvlJc w:val="left"/>
      <w:pPr>
        <w:ind w:left="6480" w:hanging="360"/>
      </w:pPr>
      <w:rPr>
        <w:rFonts w:ascii="Wingdings" w:hAnsi="Wingdings" w:hint="default"/>
      </w:rPr>
    </w:lvl>
  </w:abstractNum>
  <w:abstractNum w:abstractNumId="57" w15:restartNumberingAfterBreak="0">
    <w:nsid w:val="77D45276"/>
    <w:multiLevelType w:val="multilevel"/>
    <w:tmpl w:val="A0A0B470"/>
    <w:lvl w:ilvl="0">
      <w:start w:val="9"/>
      <w:numFmt w:val="decimal"/>
      <w:lvlText w:val="%1"/>
      <w:lvlJc w:val="left"/>
      <w:pPr>
        <w:ind w:left="430" w:hanging="430"/>
      </w:pPr>
      <w:rPr>
        <w:rFonts w:hint="default"/>
        <w:sz w:val="24"/>
      </w:rPr>
    </w:lvl>
    <w:lvl w:ilvl="1">
      <w:start w:val="1"/>
      <w:numFmt w:val="decimal"/>
      <w:lvlText w:val="%1.%2"/>
      <w:lvlJc w:val="left"/>
      <w:pPr>
        <w:ind w:left="720" w:hanging="720"/>
      </w:pPr>
      <w:rPr>
        <w:rFonts w:hint="default"/>
        <w:sz w:val="24"/>
      </w:rPr>
    </w:lvl>
    <w:lvl w:ilvl="2">
      <w:start w:val="1"/>
      <w:numFmt w:val="decimal"/>
      <w:lvlText w:val="%1.%2.%3"/>
      <w:lvlJc w:val="left"/>
      <w:pPr>
        <w:ind w:left="1080" w:hanging="108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440" w:hanging="1440"/>
      </w:pPr>
      <w:rPr>
        <w:rFonts w:hint="default"/>
        <w:sz w:val="24"/>
      </w:rPr>
    </w:lvl>
    <w:lvl w:ilvl="5">
      <w:start w:val="1"/>
      <w:numFmt w:val="decimal"/>
      <w:lvlText w:val="%1.%2.%3.%4.%5.%6"/>
      <w:lvlJc w:val="left"/>
      <w:pPr>
        <w:ind w:left="1800" w:hanging="1800"/>
      </w:pPr>
      <w:rPr>
        <w:rFonts w:hint="default"/>
        <w:sz w:val="24"/>
      </w:rPr>
    </w:lvl>
    <w:lvl w:ilvl="6">
      <w:start w:val="1"/>
      <w:numFmt w:val="decimal"/>
      <w:lvlText w:val="%1.%2.%3.%4.%5.%6.%7"/>
      <w:lvlJc w:val="left"/>
      <w:pPr>
        <w:ind w:left="2160" w:hanging="2160"/>
      </w:pPr>
      <w:rPr>
        <w:rFonts w:hint="default"/>
        <w:sz w:val="24"/>
      </w:rPr>
    </w:lvl>
    <w:lvl w:ilvl="7">
      <w:start w:val="1"/>
      <w:numFmt w:val="decimal"/>
      <w:lvlText w:val="%1.%2.%3.%4.%5.%6.%7.%8"/>
      <w:lvlJc w:val="left"/>
      <w:pPr>
        <w:ind w:left="2160" w:hanging="2160"/>
      </w:pPr>
      <w:rPr>
        <w:rFonts w:hint="default"/>
        <w:sz w:val="24"/>
      </w:rPr>
    </w:lvl>
    <w:lvl w:ilvl="8">
      <w:start w:val="1"/>
      <w:numFmt w:val="decimal"/>
      <w:lvlText w:val="%1.%2.%3.%4.%5.%6.%7.%8.%9"/>
      <w:lvlJc w:val="left"/>
      <w:pPr>
        <w:ind w:left="2520" w:hanging="2520"/>
      </w:pPr>
      <w:rPr>
        <w:rFonts w:hint="default"/>
        <w:sz w:val="24"/>
      </w:rPr>
    </w:lvl>
  </w:abstractNum>
  <w:abstractNum w:abstractNumId="58" w15:restartNumberingAfterBreak="0">
    <w:nsid w:val="794229A7"/>
    <w:multiLevelType w:val="multilevel"/>
    <w:tmpl w:val="0312124E"/>
    <w:lvl w:ilvl="0">
      <w:start w:val="2"/>
      <w:numFmt w:val="decimal"/>
      <w:lvlText w:val="%1"/>
      <w:lvlJc w:val="left"/>
      <w:pPr>
        <w:ind w:left="690" w:hanging="69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b/>
        <w:bCs/>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59" w15:restartNumberingAfterBreak="0">
    <w:nsid w:val="7A165E04"/>
    <w:multiLevelType w:val="multilevel"/>
    <w:tmpl w:val="FDA2C7A0"/>
    <w:lvl w:ilvl="0">
      <w:start w:val="2"/>
      <w:numFmt w:val="decimal"/>
      <w:lvlText w:val="%1"/>
      <w:lvlJc w:val="left"/>
      <w:pPr>
        <w:ind w:left="690" w:hanging="690"/>
      </w:pPr>
      <w:rPr>
        <w:rFonts w:hint="default"/>
        <w:b/>
      </w:rPr>
    </w:lvl>
    <w:lvl w:ilvl="1">
      <w:start w:val="4"/>
      <w:numFmt w:val="decimal"/>
      <w:lvlText w:val="%1.%2"/>
      <w:lvlJc w:val="left"/>
      <w:pPr>
        <w:ind w:left="720" w:hanging="720"/>
      </w:pPr>
      <w:rPr>
        <w:rFonts w:hint="default"/>
        <w:b/>
      </w:rPr>
    </w:lvl>
    <w:lvl w:ilvl="2">
      <w:start w:val="2"/>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520" w:hanging="2520"/>
      </w:pPr>
      <w:rPr>
        <w:rFonts w:hint="default"/>
        <w:b/>
      </w:rPr>
    </w:lvl>
  </w:abstractNum>
  <w:num w:numId="1" w16cid:durableId="423763414">
    <w:abstractNumId w:val="34"/>
  </w:num>
  <w:num w:numId="2" w16cid:durableId="1786003814">
    <w:abstractNumId w:val="25"/>
  </w:num>
  <w:num w:numId="3" w16cid:durableId="2086224252">
    <w:abstractNumId w:val="56"/>
  </w:num>
  <w:num w:numId="4" w16cid:durableId="1836844342">
    <w:abstractNumId w:val="31"/>
  </w:num>
  <w:num w:numId="5" w16cid:durableId="760294817">
    <w:abstractNumId w:val="10"/>
  </w:num>
  <w:num w:numId="6" w16cid:durableId="1254317701">
    <w:abstractNumId w:val="12"/>
  </w:num>
  <w:num w:numId="7" w16cid:durableId="571696928">
    <w:abstractNumId w:val="38"/>
  </w:num>
  <w:num w:numId="8" w16cid:durableId="1779331897">
    <w:abstractNumId w:val="14"/>
  </w:num>
  <w:num w:numId="9" w16cid:durableId="710765785">
    <w:abstractNumId w:val="36"/>
  </w:num>
  <w:num w:numId="10" w16cid:durableId="721254544">
    <w:abstractNumId w:val="44"/>
  </w:num>
  <w:num w:numId="11" w16cid:durableId="1147239622">
    <w:abstractNumId w:val="9"/>
  </w:num>
  <w:num w:numId="12" w16cid:durableId="728387117">
    <w:abstractNumId w:val="33"/>
  </w:num>
  <w:num w:numId="13" w16cid:durableId="2043630571">
    <w:abstractNumId w:val="53"/>
  </w:num>
  <w:num w:numId="14" w16cid:durableId="1074742960">
    <w:abstractNumId w:val="55"/>
  </w:num>
  <w:num w:numId="15" w16cid:durableId="1336036643">
    <w:abstractNumId w:val="0"/>
  </w:num>
  <w:num w:numId="16" w16cid:durableId="801965687">
    <w:abstractNumId w:val="22"/>
  </w:num>
  <w:num w:numId="17" w16cid:durableId="1868323362">
    <w:abstractNumId w:val="4"/>
  </w:num>
  <w:num w:numId="18" w16cid:durableId="1047559342">
    <w:abstractNumId w:val="47"/>
  </w:num>
  <w:num w:numId="19" w16cid:durableId="1504737969">
    <w:abstractNumId w:val="8"/>
  </w:num>
  <w:num w:numId="20" w16cid:durableId="403141590">
    <w:abstractNumId w:val="23"/>
  </w:num>
  <w:num w:numId="21" w16cid:durableId="794299808">
    <w:abstractNumId w:val="58"/>
  </w:num>
  <w:num w:numId="22" w16cid:durableId="2039618842">
    <w:abstractNumId w:val="59"/>
  </w:num>
  <w:num w:numId="23" w16cid:durableId="1035348362">
    <w:abstractNumId w:val="21"/>
  </w:num>
  <w:num w:numId="24" w16cid:durableId="1174148524">
    <w:abstractNumId w:val="20"/>
  </w:num>
  <w:num w:numId="25" w16cid:durableId="1367215159">
    <w:abstractNumId w:val="46"/>
  </w:num>
  <w:num w:numId="26" w16cid:durableId="1993174140">
    <w:abstractNumId w:val="7"/>
  </w:num>
  <w:num w:numId="27" w16cid:durableId="842473106">
    <w:abstractNumId w:val="37"/>
  </w:num>
  <w:num w:numId="28" w16cid:durableId="564605040">
    <w:abstractNumId w:val="13"/>
  </w:num>
  <w:num w:numId="29" w16cid:durableId="651560677">
    <w:abstractNumId w:val="1"/>
  </w:num>
  <w:num w:numId="30" w16cid:durableId="535124320">
    <w:abstractNumId w:val="27"/>
  </w:num>
  <w:num w:numId="31" w16cid:durableId="1775129880">
    <w:abstractNumId w:val="49"/>
  </w:num>
  <w:num w:numId="32" w16cid:durableId="698967004">
    <w:abstractNumId w:val="52"/>
  </w:num>
  <w:num w:numId="33" w16cid:durableId="267003481">
    <w:abstractNumId w:val="28"/>
  </w:num>
  <w:num w:numId="34" w16cid:durableId="885486446">
    <w:abstractNumId w:val="32"/>
  </w:num>
  <w:num w:numId="35" w16cid:durableId="220018279">
    <w:abstractNumId w:val="18"/>
  </w:num>
  <w:num w:numId="36" w16cid:durableId="978916814">
    <w:abstractNumId w:val="43"/>
  </w:num>
  <w:num w:numId="37" w16cid:durableId="1527058988">
    <w:abstractNumId w:val="45"/>
  </w:num>
  <w:num w:numId="38" w16cid:durableId="271396775">
    <w:abstractNumId w:val="50"/>
  </w:num>
  <w:num w:numId="39" w16cid:durableId="1792941408">
    <w:abstractNumId w:val="39"/>
  </w:num>
  <w:num w:numId="40" w16cid:durableId="1000160869">
    <w:abstractNumId w:val="29"/>
  </w:num>
  <w:num w:numId="41" w16cid:durableId="1345399437">
    <w:abstractNumId w:val="15"/>
  </w:num>
  <w:num w:numId="42" w16cid:durableId="1059329279">
    <w:abstractNumId w:val="40"/>
  </w:num>
  <w:num w:numId="43" w16cid:durableId="1468937331">
    <w:abstractNumId w:val="57"/>
  </w:num>
  <w:num w:numId="44" w16cid:durableId="960384104">
    <w:abstractNumId w:val="11"/>
  </w:num>
  <w:num w:numId="45" w16cid:durableId="434909285">
    <w:abstractNumId w:val="30"/>
  </w:num>
  <w:num w:numId="46" w16cid:durableId="1640107223">
    <w:abstractNumId w:val="35"/>
  </w:num>
  <w:num w:numId="47" w16cid:durableId="611279404">
    <w:abstractNumId w:val="5"/>
  </w:num>
  <w:num w:numId="48" w16cid:durableId="431433847">
    <w:abstractNumId w:val="41"/>
  </w:num>
  <w:num w:numId="49" w16cid:durableId="799613585">
    <w:abstractNumId w:val="16"/>
  </w:num>
  <w:num w:numId="50" w16cid:durableId="1946230590">
    <w:abstractNumId w:val="3"/>
  </w:num>
  <w:num w:numId="51" w16cid:durableId="327366861">
    <w:abstractNumId w:val="54"/>
  </w:num>
  <w:num w:numId="52" w16cid:durableId="1887334594">
    <w:abstractNumId w:val="6"/>
  </w:num>
  <w:num w:numId="53" w16cid:durableId="1154024954">
    <w:abstractNumId w:val="48"/>
  </w:num>
  <w:num w:numId="54" w16cid:durableId="2046707778">
    <w:abstractNumId w:val="51"/>
  </w:num>
  <w:num w:numId="55" w16cid:durableId="716467256">
    <w:abstractNumId w:val="19"/>
  </w:num>
  <w:num w:numId="56" w16cid:durableId="363794633">
    <w:abstractNumId w:val="2"/>
  </w:num>
  <w:num w:numId="57" w16cid:durableId="27141738">
    <w:abstractNumId w:val="24"/>
  </w:num>
  <w:num w:numId="58" w16cid:durableId="1269508265">
    <w:abstractNumId w:val="42"/>
  </w:num>
  <w:num w:numId="59" w16cid:durableId="2038578945">
    <w:abstractNumId w:val="26"/>
  </w:num>
  <w:num w:numId="60" w16cid:durableId="1443038039">
    <w:abstractNumId w:val="17"/>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3FA3"/>
    <w:rsid w:val="000004E2"/>
    <w:rsid w:val="000006C6"/>
    <w:rsid w:val="00000FA7"/>
    <w:rsid w:val="00003EC4"/>
    <w:rsid w:val="00004601"/>
    <w:rsid w:val="000077AB"/>
    <w:rsid w:val="00012813"/>
    <w:rsid w:val="000131E1"/>
    <w:rsid w:val="000163AE"/>
    <w:rsid w:val="00020FB1"/>
    <w:rsid w:val="000212E6"/>
    <w:rsid w:val="00022093"/>
    <w:rsid w:val="00022CBF"/>
    <w:rsid w:val="00024CAB"/>
    <w:rsid w:val="00025CF1"/>
    <w:rsid w:val="00027886"/>
    <w:rsid w:val="00030EAE"/>
    <w:rsid w:val="00031F60"/>
    <w:rsid w:val="00034048"/>
    <w:rsid w:val="00034EFA"/>
    <w:rsid w:val="000366FA"/>
    <w:rsid w:val="00036CAF"/>
    <w:rsid w:val="00037B01"/>
    <w:rsid w:val="000404C5"/>
    <w:rsid w:val="000408D7"/>
    <w:rsid w:val="0004104A"/>
    <w:rsid w:val="00042E25"/>
    <w:rsid w:val="00044B85"/>
    <w:rsid w:val="00045C31"/>
    <w:rsid w:val="000500EE"/>
    <w:rsid w:val="00050566"/>
    <w:rsid w:val="00050757"/>
    <w:rsid w:val="00050E56"/>
    <w:rsid w:val="000512AA"/>
    <w:rsid w:val="000522D6"/>
    <w:rsid w:val="000550AF"/>
    <w:rsid w:val="00055110"/>
    <w:rsid w:val="00064142"/>
    <w:rsid w:val="00066F54"/>
    <w:rsid w:val="0006726A"/>
    <w:rsid w:val="00071282"/>
    <w:rsid w:val="00073659"/>
    <w:rsid w:val="0007468D"/>
    <w:rsid w:val="00074A03"/>
    <w:rsid w:val="00075804"/>
    <w:rsid w:val="00075C96"/>
    <w:rsid w:val="00076750"/>
    <w:rsid w:val="00076E4F"/>
    <w:rsid w:val="00081329"/>
    <w:rsid w:val="000819EC"/>
    <w:rsid w:val="00082C27"/>
    <w:rsid w:val="00083075"/>
    <w:rsid w:val="0008693F"/>
    <w:rsid w:val="000869A6"/>
    <w:rsid w:val="00087E29"/>
    <w:rsid w:val="00087E41"/>
    <w:rsid w:val="000900E7"/>
    <w:rsid w:val="000906E5"/>
    <w:rsid w:val="000921E1"/>
    <w:rsid w:val="000924C5"/>
    <w:rsid w:val="00093A59"/>
    <w:rsid w:val="000943C0"/>
    <w:rsid w:val="00094CD2"/>
    <w:rsid w:val="00095279"/>
    <w:rsid w:val="000974E8"/>
    <w:rsid w:val="000A005E"/>
    <w:rsid w:val="000A070E"/>
    <w:rsid w:val="000A0B52"/>
    <w:rsid w:val="000A1158"/>
    <w:rsid w:val="000A36D0"/>
    <w:rsid w:val="000A4C25"/>
    <w:rsid w:val="000A574A"/>
    <w:rsid w:val="000A5D7D"/>
    <w:rsid w:val="000A630C"/>
    <w:rsid w:val="000A642B"/>
    <w:rsid w:val="000A65D1"/>
    <w:rsid w:val="000A6DF3"/>
    <w:rsid w:val="000B22EC"/>
    <w:rsid w:val="000B4C46"/>
    <w:rsid w:val="000B5CCC"/>
    <w:rsid w:val="000B6C2C"/>
    <w:rsid w:val="000B7B15"/>
    <w:rsid w:val="000B7C2D"/>
    <w:rsid w:val="000C047B"/>
    <w:rsid w:val="000C2168"/>
    <w:rsid w:val="000C2741"/>
    <w:rsid w:val="000C32A9"/>
    <w:rsid w:val="000C568D"/>
    <w:rsid w:val="000C5E35"/>
    <w:rsid w:val="000C6DD7"/>
    <w:rsid w:val="000D04D1"/>
    <w:rsid w:val="000D087D"/>
    <w:rsid w:val="000D1A43"/>
    <w:rsid w:val="000D4F55"/>
    <w:rsid w:val="000D56B5"/>
    <w:rsid w:val="000E08F8"/>
    <w:rsid w:val="000E144B"/>
    <w:rsid w:val="000E3BB5"/>
    <w:rsid w:val="000E47EE"/>
    <w:rsid w:val="000F2BEE"/>
    <w:rsid w:val="000F3706"/>
    <w:rsid w:val="000F3D80"/>
    <w:rsid w:val="00100F69"/>
    <w:rsid w:val="0010360F"/>
    <w:rsid w:val="00103677"/>
    <w:rsid w:val="00104CFC"/>
    <w:rsid w:val="00111D82"/>
    <w:rsid w:val="00112C94"/>
    <w:rsid w:val="001152FC"/>
    <w:rsid w:val="00116431"/>
    <w:rsid w:val="00116CE1"/>
    <w:rsid w:val="0012310A"/>
    <w:rsid w:val="00124199"/>
    <w:rsid w:val="00124AC6"/>
    <w:rsid w:val="001267A0"/>
    <w:rsid w:val="001279BC"/>
    <w:rsid w:val="00127D26"/>
    <w:rsid w:val="001307C2"/>
    <w:rsid w:val="00130B14"/>
    <w:rsid w:val="001328F2"/>
    <w:rsid w:val="0013552E"/>
    <w:rsid w:val="00135D71"/>
    <w:rsid w:val="00137E86"/>
    <w:rsid w:val="0014110C"/>
    <w:rsid w:val="00144003"/>
    <w:rsid w:val="00144C01"/>
    <w:rsid w:val="001465E1"/>
    <w:rsid w:val="00150205"/>
    <w:rsid w:val="001505E6"/>
    <w:rsid w:val="00150FF9"/>
    <w:rsid w:val="00151B14"/>
    <w:rsid w:val="0015366D"/>
    <w:rsid w:val="001542B8"/>
    <w:rsid w:val="00155B50"/>
    <w:rsid w:val="00163D83"/>
    <w:rsid w:val="00165E1F"/>
    <w:rsid w:val="00170490"/>
    <w:rsid w:val="00173BAC"/>
    <w:rsid w:val="0017413B"/>
    <w:rsid w:val="0017580B"/>
    <w:rsid w:val="00175924"/>
    <w:rsid w:val="0017705D"/>
    <w:rsid w:val="001830B2"/>
    <w:rsid w:val="001838BA"/>
    <w:rsid w:val="00183E08"/>
    <w:rsid w:val="001867AA"/>
    <w:rsid w:val="001919B3"/>
    <w:rsid w:val="00191D09"/>
    <w:rsid w:val="00193216"/>
    <w:rsid w:val="00195C7A"/>
    <w:rsid w:val="00195DBB"/>
    <w:rsid w:val="001979CC"/>
    <w:rsid w:val="001979D8"/>
    <w:rsid w:val="001A3A40"/>
    <w:rsid w:val="001A4006"/>
    <w:rsid w:val="001A413A"/>
    <w:rsid w:val="001A6A9A"/>
    <w:rsid w:val="001B0928"/>
    <w:rsid w:val="001B097B"/>
    <w:rsid w:val="001B3E71"/>
    <w:rsid w:val="001B58B2"/>
    <w:rsid w:val="001B75D8"/>
    <w:rsid w:val="001C138F"/>
    <w:rsid w:val="001C1E4E"/>
    <w:rsid w:val="001C49E0"/>
    <w:rsid w:val="001C5781"/>
    <w:rsid w:val="001C61A5"/>
    <w:rsid w:val="001C764B"/>
    <w:rsid w:val="001D08AE"/>
    <w:rsid w:val="001D1EFE"/>
    <w:rsid w:val="001D2400"/>
    <w:rsid w:val="001D2B11"/>
    <w:rsid w:val="001D3FBC"/>
    <w:rsid w:val="001D4D40"/>
    <w:rsid w:val="001D6AE9"/>
    <w:rsid w:val="001DB2E0"/>
    <w:rsid w:val="001E1247"/>
    <w:rsid w:val="001E32BD"/>
    <w:rsid w:val="001E55F3"/>
    <w:rsid w:val="001E7E76"/>
    <w:rsid w:val="001F04C6"/>
    <w:rsid w:val="001F0BD9"/>
    <w:rsid w:val="001F40E6"/>
    <w:rsid w:val="001F5914"/>
    <w:rsid w:val="001F6AF7"/>
    <w:rsid w:val="001F7CDF"/>
    <w:rsid w:val="0020157C"/>
    <w:rsid w:val="00202950"/>
    <w:rsid w:val="002030E2"/>
    <w:rsid w:val="00203B5E"/>
    <w:rsid w:val="00206849"/>
    <w:rsid w:val="00207956"/>
    <w:rsid w:val="00207BE5"/>
    <w:rsid w:val="002106D4"/>
    <w:rsid w:val="00210FFE"/>
    <w:rsid w:val="002143EE"/>
    <w:rsid w:val="00214B00"/>
    <w:rsid w:val="00217A9F"/>
    <w:rsid w:val="00217E9C"/>
    <w:rsid w:val="00225923"/>
    <w:rsid w:val="002259F3"/>
    <w:rsid w:val="00225BA3"/>
    <w:rsid w:val="00226302"/>
    <w:rsid w:val="002273B1"/>
    <w:rsid w:val="00227419"/>
    <w:rsid w:val="00231AB4"/>
    <w:rsid w:val="00235C4E"/>
    <w:rsid w:val="00235DB0"/>
    <w:rsid w:val="00241126"/>
    <w:rsid w:val="00241734"/>
    <w:rsid w:val="0024184E"/>
    <w:rsid w:val="00241942"/>
    <w:rsid w:val="002420E1"/>
    <w:rsid w:val="00242B34"/>
    <w:rsid w:val="002450E5"/>
    <w:rsid w:val="00245A2C"/>
    <w:rsid w:val="00245C80"/>
    <w:rsid w:val="00247E21"/>
    <w:rsid w:val="00251CF4"/>
    <w:rsid w:val="002528AD"/>
    <w:rsid w:val="00252A96"/>
    <w:rsid w:val="00254B37"/>
    <w:rsid w:val="002609A5"/>
    <w:rsid w:val="002609BA"/>
    <w:rsid w:val="002620F3"/>
    <w:rsid w:val="00262861"/>
    <w:rsid w:val="00271BF2"/>
    <w:rsid w:val="00272772"/>
    <w:rsid w:val="00274348"/>
    <w:rsid w:val="0027497E"/>
    <w:rsid w:val="0027521C"/>
    <w:rsid w:val="00277161"/>
    <w:rsid w:val="00280B4E"/>
    <w:rsid w:val="00281062"/>
    <w:rsid w:val="00286BB7"/>
    <w:rsid w:val="0028B1D9"/>
    <w:rsid w:val="002918A3"/>
    <w:rsid w:val="00291F13"/>
    <w:rsid w:val="00297318"/>
    <w:rsid w:val="002A085E"/>
    <w:rsid w:val="002A0983"/>
    <w:rsid w:val="002A469A"/>
    <w:rsid w:val="002A7D3A"/>
    <w:rsid w:val="002B18F0"/>
    <w:rsid w:val="002B1E93"/>
    <w:rsid w:val="002B2A86"/>
    <w:rsid w:val="002B40A7"/>
    <w:rsid w:val="002B42BD"/>
    <w:rsid w:val="002B543C"/>
    <w:rsid w:val="002B58B4"/>
    <w:rsid w:val="002B5E22"/>
    <w:rsid w:val="002B67A5"/>
    <w:rsid w:val="002B6E33"/>
    <w:rsid w:val="002B7387"/>
    <w:rsid w:val="002B7BC5"/>
    <w:rsid w:val="002C206D"/>
    <w:rsid w:val="002C2F39"/>
    <w:rsid w:val="002C3A56"/>
    <w:rsid w:val="002C3B64"/>
    <w:rsid w:val="002C4359"/>
    <w:rsid w:val="002D08CD"/>
    <w:rsid w:val="002E1189"/>
    <w:rsid w:val="002E1B8E"/>
    <w:rsid w:val="002E1DD3"/>
    <w:rsid w:val="002E29A2"/>
    <w:rsid w:val="002E2FDF"/>
    <w:rsid w:val="002E3721"/>
    <w:rsid w:val="002E46AA"/>
    <w:rsid w:val="002E4B19"/>
    <w:rsid w:val="002F28CB"/>
    <w:rsid w:val="002F37AF"/>
    <w:rsid w:val="002F4AB0"/>
    <w:rsid w:val="002F63DE"/>
    <w:rsid w:val="002F645B"/>
    <w:rsid w:val="002F7358"/>
    <w:rsid w:val="00302917"/>
    <w:rsid w:val="00306994"/>
    <w:rsid w:val="0030783A"/>
    <w:rsid w:val="00310612"/>
    <w:rsid w:val="00311292"/>
    <w:rsid w:val="0031292C"/>
    <w:rsid w:val="003153EA"/>
    <w:rsid w:val="00315C06"/>
    <w:rsid w:val="0032092D"/>
    <w:rsid w:val="00322618"/>
    <w:rsid w:val="00322B04"/>
    <w:rsid w:val="00324D41"/>
    <w:rsid w:val="00326F52"/>
    <w:rsid w:val="003307C7"/>
    <w:rsid w:val="003340EC"/>
    <w:rsid w:val="0033435C"/>
    <w:rsid w:val="00336560"/>
    <w:rsid w:val="00337A5A"/>
    <w:rsid w:val="00342954"/>
    <w:rsid w:val="00344D29"/>
    <w:rsid w:val="00345BDD"/>
    <w:rsid w:val="00347517"/>
    <w:rsid w:val="003530EC"/>
    <w:rsid w:val="00360B44"/>
    <w:rsid w:val="003667C9"/>
    <w:rsid w:val="0036A963"/>
    <w:rsid w:val="0036B9EB"/>
    <w:rsid w:val="003735BB"/>
    <w:rsid w:val="00375263"/>
    <w:rsid w:val="0037540C"/>
    <w:rsid w:val="0037578B"/>
    <w:rsid w:val="00377D90"/>
    <w:rsid w:val="003821AC"/>
    <w:rsid w:val="003821C3"/>
    <w:rsid w:val="003833A0"/>
    <w:rsid w:val="00387005"/>
    <w:rsid w:val="00387CE4"/>
    <w:rsid w:val="003905F2"/>
    <w:rsid w:val="00391DAC"/>
    <w:rsid w:val="0039529A"/>
    <w:rsid w:val="00395A28"/>
    <w:rsid w:val="00395B71"/>
    <w:rsid w:val="00396363"/>
    <w:rsid w:val="00396919"/>
    <w:rsid w:val="003A091F"/>
    <w:rsid w:val="003A19FD"/>
    <w:rsid w:val="003A63EF"/>
    <w:rsid w:val="003A69CB"/>
    <w:rsid w:val="003A7C92"/>
    <w:rsid w:val="003A7C9D"/>
    <w:rsid w:val="003B3074"/>
    <w:rsid w:val="003B3623"/>
    <w:rsid w:val="003B68FD"/>
    <w:rsid w:val="003C2DE6"/>
    <w:rsid w:val="003C3B66"/>
    <w:rsid w:val="003C3DC7"/>
    <w:rsid w:val="003C56F7"/>
    <w:rsid w:val="003D01BB"/>
    <w:rsid w:val="003D1698"/>
    <w:rsid w:val="003D21D9"/>
    <w:rsid w:val="003D2E71"/>
    <w:rsid w:val="003D394B"/>
    <w:rsid w:val="003D4416"/>
    <w:rsid w:val="003D5195"/>
    <w:rsid w:val="003D7AD1"/>
    <w:rsid w:val="003E265A"/>
    <w:rsid w:val="003E7022"/>
    <w:rsid w:val="003F0B7F"/>
    <w:rsid w:val="003F15ED"/>
    <w:rsid w:val="003F35B7"/>
    <w:rsid w:val="003F3D4E"/>
    <w:rsid w:val="003F464B"/>
    <w:rsid w:val="003F5D70"/>
    <w:rsid w:val="003F74D0"/>
    <w:rsid w:val="003F761C"/>
    <w:rsid w:val="00400CE9"/>
    <w:rsid w:val="00404DE0"/>
    <w:rsid w:val="00405B4D"/>
    <w:rsid w:val="00406C05"/>
    <w:rsid w:val="00412B6B"/>
    <w:rsid w:val="00412F11"/>
    <w:rsid w:val="00413216"/>
    <w:rsid w:val="004139C4"/>
    <w:rsid w:val="00414DD7"/>
    <w:rsid w:val="00415BC9"/>
    <w:rsid w:val="0041655A"/>
    <w:rsid w:val="00420C23"/>
    <w:rsid w:val="004232F3"/>
    <w:rsid w:val="004235B8"/>
    <w:rsid w:val="00426EFE"/>
    <w:rsid w:val="00431538"/>
    <w:rsid w:val="00434895"/>
    <w:rsid w:val="00435230"/>
    <w:rsid w:val="00442EDA"/>
    <w:rsid w:val="00443975"/>
    <w:rsid w:val="00443D92"/>
    <w:rsid w:val="00443E7E"/>
    <w:rsid w:val="00444255"/>
    <w:rsid w:val="00445215"/>
    <w:rsid w:val="00446603"/>
    <w:rsid w:val="00446DFF"/>
    <w:rsid w:val="00447DA3"/>
    <w:rsid w:val="00451141"/>
    <w:rsid w:val="00452002"/>
    <w:rsid w:val="00452076"/>
    <w:rsid w:val="004537F6"/>
    <w:rsid w:val="00453A56"/>
    <w:rsid w:val="00454841"/>
    <w:rsid w:val="00454FC8"/>
    <w:rsid w:val="00456894"/>
    <w:rsid w:val="00457BEF"/>
    <w:rsid w:val="00464AB1"/>
    <w:rsid w:val="00464BC5"/>
    <w:rsid w:val="00464EF3"/>
    <w:rsid w:val="00467838"/>
    <w:rsid w:val="00470B07"/>
    <w:rsid w:val="00471279"/>
    <w:rsid w:val="00472357"/>
    <w:rsid w:val="00473AFB"/>
    <w:rsid w:val="00474988"/>
    <w:rsid w:val="004757C5"/>
    <w:rsid w:val="00480715"/>
    <w:rsid w:val="00481384"/>
    <w:rsid w:val="00483F01"/>
    <w:rsid w:val="00484304"/>
    <w:rsid w:val="00487031"/>
    <w:rsid w:val="0048749C"/>
    <w:rsid w:val="004879A8"/>
    <w:rsid w:val="00487CD2"/>
    <w:rsid w:val="00490BFA"/>
    <w:rsid w:val="004929C7"/>
    <w:rsid w:val="00492D4F"/>
    <w:rsid w:val="004944A7"/>
    <w:rsid w:val="004968DC"/>
    <w:rsid w:val="004A070A"/>
    <w:rsid w:val="004A1798"/>
    <w:rsid w:val="004A3DD0"/>
    <w:rsid w:val="004A3E31"/>
    <w:rsid w:val="004A3FD3"/>
    <w:rsid w:val="004A497A"/>
    <w:rsid w:val="004B3464"/>
    <w:rsid w:val="004B364A"/>
    <w:rsid w:val="004B435D"/>
    <w:rsid w:val="004B61C3"/>
    <w:rsid w:val="004B7208"/>
    <w:rsid w:val="004C0878"/>
    <w:rsid w:val="004C163D"/>
    <w:rsid w:val="004C5AA0"/>
    <w:rsid w:val="004C7712"/>
    <w:rsid w:val="004D0A6C"/>
    <w:rsid w:val="004D1AB8"/>
    <w:rsid w:val="004D2607"/>
    <w:rsid w:val="004D3056"/>
    <w:rsid w:val="004D3DD9"/>
    <w:rsid w:val="004D701A"/>
    <w:rsid w:val="004D709A"/>
    <w:rsid w:val="004E3926"/>
    <w:rsid w:val="004E529F"/>
    <w:rsid w:val="004F056D"/>
    <w:rsid w:val="004F0A30"/>
    <w:rsid w:val="004F110A"/>
    <w:rsid w:val="004F2037"/>
    <w:rsid w:val="004F38EE"/>
    <w:rsid w:val="004F5C0F"/>
    <w:rsid w:val="004F5E8E"/>
    <w:rsid w:val="004F654F"/>
    <w:rsid w:val="004F6B24"/>
    <w:rsid w:val="005015F0"/>
    <w:rsid w:val="00503BD0"/>
    <w:rsid w:val="005042D4"/>
    <w:rsid w:val="00504EA9"/>
    <w:rsid w:val="005057B2"/>
    <w:rsid w:val="00506C5D"/>
    <w:rsid w:val="00507751"/>
    <w:rsid w:val="00510020"/>
    <w:rsid w:val="005164FC"/>
    <w:rsid w:val="00516850"/>
    <w:rsid w:val="00520CA3"/>
    <w:rsid w:val="005226F3"/>
    <w:rsid w:val="00522DA8"/>
    <w:rsid w:val="005241BF"/>
    <w:rsid w:val="0052691F"/>
    <w:rsid w:val="00526A58"/>
    <w:rsid w:val="00527680"/>
    <w:rsid w:val="0052793F"/>
    <w:rsid w:val="00527B94"/>
    <w:rsid w:val="00527CBC"/>
    <w:rsid w:val="005332CE"/>
    <w:rsid w:val="00533760"/>
    <w:rsid w:val="0053579C"/>
    <w:rsid w:val="00535FEA"/>
    <w:rsid w:val="00536ABE"/>
    <w:rsid w:val="00541339"/>
    <w:rsid w:val="00543100"/>
    <w:rsid w:val="00544145"/>
    <w:rsid w:val="005441BF"/>
    <w:rsid w:val="005451A3"/>
    <w:rsid w:val="005454FB"/>
    <w:rsid w:val="0054769D"/>
    <w:rsid w:val="005500BE"/>
    <w:rsid w:val="005514C3"/>
    <w:rsid w:val="00552791"/>
    <w:rsid w:val="00555CB9"/>
    <w:rsid w:val="00557923"/>
    <w:rsid w:val="00557C52"/>
    <w:rsid w:val="005605E4"/>
    <w:rsid w:val="00561035"/>
    <w:rsid w:val="00562DF1"/>
    <w:rsid w:val="0056473F"/>
    <w:rsid w:val="005647FD"/>
    <w:rsid w:val="005650B0"/>
    <w:rsid w:val="0057050B"/>
    <w:rsid w:val="00570A23"/>
    <w:rsid w:val="00570A96"/>
    <w:rsid w:val="00571BEA"/>
    <w:rsid w:val="0057260C"/>
    <w:rsid w:val="005738ED"/>
    <w:rsid w:val="00573EB8"/>
    <w:rsid w:val="0057640B"/>
    <w:rsid w:val="00581325"/>
    <w:rsid w:val="005830C9"/>
    <w:rsid w:val="005846B0"/>
    <w:rsid w:val="00586980"/>
    <w:rsid w:val="005900F5"/>
    <w:rsid w:val="00590449"/>
    <w:rsid w:val="00591A58"/>
    <w:rsid w:val="00592B8E"/>
    <w:rsid w:val="0059389B"/>
    <w:rsid w:val="00594B28"/>
    <w:rsid w:val="005968AA"/>
    <w:rsid w:val="0059718C"/>
    <w:rsid w:val="005975C5"/>
    <w:rsid w:val="005A1914"/>
    <w:rsid w:val="005A3025"/>
    <w:rsid w:val="005A3882"/>
    <w:rsid w:val="005A3FA3"/>
    <w:rsid w:val="005A5588"/>
    <w:rsid w:val="005A5D49"/>
    <w:rsid w:val="005A71FA"/>
    <w:rsid w:val="005B0814"/>
    <w:rsid w:val="005B2234"/>
    <w:rsid w:val="005B3299"/>
    <w:rsid w:val="005B5E1E"/>
    <w:rsid w:val="005B7413"/>
    <w:rsid w:val="005B7E84"/>
    <w:rsid w:val="005C14BF"/>
    <w:rsid w:val="005C22D0"/>
    <w:rsid w:val="005C2433"/>
    <w:rsid w:val="005C2BA6"/>
    <w:rsid w:val="005C5793"/>
    <w:rsid w:val="005C75E5"/>
    <w:rsid w:val="005D297E"/>
    <w:rsid w:val="005D35FD"/>
    <w:rsid w:val="005D5F06"/>
    <w:rsid w:val="005E36FD"/>
    <w:rsid w:val="005E548E"/>
    <w:rsid w:val="005E6EFE"/>
    <w:rsid w:val="005F1283"/>
    <w:rsid w:val="005F55F8"/>
    <w:rsid w:val="005F5A3B"/>
    <w:rsid w:val="005F63DC"/>
    <w:rsid w:val="005F685B"/>
    <w:rsid w:val="005F8651"/>
    <w:rsid w:val="00601B7D"/>
    <w:rsid w:val="0060508B"/>
    <w:rsid w:val="00606A3E"/>
    <w:rsid w:val="00608344"/>
    <w:rsid w:val="006108BF"/>
    <w:rsid w:val="006110FC"/>
    <w:rsid w:val="006136BC"/>
    <w:rsid w:val="0061405F"/>
    <w:rsid w:val="006143CC"/>
    <w:rsid w:val="00616B6F"/>
    <w:rsid w:val="00617972"/>
    <w:rsid w:val="00617FEB"/>
    <w:rsid w:val="0062269F"/>
    <w:rsid w:val="006229BF"/>
    <w:rsid w:val="006231A4"/>
    <w:rsid w:val="00624A7D"/>
    <w:rsid w:val="00625F53"/>
    <w:rsid w:val="006315D2"/>
    <w:rsid w:val="006318C0"/>
    <w:rsid w:val="006325D3"/>
    <w:rsid w:val="006328F4"/>
    <w:rsid w:val="00634AB8"/>
    <w:rsid w:val="00641D05"/>
    <w:rsid w:val="00642861"/>
    <w:rsid w:val="006462CB"/>
    <w:rsid w:val="0064777E"/>
    <w:rsid w:val="00652E2F"/>
    <w:rsid w:val="00657834"/>
    <w:rsid w:val="00657A4E"/>
    <w:rsid w:val="00663593"/>
    <w:rsid w:val="00664213"/>
    <w:rsid w:val="006645D1"/>
    <w:rsid w:val="006650E5"/>
    <w:rsid w:val="00667E78"/>
    <w:rsid w:val="00671072"/>
    <w:rsid w:val="00676E78"/>
    <w:rsid w:val="00678625"/>
    <w:rsid w:val="0068200F"/>
    <w:rsid w:val="0068226A"/>
    <w:rsid w:val="00683689"/>
    <w:rsid w:val="00683CEC"/>
    <w:rsid w:val="006846C2"/>
    <w:rsid w:val="00686B35"/>
    <w:rsid w:val="00687134"/>
    <w:rsid w:val="0069057E"/>
    <w:rsid w:val="00691846"/>
    <w:rsid w:val="00693B5D"/>
    <w:rsid w:val="00695052"/>
    <w:rsid w:val="006963C2"/>
    <w:rsid w:val="00697B10"/>
    <w:rsid w:val="006A52A2"/>
    <w:rsid w:val="006A635A"/>
    <w:rsid w:val="006A703A"/>
    <w:rsid w:val="006A7065"/>
    <w:rsid w:val="006A74AC"/>
    <w:rsid w:val="006A7803"/>
    <w:rsid w:val="006A7CA4"/>
    <w:rsid w:val="006B0899"/>
    <w:rsid w:val="006B0D83"/>
    <w:rsid w:val="006B0FF7"/>
    <w:rsid w:val="006B13A2"/>
    <w:rsid w:val="006B163B"/>
    <w:rsid w:val="006B3783"/>
    <w:rsid w:val="006B4088"/>
    <w:rsid w:val="006C220D"/>
    <w:rsid w:val="006C33AC"/>
    <w:rsid w:val="006C35FB"/>
    <w:rsid w:val="006C4858"/>
    <w:rsid w:val="006C618F"/>
    <w:rsid w:val="006C6793"/>
    <w:rsid w:val="006C7BF0"/>
    <w:rsid w:val="006CD2EA"/>
    <w:rsid w:val="006D0629"/>
    <w:rsid w:val="006D2B7D"/>
    <w:rsid w:val="006D4B33"/>
    <w:rsid w:val="006D5FFA"/>
    <w:rsid w:val="006D65F4"/>
    <w:rsid w:val="006D6EAC"/>
    <w:rsid w:val="006D764C"/>
    <w:rsid w:val="006E589A"/>
    <w:rsid w:val="006E5ECF"/>
    <w:rsid w:val="006E6D6C"/>
    <w:rsid w:val="006E704C"/>
    <w:rsid w:val="006E7DFA"/>
    <w:rsid w:val="006F1138"/>
    <w:rsid w:val="006F14B0"/>
    <w:rsid w:val="006F2894"/>
    <w:rsid w:val="006F4C9F"/>
    <w:rsid w:val="006F79E4"/>
    <w:rsid w:val="00700490"/>
    <w:rsid w:val="00705238"/>
    <w:rsid w:val="00705669"/>
    <w:rsid w:val="00705981"/>
    <w:rsid w:val="0071254C"/>
    <w:rsid w:val="007159C3"/>
    <w:rsid w:val="00715C49"/>
    <w:rsid w:val="00720646"/>
    <w:rsid w:val="0072355A"/>
    <w:rsid w:val="007252BE"/>
    <w:rsid w:val="00725473"/>
    <w:rsid w:val="007270AB"/>
    <w:rsid w:val="00727CF6"/>
    <w:rsid w:val="00727D79"/>
    <w:rsid w:val="007306DD"/>
    <w:rsid w:val="00730902"/>
    <w:rsid w:val="00731554"/>
    <w:rsid w:val="0073320A"/>
    <w:rsid w:val="00733CC2"/>
    <w:rsid w:val="007345E8"/>
    <w:rsid w:val="0073674F"/>
    <w:rsid w:val="00737F72"/>
    <w:rsid w:val="00741740"/>
    <w:rsid w:val="00743A98"/>
    <w:rsid w:val="00744982"/>
    <w:rsid w:val="00745960"/>
    <w:rsid w:val="00746766"/>
    <w:rsid w:val="00746DEA"/>
    <w:rsid w:val="00746F99"/>
    <w:rsid w:val="00750453"/>
    <w:rsid w:val="0075070C"/>
    <w:rsid w:val="007512AB"/>
    <w:rsid w:val="00751F73"/>
    <w:rsid w:val="0075281C"/>
    <w:rsid w:val="00753842"/>
    <w:rsid w:val="0075457F"/>
    <w:rsid w:val="00755052"/>
    <w:rsid w:val="007553D9"/>
    <w:rsid w:val="007560A0"/>
    <w:rsid w:val="00757204"/>
    <w:rsid w:val="0076291D"/>
    <w:rsid w:val="007629C5"/>
    <w:rsid w:val="00764AAB"/>
    <w:rsid w:val="007658C4"/>
    <w:rsid w:val="00773210"/>
    <w:rsid w:val="007756AD"/>
    <w:rsid w:val="0078141F"/>
    <w:rsid w:val="0078170D"/>
    <w:rsid w:val="007817B5"/>
    <w:rsid w:val="00782BD4"/>
    <w:rsid w:val="00784158"/>
    <w:rsid w:val="007849F8"/>
    <w:rsid w:val="007850CE"/>
    <w:rsid w:val="00785C3D"/>
    <w:rsid w:val="007869C5"/>
    <w:rsid w:val="007873F2"/>
    <w:rsid w:val="00788EBA"/>
    <w:rsid w:val="007900A1"/>
    <w:rsid w:val="00792B5C"/>
    <w:rsid w:val="00792FDA"/>
    <w:rsid w:val="0079543E"/>
    <w:rsid w:val="00795FF3"/>
    <w:rsid w:val="00796934"/>
    <w:rsid w:val="00797FE9"/>
    <w:rsid w:val="007A174A"/>
    <w:rsid w:val="007A36B3"/>
    <w:rsid w:val="007A476D"/>
    <w:rsid w:val="007A661D"/>
    <w:rsid w:val="007A74D6"/>
    <w:rsid w:val="007A750D"/>
    <w:rsid w:val="007B0F25"/>
    <w:rsid w:val="007B1019"/>
    <w:rsid w:val="007B1B26"/>
    <w:rsid w:val="007B3D94"/>
    <w:rsid w:val="007B6981"/>
    <w:rsid w:val="007C020C"/>
    <w:rsid w:val="007C2132"/>
    <w:rsid w:val="007C425B"/>
    <w:rsid w:val="007C4F77"/>
    <w:rsid w:val="007C511D"/>
    <w:rsid w:val="007C5A36"/>
    <w:rsid w:val="007C65F0"/>
    <w:rsid w:val="007C7329"/>
    <w:rsid w:val="007E0788"/>
    <w:rsid w:val="007E09AE"/>
    <w:rsid w:val="007E4D58"/>
    <w:rsid w:val="007E541A"/>
    <w:rsid w:val="007E6AC7"/>
    <w:rsid w:val="007F007B"/>
    <w:rsid w:val="007F06F4"/>
    <w:rsid w:val="007F0983"/>
    <w:rsid w:val="007F2014"/>
    <w:rsid w:val="007F49B6"/>
    <w:rsid w:val="007F66BA"/>
    <w:rsid w:val="007F71F6"/>
    <w:rsid w:val="00800A83"/>
    <w:rsid w:val="00802AA8"/>
    <w:rsid w:val="00803C85"/>
    <w:rsid w:val="00811B6E"/>
    <w:rsid w:val="00812FB1"/>
    <w:rsid w:val="00813827"/>
    <w:rsid w:val="00813B9F"/>
    <w:rsid w:val="00813F0D"/>
    <w:rsid w:val="00816AEC"/>
    <w:rsid w:val="00820888"/>
    <w:rsid w:val="008256C2"/>
    <w:rsid w:val="00826204"/>
    <w:rsid w:val="0082729C"/>
    <w:rsid w:val="00827495"/>
    <w:rsid w:val="00827C6D"/>
    <w:rsid w:val="008306B3"/>
    <w:rsid w:val="00830E31"/>
    <w:rsid w:val="00841967"/>
    <w:rsid w:val="00842A6A"/>
    <w:rsid w:val="00844E34"/>
    <w:rsid w:val="00850061"/>
    <w:rsid w:val="00850BA8"/>
    <w:rsid w:val="0085159E"/>
    <w:rsid w:val="0085227D"/>
    <w:rsid w:val="008523E4"/>
    <w:rsid w:val="008534EE"/>
    <w:rsid w:val="00854313"/>
    <w:rsid w:val="008552C4"/>
    <w:rsid w:val="00855455"/>
    <w:rsid w:val="008574E6"/>
    <w:rsid w:val="00860409"/>
    <w:rsid w:val="00863C5D"/>
    <w:rsid w:val="00864E71"/>
    <w:rsid w:val="008661D7"/>
    <w:rsid w:val="00866EC4"/>
    <w:rsid w:val="00867876"/>
    <w:rsid w:val="0086789F"/>
    <w:rsid w:val="008692FA"/>
    <w:rsid w:val="00870360"/>
    <w:rsid w:val="0087093A"/>
    <w:rsid w:val="00870F43"/>
    <w:rsid w:val="008713FA"/>
    <w:rsid w:val="0087200F"/>
    <w:rsid w:val="00873048"/>
    <w:rsid w:val="0087501A"/>
    <w:rsid w:val="008751AA"/>
    <w:rsid w:val="00875E96"/>
    <w:rsid w:val="00877117"/>
    <w:rsid w:val="00880582"/>
    <w:rsid w:val="00882793"/>
    <w:rsid w:val="00882E4E"/>
    <w:rsid w:val="00882F89"/>
    <w:rsid w:val="0088350D"/>
    <w:rsid w:val="00883F7C"/>
    <w:rsid w:val="00883FE5"/>
    <w:rsid w:val="00887B6B"/>
    <w:rsid w:val="00887D84"/>
    <w:rsid w:val="00891686"/>
    <w:rsid w:val="00892521"/>
    <w:rsid w:val="00894048"/>
    <w:rsid w:val="00894D3E"/>
    <w:rsid w:val="00895C05"/>
    <w:rsid w:val="00897B90"/>
    <w:rsid w:val="008A2625"/>
    <w:rsid w:val="008A279F"/>
    <w:rsid w:val="008A2945"/>
    <w:rsid w:val="008A5043"/>
    <w:rsid w:val="008A5438"/>
    <w:rsid w:val="008A78C2"/>
    <w:rsid w:val="008A7CDC"/>
    <w:rsid w:val="008A9AFA"/>
    <w:rsid w:val="008B102E"/>
    <w:rsid w:val="008B1041"/>
    <w:rsid w:val="008B1CFE"/>
    <w:rsid w:val="008B2715"/>
    <w:rsid w:val="008B40AB"/>
    <w:rsid w:val="008B5ECD"/>
    <w:rsid w:val="008B650E"/>
    <w:rsid w:val="008C1423"/>
    <w:rsid w:val="008C385F"/>
    <w:rsid w:val="008C5111"/>
    <w:rsid w:val="008C6A83"/>
    <w:rsid w:val="008C6DDD"/>
    <w:rsid w:val="008C74F6"/>
    <w:rsid w:val="008C7A62"/>
    <w:rsid w:val="008D049C"/>
    <w:rsid w:val="008D152D"/>
    <w:rsid w:val="008D4D93"/>
    <w:rsid w:val="008E03BC"/>
    <w:rsid w:val="008E0685"/>
    <w:rsid w:val="008E11A8"/>
    <w:rsid w:val="008E1887"/>
    <w:rsid w:val="008E1DE3"/>
    <w:rsid w:val="008E30AA"/>
    <w:rsid w:val="008E3561"/>
    <w:rsid w:val="008E5087"/>
    <w:rsid w:val="008E7909"/>
    <w:rsid w:val="008E7B58"/>
    <w:rsid w:val="008F0F79"/>
    <w:rsid w:val="008F1B52"/>
    <w:rsid w:val="008F1CAB"/>
    <w:rsid w:val="008F3E63"/>
    <w:rsid w:val="008F7492"/>
    <w:rsid w:val="008F78E1"/>
    <w:rsid w:val="008F91BD"/>
    <w:rsid w:val="009006A6"/>
    <w:rsid w:val="00901D2D"/>
    <w:rsid w:val="009025FB"/>
    <w:rsid w:val="00903961"/>
    <w:rsid w:val="00904B1C"/>
    <w:rsid w:val="00904B24"/>
    <w:rsid w:val="00905731"/>
    <w:rsid w:val="0090607D"/>
    <w:rsid w:val="009067E6"/>
    <w:rsid w:val="009070E6"/>
    <w:rsid w:val="0090713D"/>
    <w:rsid w:val="009119C5"/>
    <w:rsid w:val="00912431"/>
    <w:rsid w:val="00917D27"/>
    <w:rsid w:val="00920EEA"/>
    <w:rsid w:val="009212A6"/>
    <w:rsid w:val="0092139C"/>
    <w:rsid w:val="009228E5"/>
    <w:rsid w:val="009270A3"/>
    <w:rsid w:val="00927617"/>
    <w:rsid w:val="00927627"/>
    <w:rsid w:val="0093069F"/>
    <w:rsid w:val="00930A21"/>
    <w:rsid w:val="00930B11"/>
    <w:rsid w:val="0093296C"/>
    <w:rsid w:val="00933912"/>
    <w:rsid w:val="00934297"/>
    <w:rsid w:val="009344E9"/>
    <w:rsid w:val="00934C69"/>
    <w:rsid w:val="00935836"/>
    <w:rsid w:val="00941AC6"/>
    <w:rsid w:val="00941F7F"/>
    <w:rsid w:val="0094240D"/>
    <w:rsid w:val="00943B01"/>
    <w:rsid w:val="00944EB6"/>
    <w:rsid w:val="00945344"/>
    <w:rsid w:val="00946E89"/>
    <w:rsid w:val="00950B87"/>
    <w:rsid w:val="00950F7E"/>
    <w:rsid w:val="0095701A"/>
    <w:rsid w:val="009574E7"/>
    <w:rsid w:val="0095DD22"/>
    <w:rsid w:val="0096283A"/>
    <w:rsid w:val="00962ECD"/>
    <w:rsid w:val="00965257"/>
    <w:rsid w:val="009653D5"/>
    <w:rsid w:val="00966B7A"/>
    <w:rsid w:val="00966E6A"/>
    <w:rsid w:val="009709AC"/>
    <w:rsid w:val="00972579"/>
    <w:rsid w:val="00974247"/>
    <w:rsid w:val="00974847"/>
    <w:rsid w:val="00974E39"/>
    <w:rsid w:val="00974EA0"/>
    <w:rsid w:val="009760EC"/>
    <w:rsid w:val="00976611"/>
    <w:rsid w:val="009776B6"/>
    <w:rsid w:val="009836A1"/>
    <w:rsid w:val="00985DE4"/>
    <w:rsid w:val="0098774B"/>
    <w:rsid w:val="00987F1D"/>
    <w:rsid w:val="009901BD"/>
    <w:rsid w:val="00990E6E"/>
    <w:rsid w:val="00995409"/>
    <w:rsid w:val="009A1294"/>
    <w:rsid w:val="009A291B"/>
    <w:rsid w:val="009A36CF"/>
    <w:rsid w:val="009A3D60"/>
    <w:rsid w:val="009A425E"/>
    <w:rsid w:val="009A730B"/>
    <w:rsid w:val="009B0A84"/>
    <w:rsid w:val="009B13A7"/>
    <w:rsid w:val="009B1E25"/>
    <w:rsid w:val="009B1ED2"/>
    <w:rsid w:val="009B2246"/>
    <w:rsid w:val="009B22F2"/>
    <w:rsid w:val="009B395F"/>
    <w:rsid w:val="009B6837"/>
    <w:rsid w:val="009B7536"/>
    <w:rsid w:val="009C0243"/>
    <w:rsid w:val="009C02AB"/>
    <w:rsid w:val="009C12AE"/>
    <w:rsid w:val="009C1738"/>
    <w:rsid w:val="009C4569"/>
    <w:rsid w:val="009C63B9"/>
    <w:rsid w:val="009D1885"/>
    <w:rsid w:val="009D4F4E"/>
    <w:rsid w:val="009D508B"/>
    <w:rsid w:val="009D573C"/>
    <w:rsid w:val="009E0A08"/>
    <w:rsid w:val="009E126C"/>
    <w:rsid w:val="009E3BAD"/>
    <w:rsid w:val="009E7695"/>
    <w:rsid w:val="009E779D"/>
    <w:rsid w:val="009F535B"/>
    <w:rsid w:val="009F598A"/>
    <w:rsid w:val="009F7076"/>
    <w:rsid w:val="009F7CB0"/>
    <w:rsid w:val="00A01767"/>
    <w:rsid w:val="00A01FD0"/>
    <w:rsid w:val="00A02134"/>
    <w:rsid w:val="00A02661"/>
    <w:rsid w:val="00A02968"/>
    <w:rsid w:val="00A037C8"/>
    <w:rsid w:val="00A040FF"/>
    <w:rsid w:val="00A04452"/>
    <w:rsid w:val="00A044DB"/>
    <w:rsid w:val="00A04FC9"/>
    <w:rsid w:val="00A052FE"/>
    <w:rsid w:val="00A057D3"/>
    <w:rsid w:val="00A05C2F"/>
    <w:rsid w:val="00A06241"/>
    <w:rsid w:val="00A113BB"/>
    <w:rsid w:val="00A126BF"/>
    <w:rsid w:val="00A13D1E"/>
    <w:rsid w:val="00A1486C"/>
    <w:rsid w:val="00A14DC0"/>
    <w:rsid w:val="00A17A71"/>
    <w:rsid w:val="00A21C51"/>
    <w:rsid w:val="00A22D80"/>
    <w:rsid w:val="00A231E5"/>
    <w:rsid w:val="00A23308"/>
    <w:rsid w:val="00A23DD7"/>
    <w:rsid w:val="00A24838"/>
    <w:rsid w:val="00A2F995"/>
    <w:rsid w:val="00A30BD3"/>
    <w:rsid w:val="00A321FC"/>
    <w:rsid w:val="00A3335F"/>
    <w:rsid w:val="00A3362B"/>
    <w:rsid w:val="00A34769"/>
    <w:rsid w:val="00A3576A"/>
    <w:rsid w:val="00A3595C"/>
    <w:rsid w:val="00A37E24"/>
    <w:rsid w:val="00A40F3C"/>
    <w:rsid w:val="00A442CC"/>
    <w:rsid w:val="00A46068"/>
    <w:rsid w:val="00A50DF4"/>
    <w:rsid w:val="00A51108"/>
    <w:rsid w:val="00A56578"/>
    <w:rsid w:val="00A60EB3"/>
    <w:rsid w:val="00A61C9F"/>
    <w:rsid w:val="00A6690B"/>
    <w:rsid w:val="00A67D75"/>
    <w:rsid w:val="00A72184"/>
    <w:rsid w:val="00A72528"/>
    <w:rsid w:val="00A72658"/>
    <w:rsid w:val="00A73FEB"/>
    <w:rsid w:val="00A75304"/>
    <w:rsid w:val="00A75684"/>
    <w:rsid w:val="00A75D57"/>
    <w:rsid w:val="00A76069"/>
    <w:rsid w:val="00A76B04"/>
    <w:rsid w:val="00A81318"/>
    <w:rsid w:val="00A816BA"/>
    <w:rsid w:val="00A81E6E"/>
    <w:rsid w:val="00A81FFE"/>
    <w:rsid w:val="00A8452E"/>
    <w:rsid w:val="00A84898"/>
    <w:rsid w:val="00A9336A"/>
    <w:rsid w:val="00A95191"/>
    <w:rsid w:val="00A95E70"/>
    <w:rsid w:val="00A96A0A"/>
    <w:rsid w:val="00AA1321"/>
    <w:rsid w:val="00AA2712"/>
    <w:rsid w:val="00AA282F"/>
    <w:rsid w:val="00AA2CFF"/>
    <w:rsid w:val="00AA3122"/>
    <w:rsid w:val="00AA59BE"/>
    <w:rsid w:val="00AA5C79"/>
    <w:rsid w:val="00AA6804"/>
    <w:rsid w:val="00AAF52A"/>
    <w:rsid w:val="00AB0469"/>
    <w:rsid w:val="00AB0A17"/>
    <w:rsid w:val="00AB18D8"/>
    <w:rsid w:val="00AB4DF7"/>
    <w:rsid w:val="00AB6576"/>
    <w:rsid w:val="00AB69F3"/>
    <w:rsid w:val="00AC19C4"/>
    <w:rsid w:val="00AC4803"/>
    <w:rsid w:val="00AC5304"/>
    <w:rsid w:val="00ACB42F"/>
    <w:rsid w:val="00AD0747"/>
    <w:rsid w:val="00AD4F77"/>
    <w:rsid w:val="00AD5F8C"/>
    <w:rsid w:val="00AD6A69"/>
    <w:rsid w:val="00AE0C0F"/>
    <w:rsid w:val="00AE1138"/>
    <w:rsid w:val="00AE5862"/>
    <w:rsid w:val="00AE6330"/>
    <w:rsid w:val="00AF15B0"/>
    <w:rsid w:val="00AF5436"/>
    <w:rsid w:val="00B004BA"/>
    <w:rsid w:val="00B0076C"/>
    <w:rsid w:val="00B00D9A"/>
    <w:rsid w:val="00B01083"/>
    <w:rsid w:val="00B017FB"/>
    <w:rsid w:val="00B06878"/>
    <w:rsid w:val="00B100B9"/>
    <w:rsid w:val="00B10F0D"/>
    <w:rsid w:val="00B10FC3"/>
    <w:rsid w:val="00B120DB"/>
    <w:rsid w:val="00B14F9E"/>
    <w:rsid w:val="00B15065"/>
    <w:rsid w:val="00B15845"/>
    <w:rsid w:val="00B159BA"/>
    <w:rsid w:val="00B17CD2"/>
    <w:rsid w:val="00B21B7F"/>
    <w:rsid w:val="00B257CD"/>
    <w:rsid w:val="00B25CD1"/>
    <w:rsid w:val="00B300C5"/>
    <w:rsid w:val="00B308E7"/>
    <w:rsid w:val="00B312EB"/>
    <w:rsid w:val="00B34C1A"/>
    <w:rsid w:val="00B37142"/>
    <w:rsid w:val="00B43D27"/>
    <w:rsid w:val="00B44926"/>
    <w:rsid w:val="00B44A9C"/>
    <w:rsid w:val="00B44B5F"/>
    <w:rsid w:val="00B46C7F"/>
    <w:rsid w:val="00B47B7A"/>
    <w:rsid w:val="00B51D52"/>
    <w:rsid w:val="00B52214"/>
    <w:rsid w:val="00B52863"/>
    <w:rsid w:val="00B53480"/>
    <w:rsid w:val="00B538D1"/>
    <w:rsid w:val="00B548EC"/>
    <w:rsid w:val="00B54DF8"/>
    <w:rsid w:val="00B54FD7"/>
    <w:rsid w:val="00B556F4"/>
    <w:rsid w:val="00B560CC"/>
    <w:rsid w:val="00B56130"/>
    <w:rsid w:val="00B565DE"/>
    <w:rsid w:val="00B5693D"/>
    <w:rsid w:val="00B56B60"/>
    <w:rsid w:val="00B5752F"/>
    <w:rsid w:val="00B57672"/>
    <w:rsid w:val="00B606F2"/>
    <w:rsid w:val="00B60E92"/>
    <w:rsid w:val="00B6186B"/>
    <w:rsid w:val="00B629FC"/>
    <w:rsid w:val="00B63E0D"/>
    <w:rsid w:val="00B64367"/>
    <w:rsid w:val="00B65202"/>
    <w:rsid w:val="00B66C5B"/>
    <w:rsid w:val="00B67934"/>
    <w:rsid w:val="00B7045C"/>
    <w:rsid w:val="00B70B09"/>
    <w:rsid w:val="00B71AB0"/>
    <w:rsid w:val="00B75286"/>
    <w:rsid w:val="00B807A6"/>
    <w:rsid w:val="00B81566"/>
    <w:rsid w:val="00B829EC"/>
    <w:rsid w:val="00B849CF"/>
    <w:rsid w:val="00B86BCC"/>
    <w:rsid w:val="00B86D87"/>
    <w:rsid w:val="00B92B46"/>
    <w:rsid w:val="00B943C6"/>
    <w:rsid w:val="00B959A5"/>
    <w:rsid w:val="00B95AE0"/>
    <w:rsid w:val="00B97B9F"/>
    <w:rsid w:val="00B97C9F"/>
    <w:rsid w:val="00BA2922"/>
    <w:rsid w:val="00BA34D9"/>
    <w:rsid w:val="00BA4979"/>
    <w:rsid w:val="00BA58CF"/>
    <w:rsid w:val="00BA5B9D"/>
    <w:rsid w:val="00BA62A6"/>
    <w:rsid w:val="00BB17CD"/>
    <w:rsid w:val="00BB2762"/>
    <w:rsid w:val="00BB61FA"/>
    <w:rsid w:val="00BB647E"/>
    <w:rsid w:val="00BC0C59"/>
    <w:rsid w:val="00BC361A"/>
    <w:rsid w:val="00BC3C83"/>
    <w:rsid w:val="00BC4446"/>
    <w:rsid w:val="00BC534E"/>
    <w:rsid w:val="00BC56C5"/>
    <w:rsid w:val="00BC7258"/>
    <w:rsid w:val="00BC7736"/>
    <w:rsid w:val="00BD0CB8"/>
    <w:rsid w:val="00BD1ED1"/>
    <w:rsid w:val="00BD733D"/>
    <w:rsid w:val="00BDA4E7"/>
    <w:rsid w:val="00BE2365"/>
    <w:rsid w:val="00BE3010"/>
    <w:rsid w:val="00BE3B54"/>
    <w:rsid w:val="00BE3DED"/>
    <w:rsid w:val="00BE5072"/>
    <w:rsid w:val="00BE739C"/>
    <w:rsid w:val="00BF0549"/>
    <w:rsid w:val="00BF11DA"/>
    <w:rsid w:val="00BF1E7F"/>
    <w:rsid w:val="00BF21BD"/>
    <w:rsid w:val="00BF25CF"/>
    <w:rsid w:val="00BF2C97"/>
    <w:rsid w:val="00BF48A4"/>
    <w:rsid w:val="00BF69A9"/>
    <w:rsid w:val="00C0065C"/>
    <w:rsid w:val="00C01428"/>
    <w:rsid w:val="00C0299E"/>
    <w:rsid w:val="00C046FD"/>
    <w:rsid w:val="00C05949"/>
    <w:rsid w:val="00C06B3A"/>
    <w:rsid w:val="00C0740D"/>
    <w:rsid w:val="00C143FF"/>
    <w:rsid w:val="00C14413"/>
    <w:rsid w:val="00C161B2"/>
    <w:rsid w:val="00C1779F"/>
    <w:rsid w:val="00C17F3A"/>
    <w:rsid w:val="00C24131"/>
    <w:rsid w:val="00C24870"/>
    <w:rsid w:val="00C25516"/>
    <w:rsid w:val="00C2615D"/>
    <w:rsid w:val="00C26210"/>
    <w:rsid w:val="00C277AF"/>
    <w:rsid w:val="00C310B1"/>
    <w:rsid w:val="00C31F2D"/>
    <w:rsid w:val="00C34406"/>
    <w:rsid w:val="00C34BF2"/>
    <w:rsid w:val="00C4119E"/>
    <w:rsid w:val="00C4257E"/>
    <w:rsid w:val="00C45197"/>
    <w:rsid w:val="00C460A5"/>
    <w:rsid w:val="00C47A28"/>
    <w:rsid w:val="00C515F8"/>
    <w:rsid w:val="00C52DFA"/>
    <w:rsid w:val="00C5403E"/>
    <w:rsid w:val="00C548FD"/>
    <w:rsid w:val="00C55983"/>
    <w:rsid w:val="00C5757D"/>
    <w:rsid w:val="00C624B4"/>
    <w:rsid w:val="00C65565"/>
    <w:rsid w:val="00C66D6E"/>
    <w:rsid w:val="00C71522"/>
    <w:rsid w:val="00C71573"/>
    <w:rsid w:val="00C7159A"/>
    <w:rsid w:val="00C72CB4"/>
    <w:rsid w:val="00C74C8B"/>
    <w:rsid w:val="00C74D73"/>
    <w:rsid w:val="00C77460"/>
    <w:rsid w:val="00C801FC"/>
    <w:rsid w:val="00C8266C"/>
    <w:rsid w:val="00C84838"/>
    <w:rsid w:val="00C907CB"/>
    <w:rsid w:val="00C955FF"/>
    <w:rsid w:val="00C958FB"/>
    <w:rsid w:val="00C960D2"/>
    <w:rsid w:val="00CA30B5"/>
    <w:rsid w:val="00CA38FE"/>
    <w:rsid w:val="00CA4028"/>
    <w:rsid w:val="00CA45BA"/>
    <w:rsid w:val="00CA61B5"/>
    <w:rsid w:val="00CB5326"/>
    <w:rsid w:val="00CB5BDF"/>
    <w:rsid w:val="00CC06E7"/>
    <w:rsid w:val="00CC2CA7"/>
    <w:rsid w:val="00CC2EDF"/>
    <w:rsid w:val="00CC2EF5"/>
    <w:rsid w:val="00CC4023"/>
    <w:rsid w:val="00CC409C"/>
    <w:rsid w:val="00CC4EF3"/>
    <w:rsid w:val="00CC51E3"/>
    <w:rsid w:val="00CC69B3"/>
    <w:rsid w:val="00CD0C28"/>
    <w:rsid w:val="00CD11F8"/>
    <w:rsid w:val="00CD259C"/>
    <w:rsid w:val="00CD2BAA"/>
    <w:rsid w:val="00CD4CB4"/>
    <w:rsid w:val="00CD6815"/>
    <w:rsid w:val="00CD6C92"/>
    <w:rsid w:val="00CE0B63"/>
    <w:rsid w:val="00CE22EC"/>
    <w:rsid w:val="00CE2C8D"/>
    <w:rsid w:val="00CE2FF6"/>
    <w:rsid w:val="00CE3A74"/>
    <w:rsid w:val="00CE3C69"/>
    <w:rsid w:val="00CE4BE1"/>
    <w:rsid w:val="00CE71A8"/>
    <w:rsid w:val="00CE746F"/>
    <w:rsid w:val="00CF0844"/>
    <w:rsid w:val="00CF0D13"/>
    <w:rsid w:val="00CF1EDC"/>
    <w:rsid w:val="00CF2F51"/>
    <w:rsid w:val="00CF462A"/>
    <w:rsid w:val="00CF5AA0"/>
    <w:rsid w:val="00CF5F06"/>
    <w:rsid w:val="00D00268"/>
    <w:rsid w:val="00D0077B"/>
    <w:rsid w:val="00D00953"/>
    <w:rsid w:val="00D03BBE"/>
    <w:rsid w:val="00D046DB"/>
    <w:rsid w:val="00D05312"/>
    <w:rsid w:val="00D06DEA"/>
    <w:rsid w:val="00D0748C"/>
    <w:rsid w:val="00D110D4"/>
    <w:rsid w:val="00D11A39"/>
    <w:rsid w:val="00D14AA7"/>
    <w:rsid w:val="00D15020"/>
    <w:rsid w:val="00D162B6"/>
    <w:rsid w:val="00D16B2B"/>
    <w:rsid w:val="00D2134D"/>
    <w:rsid w:val="00D22BBC"/>
    <w:rsid w:val="00D23003"/>
    <w:rsid w:val="00D244CD"/>
    <w:rsid w:val="00D25A24"/>
    <w:rsid w:val="00D2922F"/>
    <w:rsid w:val="00D302BF"/>
    <w:rsid w:val="00D3166B"/>
    <w:rsid w:val="00D33396"/>
    <w:rsid w:val="00D33579"/>
    <w:rsid w:val="00D359D5"/>
    <w:rsid w:val="00D37535"/>
    <w:rsid w:val="00D40E3C"/>
    <w:rsid w:val="00D44991"/>
    <w:rsid w:val="00D44DCF"/>
    <w:rsid w:val="00D46522"/>
    <w:rsid w:val="00D465F4"/>
    <w:rsid w:val="00D51EC6"/>
    <w:rsid w:val="00D53B10"/>
    <w:rsid w:val="00D56023"/>
    <w:rsid w:val="00D5655D"/>
    <w:rsid w:val="00D56FE4"/>
    <w:rsid w:val="00D61277"/>
    <w:rsid w:val="00D617F3"/>
    <w:rsid w:val="00D61910"/>
    <w:rsid w:val="00D61C4B"/>
    <w:rsid w:val="00D61D88"/>
    <w:rsid w:val="00D62246"/>
    <w:rsid w:val="00D62A46"/>
    <w:rsid w:val="00D62D2D"/>
    <w:rsid w:val="00D64E74"/>
    <w:rsid w:val="00D65039"/>
    <w:rsid w:val="00D664E1"/>
    <w:rsid w:val="00D708EA"/>
    <w:rsid w:val="00D70F8E"/>
    <w:rsid w:val="00D733AC"/>
    <w:rsid w:val="00D75F6D"/>
    <w:rsid w:val="00D770B2"/>
    <w:rsid w:val="00D77268"/>
    <w:rsid w:val="00D779E3"/>
    <w:rsid w:val="00D80876"/>
    <w:rsid w:val="00D80AC1"/>
    <w:rsid w:val="00D81093"/>
    <w:rsid w:val="00D834EA"/>
    <w:rsid w:val="00D866F2"/>
    <w:rsid w:val="00D91201"/>
    <w:rsid w:val="00D9176B"/>
    <w:rsid w:val="00D925AA"/>
    <w:rsid w:val="00D92601"/>
    <w:rsid w:val="00D92AEE"/>
    <w:rsid w:val="00D93928"/>
    <w:rsid w:val="00D95221"/>
    <w:rsid w:val="00D96452"/>
    <w:rsid w:val="00D977A1"/>
    <w:rsid w:val="00D9798F"/>
    <w:rsid w:val="00D97ECA"/>
    <w:rsid w:val="00DA22C0"/>
    <w:rsid w:val="00DA537E"/>
    <w:rsid w:val="00DA5469"/>
    <w:rsid w:val="00DA56DA"/>
    <w:rsid w:val="00DA7AE5"/>
    <w:rsid w:val="00DB24B1"/>
    <w:rsid w:val="00DB262F"/>
    <w:rsid w:val="00DB2E63"/>
    <w:rsid w:val="00DB59DA"/>
    <w:rsid w:val="00DC2C3E"/>
    <w:rsid w:val="00DC35AF"/>
    <w:rsid w:val="00DD037A"/>
    <w:rsid w:val="00DD2E68"/>
    <w:rsid w:val="00DD3FDF"/>
    <w:rsid w:val="00DD41D2"/>
    <w:rsid w:val="00DD54FC"/>
    <w:rsid w:val="00DE3D09"/>
    <w:rsid w:val="00DE4D52"/>
    <w:rsid w:val="00DEAFAC"/>
    <w:rsid w:val="00DF237C"/>
    <w:rsid w:val="00DF26A8"/>
    <w:rsid w:val="00DF3313"/>
    <w:rsid w:val="00DF3DB7"/>
    <w:rsid w:val="00DF448C"/>
    <w:rsid w:val="00E001A8"/>
    <w:rsid w:val="00E01B31"/>
    <w:rsid w:val="00E026F9"/>
    <w:rsid w:val="00E044D2"/>
    <w:rsid w:val="00E04D8D"/>
    <w:rsid w:val="00E10DB9"/>
    <w:rsid w:val="00E11722"/>
    <w:rsid w:val="00E11B8E"/>
    <w:rsid w:val="00E121F9"/>
    <w:rsid w:val="00E14253"/>
    <w:rsid w:val="00E15978"/>
    <w:rsid w:val="00E17E91"/>
    <w:rsid w:val="00E20028"/>
    <w:rsid w:val="00E211CE"/>
    <w:rsid w:val="00E212C7"/>
    <w:rsid w:val="00E21676"/>
    <w:rsid w:val="00E235AC"/>
    <w:rsid w:val="00E24F94"/>
    <w:rsid w:val="00E31C54"/>
    <w:rsid w:val="00E31C5A"/>
    <w:rsid w:val="00E323F0"/>
    <w:rsid w:val="00E329C3"/>
    <w:rsid w:val="00E32DA7"/>
    <w:rsid w:val="00E32F6A"/>
    <w:rsid w:val="00E356B1"/>
    <w:rsid w:val="00E4219E"/>
    <w:rsid w:val="00E433A4"/>
    <w:rsid w:val="00E43915"/>
    <w:rsid w:val="00E47B11"/>
    <w:rsid w:val="00E47F29"/>
    <w:rsid w:val="00E50A94"/>
    <w:rsid w:val="00E50AFF"/>
    <w:rsid w:val="00E50E5C"/>
    <w:rsid w:val="00E51193"/>
    <w:rsid w:val="00E524D3"/>
    <w:rsid w:val="00E52E37"/>
    <w:rsid w:val="00E53744"/>
    <w:rsid w:val="00E53AD9"/>
    <w:rsid w:val="00E53CEF"/>
    <w:rsid w:val="00E5427E"/>
    <w:rsid w:val="00E550AA"/>
    <w:rsid w:val="00E559F9"/>
    <w:rsid w:val="00E56B29"/>
    <w:rsid w:val="00E606D5"/>
    <w:rsid w:val="00E614D5"/>
    <w:rsid w:val="00E650A6"/>
    <w:rsid w:val="00E674AB"/>
    <w:rsid w:val="00E67CCE"/>
    <w:rsid w:val="00E71452"/>
    <w:rsid w:val="00E72153"/>
    <w:rsid w:val="00E75257"/>
    <w:rsid w:val="00E8084C"/>
    <w:rsid w:val="00E81D40"/>
    <w:rsid w:val="00E83150"/>
    <w:rsid w:val="00E8319B"/>
    <w:rsid w:val="00E84876"/>
    <w:rsid w:val="00E86D1C"/>
    <w:rsid w:val="00E9007C"/>
    <w:rsid w:val="00E93DA3"/>
    <w:rsid w:val="00E94840"/>
    <w:rsid w:val="00E9701B"/>
    <w:rsid w:val="00EA317A"/>
    <w:rsid w:val="00EA53E6"/>
    <w:rsid w:val="00EA59F9"/>
    <w:rsid w:val="00EA5F34"/>
    <w:rsid w:val="00EA6488"/>
    <w:rsid w:val="00EA69F7"/>
    <w:rsid w:val="00EB17DF"/>
    <w:rsid w:val="00EB1B92"/>
    <w:rsid w:val="00EB1BEE"/>
    <w:rsid w:val="00EB2B95"/>
    <w:rsid w:val="00EB366E"/>
    <w:rsid w:val="00EB41EE"/>
    <w:rsid w:val="00EB4322"/>
    <w:rsid w:val="00EB7930"/>
    <w:rsid w:val="00EC073A"/>
    <w:rsid w:val="00EC102C"/>
    <w:rsid w:val="00EC1F5E"/>
    <w:rsid w:val="00EC2026"/>
    <w:rsid w:val="00EC6E8D"/>
    <w:rsid w:val="00EC7633"/>
    <w:rsid w:val="00ED00FB"/>
    <w:rsid w:val="00ED0147"/>
    <w:rsid w:val="00ED06C5"/>
    <w:rsid w:val="00ED0A5C"/>
    <w:rsid w:val="00ED156F"/>
    <w:rsid w:val="00ED22AE"/>
    <w:rsid w:val="00ED24A5"/>
    <w:rsid w:val="00ED2C4B"/>
    <w:rsid w:val="00ED3EBB"/>
    <w:rsid w:val="00ED47BA"/>
    <w:rsid w:val="00ED4CDB"/>
    <w:rsid w:val="00ED4F2A"/>
    <w:rsid w:val="00EE10C2"/>
    <w:rsid w:val="00EE51F8"/>
    <w:rsid w:val="00EE5E59"/>
    <w:rsid w:val="00EE6AD6"/>
    <w:rsid w:val="00EF3C5D"/>
    <w:rsid w:val="00EF4DB3"/>
    <w:rsid w:val="00EF7FFD"/>
    <w:rsid w:val="00EFEE9A"/>
    <w:rsid w:val="00F02B6F"/>
    <w:rsid w:val="00F03865"/>
    <w:rsid w:val="00F03E70"/>
    <w:rsid w:val="00F05487"/>
    <w:rsid w:val="00F10D06"/>
    <w:rsid w:val="00F150F9"/>
    <w:rsid w:val="00F161E6"/>
    <w:rsid w:val="00F163D9"/>
    <w:rsid w:val="00F172E0"/>
    <w:rsid w:val="00F173AD"/>
    <w:rsid w:val="00F20A5C"/>
    <w:rsid w:val="00F22DF8"/>
    <w:rsid w:val="00F231BD"/>
    <w:rsid w:val="00F23B8D"/>
    <w:rsid w:val="00F25D84"/>
    <w:rsid w:val="00F2642C"/>
    <w:rsid w:val="00F2683C"/>
    <w:rsid w:val="00F320F6"/>
    <w:rsid w:val="00F322B4"/>
    <w:rsid w:val="00F33FAA"/>
    <w:rsid w:val="00F37AF9"/>
    <w:rsid w:val="00F40DD2"/>
    <w:rsid w:val="00F40FD8"/>
    <w:rsid w:val="00F41412"/>
    <w:rsid w:val="00F4331F"/>
    <w:rsid w:val="00F443A9"/>
    <w:rsid w:val="00F4484F"/>
    <w:rsid w:val="00F45235"/>
    <w:rsid w:val="00F55B73"/>
    <w:rsid w:val="00F55BC1"/>
    <w:rsid w:val="00F575A6"/>
    <w:rsid w:val="00F6127B"/>
    <w:rsid w:val="00F624D6"/>
    <w:rsid w:val="00F6344B"/>
    <w:rsid w:val="00F63FBE"/>
    <w:rsid w:val="00F64213"/>
    <w:rsid w:val="00F6524F"/>
    <w:rsid w:val="00F672A1"/>
    <w:rsid w:val="00F6778E"/>
    <w:rsid w:val="00F7128A"/>
    <w:rsid w:val="00F7151C"/>
    <w:rsid w:val="00F7154D"/>
    <w:rsid w:val="00F738AA"/>
    <w:rsid w:val="00F75121"/>
    <w:rsid w:val="00F75796"/>
    <w:rsid w:val="00F77FF3"/>
    <w:rsid w:val="00F83328"/>
    <w:rsid w:val="00F8705F"/>
    <w:rsid w:val="00F873FC"/>
    <w:rsid w:val="00F9270C"/>
    <w:rsid w:val="00F941A9"/>
    <w:rsid w:val="00F95A1A"/>
    <w:rsid w:val="00F95A66"/>
    <w:rsid w:val="00F96591"/>
    <w:rsid w:val="00F96738"/>
    <w:rsid w:val="00F969D7"/>
    <w:rsid w:val="00FA0995"/>
    <w:rsid w:val="00FA2D72"/>
    <w:rsid w:val="00FA2FAC"/>
    <w:rsid w:val="00FA72E9"/>
    <w:rsid w:val="00FA77BD"/>
    <w:rsid w:val="00FA7F11"/>
    <w:rsid w:val="00FB1CD1"/>
    <w:rsid w:val="00FB549F"/>
    <w:rsid w:val="00FC0589"/>
    <w:rsid w:val="00FC57B7"/>
    <w:rsid w:val="00FD27B4"/>
    <w:rsid w:val="00FD2BA6"/>
    <w:rsid w:val="00FD3344"/>
    <w:rsid w:val="00FD5CD7"/>
    <w:rsid w:val="00FD7CD8"/>
    <w:rsid w:val="00FD7EC5"/>
    <w:rsid w:val="00FE001C"/>
    <w:rsid w:val="00FE0FD8"/>
    <w:rsid w:val="00FE17A8"/>
    <w:rsid w:val="00FE18BA"/>
    <w:rsid w:val="00FE340D"/>
    <w:rsid w:val="00FE66C5"/>
    <w:rsid w:val="00FF0663"/>
    <w:rsid w:val="00FF07C4"/>
    <w:rsid w:val="00FF0978"/>
    <w:rsid w:val="00FF13C3"/>
    <w:rsid w:val="00FF3947"/>
    <w:rsid w:val="00FF3EBB"/>
    <w:rsid w:val="00FF4CC6"/>
    <w:rsid w:val="00FF5019"/>
    <w:rsid w:val="00FF68D2"/>
    <w:rsid w:val="010958EA"/>
    <w:rsid w:val="010B0D63"/>
    <w:rsid w:val="010F4ABA"/>
    <w:rsid w:val="011537CD"/>
    <w:rsid w:val="01154324"/>
    <w:rsid w:val="0117314A"/>
    <w:rsid w:val="01208C19"/>
    <w:rsid w:val="012416DE"/>
    <w:rsid w:val="012FF5F7"/>
    <w:rsid w:val="0134929C"/>
    <w:rsid w:val="013632D3"/>
    <w:rsid w:val="013C0C49"/>
    <w:rsid w:val="014277EE"/>
    <w:rsid w:val="014362FF"/>
    <w:rsid w:val="01664CC9"/>
    <w:rsid w:val="016AF485"/>
    <w:rsid w:val="016F9B2D"/>
    <w:rsid w:val="0173EFD8"/>
    <w:rsid w:val="017948C8"/>
    <w:rsid w:val="0193D213"/>
    <w:rsid w:val="01970E95"/>
    <w:rsid w:val="019C3813"/>
    <w:rsid w:val="019E985C"/>
    <w:rsid w:val="01A8333B"/>
    <w:rsid w:val="01AB8437"/>
    <w:rsid w:val="01CB061A"/>
    <w:rsid w:val="01CC3B9D"/>
    <w:rsid w:val="01CDE8B1"/>
    <w:rsid w:val="01CE14EC"/>
    <w:rsid w:val="01D4BC52"/>
    <w:rsid w:val="01E3B42A"/>
    <w:rsid w:val="01E837F9"/>
    <w:rsid w:val="01EE588C"/>
    <w:rsid w:val="01EE9393"/>
    <w:rsid w:val="01FA270F"/>
    <w:rsid w:val="0203F71F"/>
    <w:rsid w:val="02069B41"/>
    <w:rsid w:val="0208333B"/>
    <w:rsid w:val="0224547F"/>
    <w:rsid w:val="0225F7D8"/>
    <w:rsid w:val="0229AD7B"/>
    <w:rsid w:val="022CEE90"/>
    <w:rsid w:val="023B9E38"/>
    <w:rsid w:val="02419E1A"/>
    <w:rsid w:val="024401F1"/>
    <w:rsid w:val="024D372B"/>
    <w:rsid w:val="024D91AA"/>
    <w:rsid w:val="02536F19"/>
    <w:rsid w:val="026DD149"/>
    <w:rsid w:val="02724266"/>
    <w:rsid w:val="027F3A39"/>
    <w:rsid w:val="0286ACCE"/>
    <w:rsid w:val="028E19ED"/>
    <w:rsid w:val="0299702A"/>
    <w:rsid w:val="02A266C0"/>
    <w:rsid w:val="02A7E454"/>
    <w:rsid w:val="02D45849"/>
    <w:rsid w:val="02DC4A12"/>
    <w:rsid w:val="02E55A4F"/>
    <w:rsid w:val="02EB5B67"/>
    <w:rsid w:val="02EC502E"/>
    <w:rsid w:val="02EC6B48"/>
    <w:rsid w:val="02EFF759"/>
    <w:rsid w:val="02F284B5"/>
    <w:rsid w:val="03068E38"/>
    <w:rsid w:val="0306BE64"/>
    <w:rsid w:val="032A6994"/>
    <w:rsid w:val="03371080"/>
    <w:rsid w:val="03381900"/>
    <w:rsid w:val="0345145F"/>
    <w:rsid w:val="03466776"/>
    <w:rsid w:val="034A521B"/>
    <w:rsid w:val="0351C9BA"/>
    <w:rsid w:val="0355ED68"/>
    <w:rsid w:val="03570C05"/>
    <w:rsid w:val="0361D9B6"/>
    <w:rsid w:val="036868E0"/>
    <w:rsid w:val="037E7AE8"/>
    <w:rsid w:val="037F84AB"/>
    <w:rsid w:val="038E3299"/>
    <w:rsid w:val="039E7729"/>
    <w:rsid w:val="03AD76B0"/>
    <w:rsid w:val="03AEDBC9"/>
    <w:rsid w:val="03BCBE89"/>
    <w:rsid w:val="03BE2048"/>
    <w:rsid w:val="03C3700D"/>
    <w:rsid w:val="03CF4AD7"/>
    <w:rsid w:val="03D8378B"/>
    <w:rsid w:val="03D95369"/>
    <w:rsid w:val="03F18821"/>
    <w:rsid w:val="03F514A8"/>
    <w:rsid w:val="03F62F27"/>
    <w:rsid w:val="03FFA5C9"/>
    <w:rsid w:val="04026C03"/>
    <w:rsid w:val="040CDA74"/>
    <w:rsid w:val="0411818D"/>
    <w:rsid w:val="041767A2"/>
    <w:rsid w:val="042ACF3B"/>
    <w:rsid w:val="042FCE54"/>
    <w:rsid w:val="043AD5DD"/>
    <w:rsid w:val="043E634A"/>
    <w:rsid w:val="043F9E07"/>
    <w:rsid w:val="044073C6"/>
    <w:rsid w:val="0459D345"/>
    <w:rsid w:val="045D9E9F"/>
    <w:rsid w:val="0461029A"/>
    <w:rsid w:val="0467DBB5"/>
    <w:rsid w:val="047BD414"/>
    <w:rsid w:val="049B9104"/>
    <w:rsid w:val="04A821E4"/>
    <w:rsid w:val="04ACCEA7"/>
    <w:rsid w:val="04B9CD26"/>
    <w:rsid w:val="04BFD353"/>
    <w:rsid w:val="04C08BAF"/>
    <w:rsid w:val="04D1739C"/>
    <w:rsid w:val="04D27ECD"/>
    <w:rsid w:val="04E69249"/>
    <w:rsid w:val="04EB997B"/>
    <w:rsid w:val="04F791CB"/>
    <w:rsid w:val="04F8F327"/>
    <w:rsid w:val="04FC6A84"/>
    <w:rsid w:val="05029891"/>
    <w:rsid w:val="051839DC"/>
    <w:rsid w:val="051BEA0E"/>
    <w:rsid w:val="0528D138"/>
    <w:rsid w:val="0528DB57"/>
    <w:rsid w:val="052D6AA2"/>
    <w:rsid w:val="0534CB20"/>
    <w:rsid w:val="054E0EA4"/>
    <w:rsid w:val="0557E021"/>
    <w:rsid w:val="055AFF69"/>
    <w:rsid w:val="0578DB9B"/>
    <w:rsid w:val="05809ED6"/>
    <w:rsid w:val="058D8E4B"/>
    <w:rsid w:val="059173F2"/>
    <w:rsid w:val="059B4A77"/>
    <w:rsid w:val="05A603E7"/>
    <w:rsid w:val="05B72F6E"/>
    <w:rsid w:val="05BF608F"/>
    <w:rsid w:val="05CAD06A"/>
    <w:rsid w:val="05CE19FE"/>
    <w:rsid w:val="05E88CAD"/>
    <w:rsid w:val="06023E8C"/>
    <w:rsid w:val="0608688B"/>
    <w:rsid w:val="061D5180"/>
    <w:rsid w:val="06230F30"/>
    <w:rsid w:val="06297E1D"/>
    <w:rsid w:val="06392A34"/>
    <w:rsid w:val="064900A0"/>
    <w:rsid w:val="064D0105"/>
    <w:rsid w:val="06518886"/>
    <w:rsid w:val="065C0936"/>
    <w:rsid w:val="065DAF13"/>
    <w:rsid w:val="065F9C18"/>
    <w:rsid w:val="065FEC68"/>
    <w:rsid w:val="0668BCD4"/>
    <w:rsid w:val="066FEEB3"/>
    <w:rsid w:val="06719180"/>
    <w:rsid w:val="067609DC"/>
    <w:rsid w:val="067BF28E"/>
    <w:rsid w:val="067CD08A"/>
    <w:rsid w:val="06839521"/>
    <w:rsid w:val="068B756E"/>
    <w:rsid w:val="06972EA1"/>
    <w:rsid w:val="069AD183"/>
    <w:rsid w:val="069EDA2D"/>
    <w:rsid w:val="06A2033A"/>
    <w:rsid w:val="06AAB109"/>
    <w:rsid w:val="06ACF8F8"/>
    <w:rsid w:val="06B2136F"/>
    <w:rsid w:val="06BE11C0"/>
    <w:rsid w:val="06CE31E8"/>
    <w:rsid w:val="06D19EFB"/>
    <w:rsid w:val="06D37FA1"/>
    <w:rsid w:val="06D8B82D"/>
    <w:rsid w:val="06EF71EC"/>
    <w:rsid w:val="06F1B7F5"/>
    <w:rsid w:val="06F86D75"/>
    <w:rsid w:val="06FA9C10"/>
    <w:rsid w:val="070971E5"/>
    <w:rsid w:val="07252DDF"/>
    <w:rsid w:val="073B36CA"/>
    <w:rsid w:val="073F0B32"/>
    <w:rsid w:val="073F56BF"/>
    <w:rsid w:val="074001AC"/>
    <w:rsid w:val="074BD620"/>
    <w:rsid w:val="075EBB19"/>
    <w:rsid w:val="0767A567"/>
    <w:rsid w:val="077DCAE1"/>
    <w:rsid w:val="07909E03"/>
    <w:rsid w:val="07984076"/>
    <w:rsid w:val="07A09BD6"/>
    <w:rsid w:val="07A4DEF9"/>
    <w:rsid w:val="07ADBFC9"/>
    <w:rsid w:val="07AF70B0"/>
    <w:rsid w:val="07B73588"/>
    <w:rsid w:val="07BD38E9"/>
    <w:rsid w:val="07BE9661"/>
    <w:rsid w:val="07C4DD03"/>
    <w:rsid w:val="07C62DBC"/>
    <w:rsid w:val="07CEB33C"/>
    <w:rsid w:val="07E1040D"/>
    <w:rsid w:val="07F73A35"/>
    <w:rsid w:val="07FAE858"/>
    <w:rsid w:val="080233B5"/>
    <w:rsid w:val="08046A6D"/>
    <w:rsid w:val="0808CCFF"/>
    <w:rsid w:val="080D3036"/>
    <w:rsid w:val="080E1492"/>
    <w:rsid w:val="080F5A10"/>
    <w:rsid w:val="0811055D"/>
    <w:rsid w:val="081140B5"/>
    <w:rsid w:val="0811874D"/>
    <w:rsid w:val="0813AFA4"/>
    <w:rsid w:val="082CB655"/>
    <w:rsid w:val="083C4F86"/>
    <w:rsid w:val="08436474"/>
    <w:rsid w:val="0856AFE8"/>
    <w:rsid w:val="08601B31"/>
    <w:rsid w:val="086576ED"/>
    <w:rsid w:val="0869C7A2"/>
    <w:rsid w:val="086A88DC"/>
    <w:rsid w:val="08820BBA"/>
    <w:rsid w:val="08874258"/>
    <w:rsid w:val="088D6A98"/>
    <w:rsid w:val="089FC5C4"/>
    <w:rsid w:val="08B16C65"/>
    <w:rsid w:val="08B5D141"/>
    <w:rsid w:val="08BB01AC"/>
    <w:rsid w:val="08CD1012"/>
    <w:rsid w:val="08CD6D5C"/>
    <w:rsid w:val="08DC94D3"/>
    <w:rsid w:val="08DF894A"/>
    <w:rsid w:val="08F6BE5F"/>
    <w:rsid w:val="090C8295"/>
    <w:rsid w:val="091080E6"/>
    <w:rsid w:val="09125337"/>
    <w:rsid w:val="0920914D"/>
    <w:rsid w:val="0926E2DB"/>
    <w:rsid w:val="09295841"/>
    <w:rsid w:val="092A3065"/>
    <w:rsid w:val="092C4513"/>
    <w:rsid w:val="092D99E8"/>
    <w:rsid w:val="092F5756"/>
    <w:rsid w:val="09335998"/>
    <w:rsid w:val="0938DE68"/>
    <w:rsid w:val="09402B48"/>
    <w:rsid w:val="094F2F9C"/>
    <w:rsid w:val="09540FCA"/>
    <w:rsid w:val="0954FCFB"/>
    <w:rsid w:val="09566340"/>
    <w:rsid w:val="095B00F1"/>
    <w:rsid w:val="095F1702"/>
    <w:rsid w:val="09649E82"/>
    <w:rsid w:val="0968D6F9"/>
    <w:rsid w:val="0972F541"/>
    <w:rsid w:val="098B213C"/>
    <w:rsid w:val="09939F6D"/>
    <w:rsid w:val="09978E9D"/>
    <w:rsid w:val="099E2107"/>
    <w:rsid w:val="099EDC89"/>
    <w:rsid w:val="09A0C268"/>
    <w:rsid w:val="09A47884"/>
    <w:rsid w:val="09AF3B4C"/>
    <w:rsid w:val="09B5E6EB"/>
    <w:rsid w:val="09BF5457"/>
    <w:rsid w:val="09C28B7E"/>
    <w:rsid w:val="09CA1471"/>
    <w:rsid w:val="09CEF042"/>
    <w:rsid w:val="09D87759"/>
    <w:rsid w:val="09E22121"/>
    <w:rsid w:val="09EA0399"/>
    <w:rsid w:val="09F34B12"/>
    <w:rsid w:val="0A010EB4"/>
    <w:rsid w:val="0A0433A9"/>
    <w:rsid w:val="0A0E1651"/>
    <w:rsid w:val="0A196D4E"/>
    <w:rsid w:val="0A1A00ED"/>
    <w:rsid w:val="0A2F51B8"/>
    <w:rsid w:val="0A2F7364"/>
    <w:rsid w:val="0A3073BD"/>
    <w:rsid w:val="0A45D89E"/>
    <w:rsid w:val="0A482E05"/>
    <w:rsid w:val="0A50E4B5"/>
    <w:rsid w:val="0A5BEE12"/>
    <w:rsid w:val="0A6DEB56"/>
    <w:rsid w:val="0A88A41D"/>
    <w:rsid w:val="0A9A8C7A"/>
    <w:rsid w:val="0AAF1689"/>
    <w:rsid w:val="0AB04259"/>
    <w:rsid w:val="0AB0C4D6"/>
    <w:rsid w:val="0AB3AB72"/>
    <w:rsid w:val="0ABB787A"/>
    <w:rsid w:val="0ABDACFD"/>
    <w:rsid w:val="0ABDB455"/>
    <w:rsid w:val="0AE96310"/>
    <w:rsid w:val="0AEEC014"/>
    <w:rsid w:val="0B0F97FD"/>
    <w:rsid w:val="0B1545A4"/>
    <w:rsid w:val="0B1C20B3"/>
    <w:rsid w:val="0B1F70B1"/>
    <w:rsid w:val="0B24E032"/>
    <w:rsid w:val="0B26A30F"/>
    <w:rsid w:val="0B28B052"/>
    <w:rsid w:val="0B2A8B71"/>
    <w:rsid w:val="0B365865"/>
    <w:rsid w:val="0B3C8D28"/>
    <w:rsid w:val="0B408E42"/>
    <w:rsid w:val="0B46AA64"/>
    <w:rsid w:val="0B5A6A45"/>
    <w:rsid w:val="0B5AFC59"/>
    <w:rsid w:val="0B6E7529"/>
    <w:rsid w:val="0B7BBBDE"/>
    <w:rsid w:val="0B8C1A1F"/>
    <w:rsid w:val="0B94E731"/>
    <w:rsid w:val="0BAE8C43"/>
    <w:rsid w:val="0BB7284E"/>
    <w:rsid w:val="0BB90D2F"/>
    <w:rsid w:val="0BB9688D"/>
    <w:rsid w:val="0BBECEE9"/>
    <w:rsid w:val="0BC29C2F"/>
    <w:rsid w:val="0BCA6D85"/>
    <w:rsid w:val="0BCC6A80"/>
    <w:rsid w:val="0BDA38B3"/>
    <w:rsid w:val="0BDA7B5E"/>
    <w:rsid w:val="0BEE465B"/>
    <w:rsid w:val="0BEF2C5F"/>
    <w:rsid w:val="0BF895FC"/>
    <w:rsid w:val="0BFD6C44"/>
    <w:rsid w:val="0BFE00A0"/>
    <w:rsid w:val="0BFFA70F"/>
    <w:rsid w:val="0C0155A8"/>
    <w:rsid w:val="0C0DE165"/>
    <w:rsid w:val="0C1038E7"/>
    <w:rsid w:val="0C1BE017"/>
    <w:rsid w:val="0C30B277"/>
    <w:rsid w:val="0C3E1524"/>
    <w:rsid w:val="0C50C9D9"/>
    <w:rsid w:val="0C57BACC"/>
    <w:rsid w:val="0C58F669"/>
    <w:rsid w:val="0C5BF1E9"/>
    <w:rsid w:val="0C622E99"/>
    <w:rsid w:val="0C81B952"/>
    <w:rsid w:val="0C87CFEA"/>
    <w:rsid w:val="0C8B3144"/>
    <w:rsid w:val="0C934881"/>
    <w:rsid w:val="0C993FAB"/>
    <w:rsid w:val="0C9A4F80"/>
    <w:rsid w:val="0C9CEBA9"/>
    <w:rsid w:val="0CBC71A3"/>
    <w:rsid w:val="0CD388EE"/>
    <w:rsid w:val="0CDEAAB7"/>
    <w:rsid w:val="0CE0EFA8"/>
    <w:rsid w:val="0CE5E493"/>
    <w:rsid w:val="0CEBAC80"/>
    <w:rsid w:val="0CEC3A38"/>
    <w:rsid w:val="0CEEC147"/>
    <w:rsid w:val="0CF8D806"/>
    <w:rsid w:val="0CFADDC1"/>
    <w:rsid w:val="0D0342E1"/>
    <w:rsid w:val="0D0B3BBB"/>
    <w:rsid w:val="0D0B9619"/>
    <w:rsid w:val="0D0FEC1E"/>
    <w:rsid w:val="0D1C3E84"/>
    <w:rsid w:val="0D28CF5D"/>
    <w:rsid w:val="0D2AECCA"/>
    <w:rsid w:val="0D36AB25"/>
    <w:rsid w:val="0D36C059"/>
    <w:rsid w:val="0D3A0B1A"/>
    <w:rsid w:val="0D3B7DF4"/>
    <w:rsid w:val="0D3CE7E7"/>
    <w:rsid w:val="0D446085"/>
    <w:rsid w:val="0D50CE33"/>
    <w:rsid w:val="0D53AE35"/>
    <w:rsid w:val="0D685008"/>
    <w:rsid w:val="0D6A2DB4"/>
    <w:rsid w:val="0D6C6DCB"/>
    <w:rsid w:val="0D6FA0D1"/>
    <w:rsid w:val="0D7101A0"/>
    <w:rsid w:val="0D764609"/>
    <w:rsid w:val="0D7A3ED9"/>
    <w:rsid w:val="0D806878"/>
    <w:rsid w:val="0D8F7041"/>
    <w:rsid w:val="0D947884"/>
    <w:rsid w:val="0D9E380B"/>
    <w:rsid w:val="0DA82E63"/>
    <w:rsid w:val="0DABD2AB"/>
    <w:rsid w:val="0DB96D0B"/>
    <w:rsid w:val="0DC0D1A8"/>
    <w:rsid w:val="0DC4E674"/>
    <w:rsid w:val="0DC5254F"/>
    <w:rsid w:val="0DCB3DA7"/>
    <w:rsid w:val="0DD400E3"/>
    <w:rsid w:val="0DD56DBD"/>
    <w:rsid w:val="0DF5A7BE"/>
    <w:rsid w:val="0DFF8CE3"/>
    <w:rsid w:val="0E0308C8"/>
    <w:rsid w:val="0E0BF8C8"/>
    <w:rsid w:val="0E0C19D2"/>
    <w:rsid w:val="0E15953F"/>
    <w:rsid w:val="0E177268"/>
    <w:rsid w:val="0E19E6BD"/>
    <w:rsid w:val="0E1DE56A"/>
    <w:rsid w:val="0E21D03F"/>
    <w:rsid w:val="0E35F760"/>
    <w:rsid w:val="0E4125A3"/>
    <w:rsid w:val="0E421587"/>
    <w:rsid w:val="0E4542EF"/>
    <w:rsid w:val="0E62A854"/>
    <w:rsid w:val="0E6D1FCD"/>
    <w:rsid w:val="0E7136F0"/>
    <w:rsid w:val="0E777450"/>
    <w:rsid w:val="0E7E3DC6"/>
    <w:rsid w:val="0EA91D83"/>
    <w:rsid w:val="0EB4323F"/>
    <w:rsid w:val="0EB8F3E4"/>
    <w:rsid w:val="0EB9FBAE"/>
    <w:rsid w:val="0EBCEA0C"/>
    <w:rsid w:val="0EBDB643"/>
    <w:rsid w:val="0EC10B52"/>
    <w:rsid w:val="0EC673B2"/>
    <w:rsid w:val="0EC91676"/>
    <w:rsid w:val="0EC91925"/>
    <w:rsid w:val="0ED3FBC9"/>
    <w:rsid w:val="0EDDBB52"/>
    <w:rsid w:val="0EEBC782"/>
    <w:rsid w:val="0EECFC8B"/>
    <w:rsid w:val="0F01CC5C"/>
    <w:rsid w:val="0F021214"/>
    <w:rsid w:val="0F061EF7"/>
    <w:rsid w:val="0F062F94"/>
    <w:rsid w:val="0F09EC94"/>
    <w:rsid w:val="0F11211A"/>
    <w:rsid w:val="0F1929F0"/>
    <w:rsid w:val="0F19503C"/>
    <w:rsid w:val="0F1EF2EA"/>
    <w:rsid w:val="0F220F14"/>
    <w:rsid w:val="0F224EFE"/>
    <w:rsid w:val="0F240AD7"/>
    <w:rsid w:val="0F26C998"/>
    <w:rsid w:val="0F2A5119"/>
    <w:rsid w:val="0F2AE5AB"/>
    <w:rsid w:val="0F2FB1BA"/>
    <w:rsid w:val="0F455FBC"/>
    <w:rsid w:val="0F490757"/>
    <w:rsid w:val="0F4E99B5"/>
    <w:rsid w:val="0F55D871"/>
    <w:rsid w:val="0F5DACC0"/>
    <w:rsid w:val="0F6B78C2"/>
    <w:rsid w:val="0F6EFEEA"/>
    <w:rsid w:val="0F79CA1C"/>
    <w:rsid w:val="0F7DC6FC"/>
    <w:rsid w:val="0F87E352"/>
    <w:rsid w:val="0F884243"/>
    <w:rsid w:val="0F921295"/>
    <w:rsid w:val="0F9B1772"/>
    <w:rsid w:val="0FA026E7"/>
    <w:rsid w:val="0FA95CB2"/>
    <w:rsid w:val="0FB59968"/>
    <w:rsid w:val="0FB9ECF4"/>
    <w:rsid w:val="0FCC3DE4"/>
    <w:rsid w:val="0FCEA35C"/>
    <w:rsid w:val="0FCFE3E9"/>
    <w:rsid w:val="0FD08DE0"/>
    <w:rsid w:val="0FD6074C"/>
    <w:rsid w:val="0FDE08F9"/>
    <w:rsid w:val="0FDE6502"/>
    <w:rsid w:val="0FF851BD"/>
    <w:rsid w:val="0FF91298"/>
    <w:rsid w:val="0FF96BEF"/>
    <w:rsid w:val="0FFF5F1D"/>
    <w:rsid w:val="10053162"/>
    <w:rsid w:val="10172A96"/>
    <w:rsid w:val="101CACB7"/>
    <w:rsid w:val="101FE413"/>
    <w:rsid w:val="10391115"/>
    <w:rsid w:val="103F8F01"/>
    <w:rsid w:val="105064C6"/>
    <w:rsid w:val="1051A39B"/>
    <w:rsid w:val="105890BA"/>
    <w:rsid w:val="1062E0DA"/>
    <w:rsid w:val="10630F21"/>
    <w:rsid w:val="10655D52"/>
    <w:rsid w:val="1066DF3C"/>
    <w:rsid w:val="106813A2"/>
    <w:rsid w:val="10735FB9"/>
    <w:rsid w:val="107BA64F"/>
    <w:rsid w:val="107D018E"/>
    <w:rsid w:val="107F79B4"/>
    <w:rsid w:val="10853957"/>
    <w:rsid w:val="1085DC27"/>
    <w:rsid w:val="108D1333"/>
    <w:rsid w:val="10919E58"/>
    <w:rsid w:val="10B016FD"/>
    <w:rsid w:val="10B286A7"/>
    <w:rsid w:val="10B4E0D2"/>
    <w:rsid w:val="10B61888"/>
    <w:rsid w:val="10B6D8CC"/>
    <w:rsid w:val="10BB10DC"/>
    <w:rsid w:val="10C72F19"/>
    <w:rsid w:val="10CE38EC"/>
    <w:rsid w:val="10D0E6DE"/>
    <w:rsid w:val="10D4DF77"/>
    <w:rsid w:val="10D93BB4"/>
    <w:rsid w:val="10DA8AA1"/>
    <w:rsid w:val="10E43AA4"/>
    <w:rsid w:val="10E4F729"/>
    <w:rsid w:val="10E8CA72"/>
    <w:rsid w:val="10EC1438"/>
    <w:rsid w:val="10EE25B4"/>
    <w:rsid w:val="10F679BD"/>
    <w:rsid w:val="10F789CF"/>
    <w:rsid w:val="1103777E"/>
    <w:rsid w:val="110B90CD"/>
    <w:rsid w:val="110C01B2"/>
    <w:rsid w:val="110C3ADB"/>
    <w:rsid w:val="1114E93E"/>
    <w:rsid w:val="111F125A"/>
    <w:rsid w:val="111F7A7A"/>
    <w:rsid w:val="1126F47E"/>
    <w:rsid w:val="1130B4BB"/>
    <w:rsid w:val="1130EEBF"/>
    <w:rsid w:val="1134F993"/>
    <w:rsid w:val="113F2EB0"/>
    <w:rsid w:val="114849AC"/>
    <w:rsid w:val="115060FA"/>
    <w:rsid w:val="1151B8A7"/>
    <w:rsid w:val="11A0C43A"/>
    <w:rsid w:val="11A1B62D"/>
    <w:rsid w:val="11AA2270"/>
    <w:rsid w:val="11ADF0AC"/>
    <w:rsid w:val="11B0AD1B"/>
    <w:rsid w:val="11C151C2"/>
    <w:rsid w:val="11C75746"/>
    <w:rsid w:val="11CEFBAF"/>
    <w:rsid w:val="11E6090B"/>
    <w:rsid w:val="11E8A60E"/>
    <w:rsid w:val="11EF4C16"/>
    <w:rsid w:val="11F4638A"/>
    <w:rsid w:val="11F680DC"/>
    <w:rsid w:val="11F70F89"/>
    <w:rsid w:val="12036130"/>
    <w:rsid w:val="120D1230"/>
    <w:rsid w:val="1217F310"/>
    <w:rsid w:val="122676FC"/>
    <w:rsid w:val="12270A2D"/>
    <w:rsid w:val="122DD01B"/>
    <w:rsid w:val="122FD537"/>
    <w:rsid w:val="1231B106"/>
    <w:rsid w:val="124B956C"/>
    <w:rsid w:val="124BBE58"/>
    <w:rsid w:val="12635A39"/>
    <w:rsid w:val="1267D9BC"/>
    <w:rsid w:val="12693E06"/>
    <w:rsid w:val="126EEBE3"/>
    <w:rsid w:val="12862443"/>
    <w:rsid w:val="1293F486"/>
    <w:rsid w:val="129D0D24"/>
    <w:rsid w:val="12A76C46"/>
    <w:rsid w:val="12AA4DFD"/>
    <w:rsid w:val="12AD989C"/>
    <w:rsid w:val="12B14695"/>
    <w:rsid w:val="12B2557D"/>
    <w:rsid w:val="12C4464E"/>
    <w:rsid w:val="12CDF72A"/>
    <w:rsid w:val="12CE657D"/>
    <w:rsid w:val="12CEB917"/>
    <w:rsid w:val="12D53B1A"/>
    <w:rsid w:val="12EC2A4C"/>
    <w:rsid w:val="12EE3231"/>
    <w:rsid w:val="12F1CCCE"/>
    <w:rsid w:val="12FB2D53"/>
    <w:rsid w:val="12FD3D18"/>
    <w:rsid w:val="13025DA1"/>
    <w:rsid w:val="13102026"/>
    <w:rsid w:val="13163320"/>
    <w:rsid w:val="1318DDAB"/>
    <w:rsid w:val="131CA4B9"/>
    <w:rsid w:val="132EA100"/>
    <w:rsid w:val="132F5FF3"/>
    <w:rsid w:val="13378356"/>
    <w:rsid w:val="133A13E8"/>
    <w:rsid w:val="134047F1"/>
    <w:rsid w:val="134A86C5"/>
    <w:rsid w:val="134E65A0"/>
    <w:rsid w:val="1356E963"/>
    <w:rsid w:val="135BA81E"/>
    <w:rsid w:val="13622F39"/>
    <w:rsid w:val="1378C67E"/>
    <w:rsid w:val="13798CD5"/>
    <w:rsid w:val="137DA257"/>
    <w:rsid w:val="137E4780"/>
    <w:rsid w:val="137F06AC"/>
    <w:rsid w:val="1381F07F"/>
    <w:rsid w:val="13822F77"/>
    <w:rsid w:val="13832AD5"/>
    <w:rsid w:val="138BE2CF"/>
    <w:rsid w:val="13945ED8"/>
    <w:rsid w:val="1398D214"/>
    <w:rsid w:val="1399FFBD"/>
    <w:rsid w:val="139C5F6B"/>
    <w:rsid w:val="139E3E94"/>
    <w:rsid w:val="13A6DB02"/>
    <w:rsid w:val="13B4702C"/>
    <w:rsid w:val="13C13273"/>
    <w:rsid w:val="13C751B0"/>
    <w:rsid w:val="13CF7EFB"/>
    <w:rsid w:val="13D1E133"/>
    <w:rsid w:val="13D8D77C"/>
    <w:rsid w:val="13D90A7D"/>
    <w:rsid w:val="13D9D300"/>
    <w:rsid w:val="13E35F00"/>
    <w:rsid w:val="13F7309D"/>
    <w:rsid w:val="1408627A"/>
    <w:rsid w:val="1409B1E7"/>
    <w:rsid w:val="140D73C8"/>
    <w:rsid w:val="1410ADD5"/>
    <w:rsid w:val="142A2673"/>
    <w:rsid w:val="1436F674"/>
    <w:rsid w:val="143E4976"/>
    <w:rsid w:val="14416364"/>
    <w:rsid w:val="144ACD0B"/>
    <w:rsid w:val="14584186"/>
    <w:rsid w:val="146504FB"/>
    <w:rsid w:val="146A662C"/>
    <w:rsid w:val="146A7F8E"/>
    <w:rsid w:val="14711263"/>
    <w:rsid w:val="147425D5"/>
    <w:rsid w:val="14817A87"/>
    <w:rsid w:val="148A383E"/>
    <w:rsid w:val="149EB663"/>
    <w:rsid w:val="14A0EFB3"/>
    <w:rsid w:val="14A678AF"/>
    <w:rsid w:val="14B57451"/>
    <w:rsid w:val="14C3F490"/>
    <w:rsid w:val="14D7A9D9"/>
    <w:rsid w:val="14E0F94A"/>
    <w:rsid w:val="14E7EFC5"/>
    <w:rsid w:val="14ECE623"/>
    <w:rsid w:val="14ED73EA"/>
    <w:rsid w:val="14F67A3D"/>
    <w:rsid w:val="14F6D970"/>
    <w:rsid w:val="14FB470B"/>
    <w:rsid w:val="14FFDED4"/>
    <w:rsid w:val="150029BC"/>
    <w:rsid w:val="1503DB92"/>
    <w:rsid w:val="150C3C55"/>
    <w:rsid w:val="150D1D24"/>
    <w:rsid w:val="151A8B61"/>
    <w:rsid w:val="15282ABD"/>
    <w:rsid w:val="152B83F5"/>
    <w:rsid w:val="153E162C"/>
    <w:rsid w:val="154C3722"/>
    <w:rsid w:val="155232AE"/>
    <w:rsid w:val="155531B6"/>
    <w:rsid w:val="1555F5CB"/>
    <w:rsid w:val="15565425"/>
    <w:rsid w:val="155A4F5B"/>
    <w:rsid w:val="157813A8"/>
    <w:rsid w:val="1586FEAB"/>
    <w:rsid w:val="15877D21"/>
    <w:rsid w:val="158AF249"/>
    <w:rsid w:val="15926188"/>
    <w:rsid w:val="1592ADE5"/>
    <w:rsid w:val="159EA3D1"/>
    <w:rsid w:val="15B31466"/>
    <w:rsid w:val="15BA7823"/>
    <w:rsid w:val="15BAF0B8"/>
    <w:rsid w:val="15CEC448"/>
    <w:rsid w:val="15D29C65"/>
    <w:rsid w:val="15E99564"/>
    <w:rsid w:val="15F2862B"/>
    <w:rsid w:val="15F649E3"/>
    <w:rsid w:val="1607DB8C"/>
    <w:rsid w:val="16091698"/>
    <w:rsid w:val="160996A4"/>
    <w:rsid w:val="16165F07"/>
    <w:rsid w:val="1618B740"/>
    <w:rsid w:val="16364842"/>
    <w:rsid w:val="16416589"/>
    <w:rsid w:val="1656A6C4"/>
    <w:rsid w:val="1661E78F"/>
    <w:rsid w:val="1669C6B9"/>
    <w:rsid w:val="167013A0"/>
    <w:rsid w:val="1678D0C4"/>
    <w:rsid w:val="1680696F"/>
    <w:rsid w:val="168AF98D"/>
    <w:rsid w:val="168DD145"/>
    <w:rsid w:val="168E6962"/>
    <w:rsid w:val="168FDEC3"/>
    <w:rsid w:val="16A7C710"/>
    <w:rsid w:val="16ADEBFB"/>
    <w:rsid w:val="16AEA97A"/>
    <w:rsid w:val="16B03FB4"/>
    <w:rsid w:val="16B2C37F"/>
    <w:rsid w:val="16B7B2FF"/>
    <w:rsid w:val="16BB3E1A"/>
    <w:rsid w:val="16C5EFD2"/>
    <w:rsid w:val="16DAC60B"/>
    <w:rsid w:val="16DCAF75"/>
    <w:rsid w:val="16DE7D0D"/>
    <w:rsid w:val="16DF0A94"/>
    <w:rsid w:val="16E3BAF0"/>
    <w:rsid w:val="16E6E99C"/>
    <w:rsid w:val="16E86665"/>
    <w:rsid w:val="16F08F99"/>
    <w:rsid w:val="16F3C3CD"/>
    <w:rsid w:val="1700B21C"/>
    <w:rsid w:val="17116F2B"/>
    <w:rsid w:val="1717E873"/>
    <w:rsid w:val="171C8B2F"/>
    <w:rsid w:val="171F3A00"/>
    <w:rsid w:val="1724C527"/>
    <w:rsid w:val="1729009B"/>
    <w:rsid w:val="172EF238"/>
    <w:rsid w:val="1730F86F"/>
    <w:rsid w:val="1734FB8E"/>
    <w:rsid w:val="1745A80F"/>
    <w:rsid w:val="174ADD2D"/>
    <w:rsid w:val="174C1195"/>
    <w:rsid w:val="174CB447"/>
    <w:rsid w:val="17547297"/>
    <w:rsid w:val="1757CC2A"/>
    <w:rsid w:val="1762F90B"/>
    <w:rsid w:val="1767735E"/>
    <w:rsid w:val="17678E28"/>
    <w:rsid w:val="1767E549"/>
    <w:rsid w:val="1771EBD2"/>
    <w:rsid w:val="178DA9DA"/>
    <w:rsid w:val="1799FD0F"/>
    <w:rsid w:val="17A37FC7"/>
    <w:rsid w:val="17A45AEB"/>
    <w:rsid w:val="17AB76D9"/>
    <w:rsid w:val="17AF05A5"/>
    <w:rsid w:val="17B150ED"/>
    <w:rsid w:val="17B5B33A"/>
    <w:rsid w:val="17B600D5"/>
    <w:rsid w:val="17BB7505"/>
    <w:rsid w:val="17BBF187"/>
    <w:rsid w:val="17BD2392"/>
    <w:rsid w:val="17C6C1D6"/>
    <w:rsid w:val="17CD4AD7"/>
    <w:rsid w:val="17DD8E30"/>
    <w:rsid w:val="17E063F3"/>
    <w:rsid w:val="17E79CEB"/>
    <w:rsid w:val="17ED7261"/>
    <w:rsid w:val="17F55C5C"/>
    <w:rsid w:val="17FFE6FF"/>
    <w:rsid w:val="1816E16E"/>
    <w:rsid w:val="181C9EC9"/>
    <w:rsid w:val="181FC0EE"/>
    <w:rsid w:val="1823F6F6"/>
    <w:rsid w:val="18246E7A"/>
    <w:rsid w:val="182DD861"/>
    <w:rsid w:val="18353AEE"/>
    <w:rsid w:val="1835E35F"/>
    <w:rsid w:val="18363C46"/>
    <w:rsid w:val="183E3157"/>
    <w:rsid w:val="184E9496"/>
    <w:rsid w:val="18519FDA"/>
    <w:rsid w:val="1852419A"/>
    <w:rsid w:val="186C833A"/>
    <w:rsid w:val="186C966C"/>
    <w:rsid w:val="186DDD2C"/>
    <w:rsid w:val="186E8ACF"/>
    <w:rsid w:val="18726610"/>
    <w:rsid w:val="1876DAFC"/>
    <w:rsid w:val="18772303"/>
    <w:rsid w:val="18796845"/>
    <w:rsid w:val="187F653A"/>
    <w:rsid w:val="1885B053"/>
    <w:rsid w:val="18A0B4D0"/>
    <w:rsid w:val="18A636E7"/>
    <w:rsid w:val="18A7420A"/>
    <w:rsid w:val="18AE9B55"/>
    <w:rsid w:val="18AFA434"/>
    <w:rsid w:val="18BBCCFE"/>
    <w:rsid w:val="18BBD8BF"/>
    <w:rsid w:val="18BFC0B7"/>
    <w:rsid w:val="18C56691"/>
    <w:rsid w:val="18C9F4A5"/>
    <w:rsid w:val="18D72602"/>
    <w:rsid w:val="18DD405B"/>
    <w:rsid w:val="18E460AC"/>
    <w:rsid w:val="18E8C0DA"/>
    <w:rsid w:val="18F091C1"/>
    <w:rsid w:val="18F2D098"/>
    <w:rsid w:val="18FEA23C"/>
    <w:rsid w:val="190A58E7"/>
    <w:rsid w:val="190DBA66"/>
    <w:rsid w:val="190DE1A5"/>
    <w:rsid w:val="190E740F"/>
    <w:rsid w:val="192996E1"/>
    <w:rsid w:val="1935E5AA"/>
    <w:rsid w:val="19390F42"/>
    <w:rsid w:val="193B01FB"/>
    <w:rsid w:val="193C0654"/>
    <w:rsid w:val="1966720A"/>
    <w:rsid w:val="196C7DAB"/>
    <w:rsid w:val="196DAD0D"/>
    <w:rsid w:val="19705D99"/>
    <w:rsid w:val="1976AC24"/>
    <w:rsid w:val="198464DE"/>
    <w:rsid w:val="198E63CC"/>
    <w:rsid w:val="199AD43C"/>
    <w:rsid w:val="199D58F5"/>
    <w:rsid w:val="19D42B1B"/>
    <w:rsid w:val="19D6C242"/>
    <w:rsid w:val="19E05AEE"/>
    <w:rsid w:val="19EAB6BE"/>
    <w:rsid w:val="19FD8C0B"/>
    <w:rsid w:val="1A06EF78"/>
    <w:rsid w:val="1A0B6017"/>
    <w:rsid w:val="1A1913A6"/>
    <w:rsid w:val="1A211153"/>
    <w:rsid w:val="1A25ED6A"/>
    <w:rsid w:val="1A27AEA2"/>
    <w:rsid w:val="1A35EA0C"/>
    <w:rsid w:val="1A3FF1D5"/>
    <w:rsid w:val="1A46201A"/>
    <w:rsid w:val="1A588082"/>
    <w:rsid w:val="1A5DA885"/>
    <w:rsid w:val="1A5FC7FA"/>
    <w:rsid w:val="1A7B1586"/>
    <w:rsid w:val="1A81B27A"/>
    <w:rsid w:val="1A855CB3"/>
    <w:rsid w:val="1A856AE8"/>
    <w:rsid w:val="1A8E4282"/>
    <w:rsid w:val="1A90FB0E"/>
    <w:rsid w:val="1AA67DC7"/>
    <w:rsid w:val="1AA7F300"/>
    <w:rsid w:val="1AAB9DD3"/>
    <w:rsid w:val="1AB90CF9"/>
    <w:rsid w:val="1ABDCEC8"/>
    <w:rsid w:val="1AC6BEDA"/>
    <w:rsid w:val="1ACF1F69"/>
    <w:rsid w:val="1AD13B9F"/>
    <w:rsid w:val="1AD7CAA6"/>
    <w:rsid w:val="1ADA9B74"/>
    <w:rsid w:val="1ADD4DF5"/>
    <w:rsid w:val="1AF480BD"/>
    <w:rsid w:val="1B00B5B5"/>
    <w:rsid w:val="1B0F175C"/>
    <w:rsid w:val="1B1BB625"/>
    <w:rsid w:val="1B1F3DA4"/>
    <w:rsid w:val="1B3308C1"/>
    <w:rsid w:val="1B3387EC"/>
    <w:rsid w:val="1B33E700"/>
    <w:rsid w:val="1B3A7443"/>
    <w:rsid w:val="1B43C950"/>
    <w:rsid w:val="1B57E438"/>
    <w:rsid w:val="1B5D34B6"/>
    <w:rsid w:val="1B64A268"/>
    <w:rsid w:val="1B72A066"/>
    <w:rsid w:val="1B7A0253"/>
    <w:rsid w:val="1B8234A1"/>
    <w:rsid w:val="1B841D20"/>
    <w:rsid w:val="1B88F6E9"/>
    <w:rsid w:val="1B8BCC9D"/>
    <w:rsid w:val="1B90C32E"/>
    <w:rsid w:val="1B9A2353"/>
    <w:rsid w:val="1BB4870C"/>
    <w:rsid w:val="1BC2D8ED"/>
    <w:rsid w:val="1BD4BED2"/>
    <w:rsid w:val="1BD82AF0"/>
    <w:rsid w:val="1BDB0DE8"/>
    <w:rsid w:val="1BDB7A1A"/>
    <w:rsid w:val="1BDDF92E"/>
    <w:rsid w:val="1BE228D8"/>
    <w:rsid w:val="1BEB5702"/>
    <w:rsid w:val="1C03E2B2"/>
    <w:rsid w:val="1C10DC9F"/>
    <w:rsid w:val="1C27C1A6"/>
    <w:rsid w:val="1C288E6E"/>
    <w:rsid w:val="1C2E7E26"/>
    <w:rsid w:val="1C3A8DFE"/>
    <w:rsid w:val="1C4315D5"/>
    <w:rsid w:val="1C4FED83"/>
    <w:rsid w:val="1C64436D"/>
    <w:rsid w:val="1C6CA3AF"/>
    <w:rsid w:val="1C705658"/>
    <w:rsid w:val="1C8EE1E1"/>
    <w:rsid w:val="1C91EF31"/>
    <w:rsid w:val="1CB658C6"/>
    <w:rsid w:val="1CB93D66"/>
    <w:rsid w:val="1CCCD894"/>
    <w:rsid w:val="1CD49937"/>
    <w:rsid w:val="1CE1EBAC"/>
    <w:rsid w:val="1CE254AC"/>
    <w:rsid w:val="1CE8256A"/>
    <w:rsid w:val="1CF5B9FE"/>
    <w:rsid w:val="1CFCD0ED"/>
    <w:rsid w:val="1D01335C"/>
    <w:rsid w:val="1D14EDF9"/>
    <w:rsid w:val="1D159177"/>
    <w:rsid w:val="1D21810D"/>
    <w:rsid w:val="1D27F185"/>
    <w:rsid w:val="1D29AC32"/>
    <w:rsid w:val="1D50A0E9"/>
    <w:rsid w:val="1D52DE5A"/>
    <w:rsid w:val="1D563B52"/>
    <w:rsid w:val="1D5909D1"/>
    <w:rsid w:val="1D5ADE49"/>
    <w:rsid w:val="1D5F8A9B"/>
    <w:rsid w:val="1D5FA8BB"/>
    <w:rsid w:val="1D67EF88"/>
    <w:rsid w:val="1D6898D4"/>
    <w:rsid w:val="1D753656"/>
    <w:rsid w:val="1D7FEBAA"/>
    <w:rsid w:val="1D845E84"/>
    <w:rsid w:val="1D8C572E"/>
    <w:rsid w:val="1D8DB3D6"/>
    <w:rsid w:val="1D99BC80"/>
    <w:rsid w:val="1D9B31F6"/>
    <w:rsid w:val="1D9E043F"/>
    <w:rsid w:val="1D9F1907"/>
    <w:rsid w:val="1DA10591"/>
    <w:rsid w:val="1DA27369"/>
    <w:rsid w:val="1DAB1995"/>
    <w:rsid w:val="1DB4DFE3"/>
    <w:rsid w:val="1DB6C1C1"/>
    <w:rsid w:val="1DC3DE20"/>
    <w:rsid w:val="1DCAF493"/>
    <w:rsid w:val="1DCD6CC7"/>
    <w:rsid w:val="1DD7C291"/>
    <w:rsid w:val="1DE7EFF1"/>
    <w:rsid w:val="1DF52380"/>
    <w:rsid w:val="1DF757C9"/>
    <w:rsid w:val="1DF7DD29"/>
    <w:rsid w:val="1DF91A37"/>
    <w:rsid w:val="1DF9A598"/>
    <w:rsid w:val="1DF9F81A"/>
    <w:rsid w:val="1E00DE5B"/>
    <w:rsid w:val="1E01E765"/>
    <w:rsid w:val="1E045BC9"/>
    <w:rsid w:val="1E04B4CF"/>
    <w:rsid w:val="1E10D3BB"/>
    <w:rsid w:val="1E1A7A44"/>
    <w:rsid w:val="1E2A6A2B"/>
    <w:rsid w:val="1E2F0E9C"/>
    <w:rsid w:val="1E3E8C40"/>
    <w:rsid w:val="1E4902BD"/>
    <w:rsid w:val="1E58FE36"/>
    <w:rsid w:val="1E5D7C9D"/>
    <w:rsid w:val="1E5F0773"/>
    <w:rsid w:val="1E5F3D93"/>
    <w:rsid w:val="1E66E07F"/>
    <w:rsid w:val="1E77FAEF"/>
    <w:rsid w:val="1E78D6B2"/>
    <w:rsid w:val="1E7B3362"/>
    <w:rsid w:val="1E806ABE"/>
    <w:rsid w:val="1E87E208"/>
    <w:rsid w:val="1E89FA59"/>
    <w:rsid w:val="1E8ACC92"/>
    <w:rsid w:val="1E8EEBA6"/>
    <w:rsid w:val="1EA24CB3"/>
    <w:rsid w:val="1EA7342E"/>
    <w:rsid w:val="1EACE07D"/>
    <w:rsid w:val="1EB27318"/>
    <w:rsid w:val="1EB58E29"/>
    <w:rsid w:val="1EC5FBE7"/>
    <w:rsid w:val="1ECB32B6"/>
    <w:rsid w:val="1ECD8C79"/>
    <w:rsid w:val="1EDBF3BC"/>
    <w:rsid w:val="1EF3A668"/>
    <w:rsid w:val="1EFE8E1E"/>
    <w:rsid w:val="1F004894"/>
    <w:rsid w:val="1F02AB18"/>
    <w:rsid w:val="1F156FA7"/>
    <w:rsid w:val="1F2CA721"/>
    <w:rsid w:val="1F2E66E9"/>
    <w:rsid w:val="1F3341BF"/>
    <w:rsid w:val="1F3BAAAB"/>
    <w:rsid w:val="1F43E0E1"/>
    <w:rsid w:val="1F484A4C"/>
    <w:rsid w:val="1F4DAF3C"/>
    <w:rsid w:val="1F560BFC"/>
    <w:rsid w:val="1F5E890A"/>
    <w:rsid w:val="1F6688D4"/>
    <w:rsid w:val="1F751854"/>
    <w:rsid w:val="1F770C49"/>
    <w:rsid w:val="1F7BF9EE"/>
    <w:rsid w:val="1F89B6DB"/>
    <w:rsid w:val="1F96C811"/>
    <w:rsid w:val="1FA8140C"/>
    <w:rsid w:val="1FADA98E"/>
    <w:rsid w:val="1FAF6E34"/>
    <w:rsid w:val="1FB222A6"/>
    <w:rsid w:val="1FCFC961"/>
    <w:rsid w:val="1FD2034C"/>
    <w:rsid w:val="1FD2D3B8"/>
    <w:rsid w:val="1FD367A0"/>
    <w:rsid w:val="1FD5F1D8"/>
    <w:rsid w:val="1FDDF5AE"/>
    <w:rsid w:val="1FDFE887"/>
    <w:rsid w:val="1FE4EF55"/>
    <w:rsid w:val="2000D149"/>
    <w:rsid w:val="201711A7"/>
    <w:rsid w:val="201C19D9"/>
    <w:rsid w:val="202019F4"/>
    <w:rsid w:val="20293636"/>
    <w:rsid w:val="20339B05"/>
    <w:rsid w:val="20371B22"/>
    <w:rsid w:val="20464045"/>
    <w:rsid w:val="204921E1"/>
    <w:rsid w:val="204F3206"/>
    <w:rsid w:val="205DEF25"/>
    <w:rsid w:val="206A537B"/>
    <w:rsid w:val="206B53BC"/>
    <w:rsid w:val="207B96BF"/>
    <w:rsid w:val="207CC02D"/>
    <w:rsid w:val="2082BC69"/>
    <w:rsid w:val="208806DA"/>
    <w:rsid w:val="208ADA91"/>
    <w:rsid w:val="208EAB80"/>
    <w:rsid w:val="209C5833"/>
    <w:rsid w:val="20A1DD51"/>
    <w:rsid w:val="20A76C04"/>
    <w:rsid w:val="20B4C79D"/>
    <w:rsid w:val="20C23E60"/>
    <w:rsid w:val="20C4CFE0"/>
    <w:rsid w:val="20C8EEA7"/>
    <w:rsid w:val="20D2CEDD"/>
    <w:rsid w:val="20EB5BBE"/>
    <w:rsid w:val="20F221A8"/>
    <w:rsid w:val="20F3138A"/>
    <w:rsid w:val="21000910"/>
    <w:rsid w:val="210253DD"/>
    <w:rsid w:val="21085E2A"/>
    <w:rsid w:val="210F253C"/>
    <w:rsid w:val="2119D81F"/>
    <w:rsid w:val="211CDDA8"/>
    <w:rsid w:val="211FCE29"/>
    <w:rsid w:val="212B5B5C"/>
    <w:rsid w:val="213C659D"/>
    <w:rsid w:val="213C97B5"/>
    <w:rsid w:val="2143C83A"/>
    <w:rsid w:val="214E5919"/>
    <w:rsid w:val="21565C3E"/>
    <w:rsid w:val="215BA927"/>
    <w:rsid w:val="216AB743"/>
    <w:rsid w:val="216F8D9F"/>
    <w:rsid w:val="21802E28"/>
    <w:rsid w:val="21870213"/>
    <w:rsid w:val="21AC6FA3"/>
    <w:rsid w:val="21B56976"/>
    <w:rsid w:val="21B7C108"/>
    <w:rsid w:val="21BC12EF"/>
    <w:rsid w:val="21BD6509"/>
    <w:rsid w:val="21BE7674"/>
    <w:rsid w:val="21D0391A"/>
    <w:rsid w:val="21D40CC0"/>
    <w:rsid w:val="21E330B8"/>
    <w:rsid w:val="21E48922"/>
    <w:rsid w:val="21E92561"/>
    <w:rsid w:val="21EC8327"/>
    <w:rsid w:val="21FA455C"/>
    <w:rsid w:val="21FB3145"/>
    <w:rsid w:val="22034585"/>
    <w:rsid w:val="220F0B0B"/>
    <w:rsid w:val="221213C4"/>
    <w:rsid w:val="2213E8EC"/>
    <w:rsid w:val="221B62ED"/>
    <w:rsid w:val="221E4E5D"/>
    <w:rsid w:val="2225748D"/>
    <w:rsid w:val="2232BC92"/>
    <w:rsid w:val="2235358A"/>
    <w:rsid w:val="223646FA"/>
    <w:rsid w:val="22374FA8"/>
    <w:rsid w:val="223825EA"/>
    <w:rsid w:val="22452393"/>
    <w:rsid w:val="224C22D1"/>
    <w:rsid w:val="22695636"/>
    <w:rsid w:val="22762D9B"/>
    <w:rsid w:val="22781BE9"/>
    <w:rsid w:val="228375D3"/>
    <w:rsid w:val="2285B746"/>
    <w:rsid w:val="228649F9"/>
    <w:rsid w:val="228B713B"/>
    <w:rsid w:val="228BC3A9"/>
    <w:rsid w:val="229058D9"/>
    <w:rsid w:val="22977A2A"/>
    <w:rsid w:val="22999D7A"/>
    <w:rsid w:val="229BB0F6"/>
    <w:rsid w:val="229E56FF"/>
    <w:rsid w:val="22B0CDEE"/>
    <w:rsid w:val="22B539B0"/>
    <w:rsid w:val="22B627B9"/>
    <w:rsid w:val="22CC9D26"/>
    <w:rsid w:val="22CF83BE"/>
    <w:rsid w:val="22D8F60A"/>
    <w:rsid w:val="22DAB52D"/>
    <w:rsid w:val="22E2EEB7"/>
    <w:rsid w:val="23093D02"/>
    <w:rsid w:val="2309A076"/>
    <w:rsid w:val="2311DAAC"/>
    <w:rsid w:val="231487B7"/>
    <w:rsid w:val="231C2C97"/>
    <w:rsid w:val="2320C668"/>
    <w:rsid w:val="2326EAC6"/>
    <w:rsid w:val="232FE87E"/>
    <w:rsid w:val="234DC32C"/>
    <w:rsid w:val="2368C971"/>
    <w:rsid w:val="236E189D"/>
    <w:rsid w:val="23808560"/>
    <w:rsid w:val="238AA01F"/>
    <w:rsid w:val="23900C7E"/>
    <w:rsid w:val="239B24CB"/>
    <w:rsid w:val="23AA995A"/>
    <w:rsid w:val="23BA6096"/>
    <w:rsid w:val="23CA0DAF"/>
    <w:rsid w:val="23CA589B"/>
    <w:rsid w:val="23D4B8EB"/>
    <w:rsid w:val="23D8BC89"/>
    <w:rsid w:val="23D90240"/>
    <w:rsid w:val="23E96381"/>
    <w:rsid w:val="241AD121"/>
    <w:rsid w:val="24202A61"/>
    <w:rsid w:val="242709DF"/>
    <w:rsid w:val="242CCED7"/>
    <w:rsid w:val="24502986"/>
    <w:rsid w:val="245E87CB"/>
    <w:rsid w:val="2461668C"/>
    <w:rsid w:val="246E970A"/>
    <w:rsid w:val="2472325A"/>
    <w:rsid w:val="248856E7"/>
    <w:rsid w:val="248B3B94"/>
    <w:rsid w:val="248C6F8C"/>
    <w:rsid w:val="248CE7F9"/>
    <w:rsid w:val="248D1A8C"/>
    <w:rsid w:val="24A4E1EB"/>
    <w:rsid w:val="24A69A13"/>
    <w:rsid w:val="24AE4858"/>
    <w:rsid w:val="24BDB0B9"/>
    <w:rsid w:val="24C6E212"/>
    <w:rsid w:val="24CC4860"/>
    <w:rsid w:val="24DA4ECC"/>
    <w:rsid w:val="24EEBAB6"/>
    <w:rsid w:val="24F0F1D7"/>
    <w:rsid w:val="24F2DC14"/>
    <w:rsid w:val="25041332"/>
    <w:rsid w:val="253EBEDA"/>
    <w:rsid w:val="254B26CB"/>
    <w:rsid w:val="2550EED0"/>
    <w:rsid w:val="2554A51C"/>
    <w:rsid w:val="2554C6C4"/>
    <w:rsid w:val="256FFB6C"/>
    <w:rsid w:val="257EDC7E"/>
    <w:rsid w:val="2592D3C3"/>
    <w:rsid w:val="2595688D"/>
    <w:rsid w:val="2598BE1B"/>
    <w:rsid w:val="25A98B6F"/>
    <w:rsid w:val="25B872E6"/>
    <w:rsid w:val="25BB7399"/>
    <w:rsid w:val="25BFBB8B"/>
    <w:rsid w:val="25E5E2B8"/>
    <w:rsid w:val="25E7F9EA"/>
    <w:rsid w:val="25FAA5D2"/>
    <w:rsid w:val="260A1D62"/>
    <w:rsid w:val="260BF8E8"/>
    <w:rsid w:val="26196C77"/>
    <w:rsid w:val="262204DB"/>
    <w:rsid w:val="262556E1"/>
    <w:rsid w:val="262C13A0"/>
    <w:rsid w:val="262E4E4A"/>
    <w:rsid w:val="26314AD0"/>
    <w:rsid w:val="26363E31"/>
    <w:rsid w:val="264F7EA0"/>
    <w:rsid w:val="26676BDD"/>
    <w:rsid w:val="2669AF94"/>
    <w:rsid w:val="266AD1BF"/>
    <w:rsid w:val="268ED686"/>
    <w:rsid w:val="2697D063"/>
    <w:rsid w:val="2699736B"/>
    <w:rsid w:val="269C1CDC"/>
    <w:rsid w:val="26BED422"/>
    <w:rsid w:val="26CC2C84"/>
    <w:rsid w:val="26CE3751"/>
    <w:rsid w:val="26D7ECFC"/>
    <w:rsid w:val="26E5747D"/>
    <w:rsid w:val="26FD9D47"/>
    <w:rsid w:val="26FF7B1C"/>
    <w:rsid w:val="27142AAD"/>
    <w:rsid w:val="27175472"/>
    <w:rsid w:val="271DE6CA"/>
    <w:rsid w:val="271E9C0D"/>
    <w:rsid w:val="27220B95"/>
    <w:rsid w:val="2725AAE2"/>
    <w:rsid w:val="2727F9D7"/>
    <w:rsid w:val="272811E8"/>
    <w:rsid w:val="27359B72"/>
    <w:rsid w:val="27404EBF"/>
    <w:rsid w:val="27469953"/>
    <w:rsid w:val="2748A832"/>
    <w:rsid w:val="27490DA1"/>
    <w:rsid w:val="274A8E72"/>
    <w:rsid w:val="27705E1A"/>
    <w:rsid w:val="27746F3A"/>
    <w:rsid w:val="277C5D10"/>
    <w:rsid w:val="2783D5C2"/>
    <w:rsid w:val="27A2F7E0"/>
    <w:rsid w:val="27A6B621"/>
    <w:rsid w:val="27AF1D81"/>
    <w:rsid w:val="27B8C8B1"/>
    <w:rsid w:val="27BD86E8"/>
    <w:rsid w:val="27C3BD41"/>
    <w:rsid w:val="27C6BD25"/>
    <w:rsid w:val="27DC5852"/>
    <w:rsid w:val="27F484FE"/>
    <w:rsid w:val="27F9913A"/>
    <w:rsid w:val="2804C287"/>
    <w:rsid w:val="280994AA"/>
    <w:rsid w:val="28104CED"/>
    <w:rsid w:val="28148409"/>
    <w:rsid w:val="28157BFD"/>
    <w:rsid w:val="282C29B6"/>
    <w:rsid w:val="282D8208"/>
    <w:rsid w:val="2836ADC4"/>
    <w:rsid w:val="28383E64"/>
    <w:rsid w:val="283E600A"/>
    <w:rsid w:val="2847AE2F"/>
    <w:rsid w:val="28576DD1"/>
    <w:rsid w:val="285787B0"/>
    <w:rsid w:val="2862529D"/>
    <w:rsid w:val="2875E546"/>
    <w:rsid w:val="287B0347"/>
    <w:rsid w:val="2880BF32"/>
    <w:rsid w:val="28944272"/>
    <w:rsid w:val="28948C39"/>
    <w:rsid w:val="289547E3"/>
    <w:rsid w:val="28998A59"/>
    <w:rsid w:val="28A3B7EA"/>
    <w:rsid w:val="28A6AB15"/>
    <w:rsid w:val="28ADC0D2"/>
    <w:rsid w:val="28AF74F6"/>
    <w:rsid w:val="28C25032"/>
    <w:rsid w:val="28DC965F"/>
    <w:rsid w:val="28EBB155"/>
    <w:rsid w:val="28EE1897"/>
    <w:rsid w:val="28EE202A"/>
    <w:rsid w:val="28F058CE"/>
    <w:rsid w:val="28F44074"/>
    <w:rsid w:val="28F4B898"/>
    <w:rsid w:val="28F6C806"/>
    <w:rsid w:val="28F82540"/>
    <w:rsid w:val="28FCCE01"/>
    <w:rsid w:val="29044D22"/>
    <w:rsid w:val="29066CDD"/>
    <w:rsid w:val="2908A324"/>
    <w:rsid w:val="29110D79"/>
    <w:rsid w:val="29168B6E"/>
    <w:rsid w:val="292B264B"/>
    <w:rsid w:val="293384D5"/>
    <w:rsid w:val="2939AD96"/>
    <w:rsid w:val="293B6C47"/>
    <w:rsid w:val="293CA0D9"/>
    <w:rsid w:val="2943998D"/>
    <w:rsid w:val="2946611B"/>
    <w:rsid w:val="29494FA4"/>
    <w:rsid w:val="2958FC77"/>
    <w:rsid w:val="295ACD57"/>
    <w:rsid w:val="295C6525"/>
    <w:rsid w:val="295ECB2E"/>
    <w:rsid w:val="29611344"/>
    <w:rsid w:val="29629C9F"/>
    <w:rsid w:val="296795E2"/>
    <w:rsid w:val="296C7C4A"/>
    <w:rsid w:val="29726F88"/>
    <w:rsid w:val="2984F438"/>
    <w:rsid w:val="298B0323"/>
    <w:rsid w:val="299E8A74"/>
    <w:rsid w:val="29A0DB2C"/>
    <w:rsid w:val="29A5A68D"/>
    <w:rsid w:val="29AA6895"/>
    <w:rsid w:val="29CE402F"/>
    <w:rsid w:val="29DFC8CE"/>
    <w:rsid w:val="29E567A6"/>
    <w:rsid w:val="29E7A8F0"/>
    <w:rsid w:val="29F273A2"/>
    <w:rsid w:val="29F31EF0"/>
    <w:rsid w:val="29FEEF4A"/>
    <w:rsid w:val="2A00EBD6"/>
    <w:rsid w:val="2A17AA06"/>
    <w:rsid w:val="2A1FE0B3"/>
    <w:rsid w:val="2A2D5304"/>
    <w:rsid w:val="2A2E6987"/>
    <w:rsid w:val="2A322970"/>
    <w:rsid w:val="2A34EDD4"/>
    <w:rsid w:val="2A39BDEC"/>
    <w:rsid w:val="2A430C6D"/>
    <w:rsid w:val="2A545DF4"/>
    <w:rsid w:val="2A5A6E4B"/>
    <w:rsid w:val="2A64CC2F"/>
    <w:rsid w:val="2A65D6F1"/>
    <w:rsid w:val="2A66DEF8"/>
    <w:rsid w:val="2A7A05E0"/>
    <w:rsid w:val="2A894450"/>
    <w:rsid w:val="2A910017"/>
    <w:rsid w:val="2A9A0464"/>
    <w:rsid w:val="2AA8B050"/>
    <w:rsid w:val="2AB24EAF"/>
    <w:rsid w:val="2AB39F1B"/>
    <w:rsid w:val="2AB602E3"/>
    <w:rsid w:val="2AB6CD94"/>
    <w:rsid w:val="2ABC7BF1"/>
    <w:rsid w:val="2AC37659"/>
    <w:rsid w:val="2AC8174F"/>
    <w:rsid w:val="2AC8E25D"/>
    <w:rsid w:val="2ACA25F6"/>
    <w:rsid w:val="2ACC5B00"/>
    <w:rsid w:val="2ADB76E9"/>
    <w:rsid w:val="2AE5A31A"/>
    <w:rsid w:val="2AF628AA"/>
    <w:rsid w:val="2B04E2E5"/>
    <w:rsid w:val="2B08AB6B"/>
    <w:rsid w:val="2B0AA15D"/>
    <w:rsid w:val="2B1C6022"/>
    <w:rsid w:val="2B1F60CB"/>
    <w:rsid w:val="2B2BC4BA"/>
    <w:rsid w:val="2B2C0ACA"/>
    <w:rsid w:val="2B2CB24F"/>
    <w:rsid w:val="2B39B85F"/>
    <w:rsid w:val="2B3E8660"/>
    <w:rsid w:val="2B464390"/>
    <w:rsid w:val="2B56D12A"/>
    <w:rsid w:val="2B5F8114"/>
    <w:rsid w:val="2B6544D6"/>
    <w:rsid w:val="2B6FD4A8"/>
    <w:rsid w:val="2B70364D"/>
    <w:rsid w:val="2B74D5A5"/>
    <w:rsid w:val="2B7A7CF0"/>
    <w:rsid w:val="2B7F8D6D"/>
    <w:rsid w:val="2B80310C"/>
    <w:rsid w:val="2B8E21BC"/>
    <w:rsid w:val="2B96FBF2"/>
    <w:rsid w:val="2B99C1F8"/>
    <w:rsid w:val="2B9A25B8"/>
    <w:rsid w:val="2B9F4E7E"/>
    <w:rsid w:val="2BA9F8BA"/>
    <w:rsid w:val="2BAC78CB"/>
    <w:rsid w:val="2BAEA8B1"/>
    <w:rsid w:val="2BAF07F5"/>
    <w:rsid w:val="2BB860B9"/>
    <w:rsid w:val="2BC67CBE"/>
    <w:rsid w:val="2BCC2230"/>
    <w:rsid w:val="2BD6B42F"/>
    <w:rsid w:val="2BD83750"/>
    <w:rsid w:val="2BDD3633"/>
    <w:rsid w:val="2BEED9BA"/>
    <w:rsid w:val="2BF1C9C6"/>
    <w:rsid w:val="2BF5C25C"/>
    <w:rsid w:val="2BF8A567"/>
    <w:rsid w:val="2BFCBE21"/>
    <w:rsid w:val="2C019606"/>
    <w:rsid w:val="2C090EC4"/>
    <w:rsid w:val="2C1209C5"/>
    <w:rsid w:val="2C274A70"/>
    <w:rsid w:val="2C307C24"/>
    <w:rsid w:val="2C3C758C"/>
    <w:rsid w:val="2C4489DC"/>
    <w:rsid w:val="2C450BDC"/>
    <w:rsid w:val="2C58FDEF"/>
    <w:rsid w:val="2C5BEEE4"/>
    <w:rsid w:val="2C5DFCAC"/>
    <w:rsid w:val="2C7644C5"/>
    <w:rsid w:val="2C81BB97"/>
    <w:rsid w:val="2C8370DC"/>
    <w:rsid w:val="2C866378"/>
    <w:rsid w:val="2C879D42"/>
    <w:rsid w:val="2C8FBA93"/>
    <w:rsid w:val="2C916BB2"/>
    <w:rsid w:val="2C9786E5"/>
    <w:rsid w:val="2C99307F"/>
    <w:rsid w:val="2CD12A3D"/>
    <w:rsid w:val="2CE7085D"/>
    <w:rsid w:val="2CEE76F5"/>
    <w:rsid w:val="2CF0CC62"/>
    <w:rsid w:val="2CF7446A"/>
    <w:rsid w:val="2CF77204"/>
    <w:rsid w:val="2CF83D98"/>
    <w:rsid w:val="2CFEF9DF"/>
    <w:rsid w:val="2D013F00"/>
    <w:rsid w:val="2D0C6309"/>
    <w:rsid w:val="2D136834"/>
    <w:rsid w:val="2D145E4F"/>
    <w:rsid w:val="2D1684C8"/>
    <w:rsid w:val="2D25589B"/>
    <w:rsid w:val="2D2BC3FA"/>
    <w:rsid w:val="2D2C5B82"/>
    <w:rsid w:val="2D3BB97C"/>
    <w:rsid w:val="2D40A91C"/>
    <w:rsid w:val="2D48A0DA"/>
    <w:rsid w:val="2D4C283E"/>
    <w:rsid w:val="2D5E858D"/>
    <w:rsid w:val="2D65CB7C"/>
    <w:rsid w:val="2D6F92EB"/>
    <w:rsid w:val="2D705BC2"/>
    <w:rsid w:val="2D73CF6B"/>
    <w:rsid w:val="2D73EE1A"/>
    <w:rsid w:val="2D73F507"/>
    <w:rsid w:val="2D748D69"/>
    <w:rsid w:val="2D7A9852"/>
    <w:rsid w:val="2D813D17"/>
    <w:rsid w:val="2D875F04"/>
    <w:rsid w:val="2D931A2E"/>
    <w:rsid w:val="2D998B8B"/>
    <w:rsid w:val="2D998F60"/>
    <w:rsid w:val="2D9AAA2E"/>
    <w:rsid w:val="2DA1D291"/>
    <w:rsid w:val="2DA59CD5"/>
    <w:rsid w:val="2DA6BAC1"/>
    <w:rsid w:val="2DBFB28D"/>
    <w:rsid w:val="2DCEF55E"/>
    <w:rsid w:val="2DD33F8C"/>
    <w:rsid w:val="2DD9D600"/>
    <w:rsid w:val="2DF7076B"/>
    <w:rsid w:val="2DFD69F8"/>
    <w:rsid w:val="2E03CA52"/>
    <w:rsid w:val="2E0D5E0A"/>
    <w:rsid w:val="2E12875D"/>
    <w:rsid w:val="2E18D5D3"/>
    <w:rsid w:val="2E195E39"/>
    <w:rsid w:val="2E251167"/>
    <w:rsid w:val="2E2BEFC8"/>
    <w:rsid w:val="2E2D0436"/>
    <w:rsid w:val="2E41EECC"/>
    <w:rsid w:val="2E48B892"/>
    <w:rsid w:val="2E4C66F4"/>
    <w:rsid w:val="2E4DCB9A"/>
    <w:rsid w:val="2E5443CA"/>
    <w:rsid w:val="2E58F362"/>
    <w:rsid w:val="2E603E03"/>
    <w:rsid w:val="2E635F5F"/>
    <w:rsid w:val="2E68BF8A"/>
    <w:rsid w:val="2E6954D8"/>
    <w:rsid w:val="2E6B29B6"/>
    <w:rsid w:val="2E75CB22"/>
    <w:rsid w:val="2E89CA7A"/>
    <w:rsid w:val="2E9049E4"/>
    <w:rsid w:val="2E90C9F8"/>
    <w:rsid w:val="2E9269EA"/>
    <w:rsid w:val="2E96E6F2"/>
    <w:rsid w:val="2EA27E3F"/>
    <w:rsid w:val="2EA7EFB1"/>
    <w:rsid w:val="2EAF8C98"/>
    <w:rsid w:val="2EB381AF"/>
    <w:rsid w:val="2EBF5C17"/>
    <w:rsid w:val="2EBFA90E"/>
    <w:rsid w:val="2EC86A45"/>
    <w:rsid w:val="2ED4B9F5"/>
    <w:rsid w:val="2ED8BBA4"/>
    <w:rsid w:val="2EDB7934"/>
    <w:rsid w:val="2EE4A6F6"/>
    <w:rsid w:val="2EF0EC90"/>
    <w:rsid w:val="2EF8419F"/>
    <w:rsid w:val="2EF8F3C7"/>
    <w:rsid w:val="2F069544"/>
    <w:rsid w:val="2F06A40E"/>
    <w:rsid w:val="2F096B1C"/>
    <w:rsid w:val="2F104540"/>
    <w:rsid w:val="2F19E21C"/>
    <w:rsid w:val="2F1EBCF0"/>
    <w:rsid w:val="2F25D270"/>
    <w:rsid w:val="2F28E150"/>
    <w:rsid w:val="2F34950D"/>
    <w:rsid w:val="2F380458"/>
    <w:rsid w:val="2F40D7D5"/>
    <w:rsid w:val="2F431572"/>
    <w:rsid w:val="2F489F26"/>
    <w:rsid w:val="2F563C02"/>
    <w:rsid w:val="2F58928E"/>
    <w:rsid w:val="2F59D2A7"/>
    <w:rsid w:val="2F5AD891"/>
    <w:rsid w:val="2F7DFD3B"/>
    <w:rsid w:val="2F7E1D94"/>
    <w:rsid w:val="2F851574"/>
    <w:rsid w:val="2F88F8A0"/>
    <w:rsid w:val="2F94606A"/>
    <w:rsid w:val="2F9DCA4B"/>
    <w:rsid w:val="2FAA9023"/>
    <w:rsid w:val="2FAC60BF"/>
    <w:rsid w:val="2FC8CAD2"/>
    <w:rsid w:val="2FCC6082"/>
    <w:rsid w:val="2FCDDD8A"/>
    <w:rsid w:val="2FCDFD9D"/>
    <w:rsid w:val="2FD1ABDE"/>
    <w:rsid w:val="2FD57521"/>
    <w:rsid w:val="2FD85C79"/>
    <w:rsid w:val="2FF3F638"/>
    <w:rsid w:val="2FF5D402"/>
    <w:rsid w:val="2FF74074"/>
    <w:rsid w:val="3004EFBE"/>
    <w:rsid w:val="30145440"/>
    <w:rsid w:val="302257EB"/>
    <w:rsid w:val="302C2751"/>
    <w:rsid w:val="303C6F91"/>
    <w:rsid w:val="304CB92A"/>
    <w:rsid w:val="305B4CC4"/>
    <w:rsid w:val="30606F3E"/>
    <w:rsid w:val="3061A475"/>
    <w:rsid w:val="3065AC0D"/>
    <w:rsid w:val="306D0D9C"/>
    <w:rsid w:val="30711DF5"/>
    <w:rsid w:val="3097701B"/>
    <w:rsid w:val="30A15D05"/>
    <w:rsid w:val="30A47CFF"/>
    <w:rsid w:val="30AAF702"/>
    <w:rsid w:val="30B44B4E"/>
    <w:rsid w:val="30CB5629"/>
    <w:rsid w:val="30CF1332"/>
    <w:rsid w:val="30D0C5C1"/>
    <w:rsid w:val="30E04AD7"/>
    <w:rsid w:val="30E5B04E"/>
    <w:rsid w:val="31031323"/>
    <w:rsid w:val="31216644"/>
    <w:rsid w:val="3123F978"/>
    <w:rsid w:val="312B6A85"/>
    <w:rsid w:val="3132D066"/>
    <w:rsid w:val="3134009D"/>
    <w:rsid w:val="313C9BBB"/>
    <w:rsid w:val="3144550A"/>
    <w:rsid w:val="314F7AEF"/>
    <w:rsid w:val="31519EBE"/>
    <w:rsid w:val="31683354"/>
    <w:rsid w:val="317281B5"/>
    <w:rsid w:val="317A5242"/>
    <w:rsid w:val="318236EA"/>
    <w:rsid w:val="3188BDDE"/>
    <w:rsid w:val="319B4D5B"/>
    <w:rsid w:val="31A69B5C"/>
    <w:rsid w:val="31B6C7E1"/>
    <w:rsid w:val="31B7094B"/>
    <w:rsid w:val="31B9F52B"/>
    <w:rsid w:val="31BB6B57"/>
    <w:rsid w:val="31BD2BD5"/>
    <w:rsid w:val="31C8F349"/>
    <w:rsid w:val="31D31667"/>
    <w:rsid w:val="31DF4D01"/>
    <w:rsid w:val="31E99F18"/>
    <w:rsid w:val="31F4FF8C"/>
    <w:rsid w:val="31F77AD5"/>
    <w:rsid w:val="31FDD9B1"/>
    <w:rsid w:val="32095AC6"/>
    <w:rsid w:val="3223CC60"/>
    <w:rsid w:val="3232042E"/>
    <w:rsid w:val="3237CE76"/>
    <w:rsid w:val="323899B9"/>
    <w:rsid w:val="3245D362"/>
    <w:rsid w:val="3259B667"/>
    <w:rsid w:val="32612EC4"/>
    <w:rsid w:val="32656F2A"/>
    <w:rsid w:val="32736097"/>
    <w:rsid w:val="3273C2B6"/>
    <w:rsid w:val="328579E2"/>
    <w:rsid w:val="3285A819"/>
    <w:rsid w:val="32962A9C"/>
    <w:rsid w:val="32A2BB5D"/>
    <w:rsid w:val="32A2D4C7"/>
    <w:rsid w:val="32AEB38D"/>
    <w:rsid w:val="32B56B0E"/>
    <w:rsid w:val="32B5D756"/>
    <w:rsid w:val="32CE6E03"/>
    <w:rsid w:val="32DE9503"/>
    <w:rsid w:val="32E874A5"/>
    <w:rsid w:val="32EE2D27"/>
    <w:rsid w:val="32F8E02E"/>
    <w:rsid w:val="32FB0299"/>
    <w:rsid w:val="330168BB"/>
    <w:rsid w:val="330188EC"/>
    <w:rsid w:val="330231D4"/>
    <w:rsid w:val="331FAD57"/>
    <w:rsid w:val="332DBBC5"/>
    <w:rsid w:val="33343594"/>
    <w:rsid w:val="333D92D4"/>
    <w:rsid w:val="334A91D3"/>
    <w:rsid w:val="33566B8A"/>
    <w:rsid w:val="33638588"/>
    <w:rsid w:val="3365E363"/>
    <w:rsid w:val="336B25FD"/>
    <w:rsid w:val="336C123F"/>
    <w:rsid w:val="336C3971"/>
    <w:rsid w:val="338CAD81"/>
    <w:rsid w:val="33937D30"/>
    <w:rsid w:val="3394726F"/>
    <w:rsid w:val="339950EB"/>
    <w:rsid w:val="339F110A"/>
    <w:rsid w:val="33ABC766"/>
    <w:rsid w:val="33B4F7AE"/>
    <w:rsid w:val="33B89963"/>
    <w:rsid w:val="33C6BF27"/>
    <w:rsid w:val="33D7839A"/>
    <w:rsid w:val="33D7DD30"/>
    <w:rsid w:val="33DD337D"/>
    <w:rsid w:val="33DD908F"/>
    <w:rsid w:val="33E1DC89"/>
    <w:rsid w:val="33E2F681"/>
    <w:rsid w:val="33F8B416"/>
    <w:rsid w:val="33FE74B6"/>
    <w:rsid w:val="33FF1EB8"/>
    <w:rsid w:val="3428CBD7"/>
    <w:rsid w:val="343D4033"/>
    <w:rsid w:val="343E92A8"/>
    <w:rsid w:val="3448C920"/>
    <w:rsid w:val="344DB918"/>
    <w:rsid w:val="34514EB6"/>
    <w:rsid w:val="345C174C"/>
    <w:rsid w:val="3467639E"/>
    <w:rsid w:val="346D9F51"/>
    <w:rsid w:val="346F5F2B"/>
    <w:rsid w:val="34751D06"/>
    <w:rsid w:val="34827DFC"/>
    <w:rsid w:val="348CC47D"/>
    <w:rsid w:val="3496A366"/>
    <w:rsid w:val="349A9C2F"/>
    <w:rsid w:val="34A0CD8B"/>
    <w:rsid w:val="34A14582"/>
    <w:rsid w:val="34AAFE21"/>
    <w:rsid w:val="34D49BC8"/>
    <w:rsid w:val="34D67588"/>
    <w:rsid w:val="34D6A455"/>
    <w:rsid w:val="34D82E1C"/>
    <w:rsid w:val="34DBA446"/>
    <w:rsid w:val="34DE82BD"/>
    <w:rsid w:val="34E806D4"/>
    <w:rsid w:val="34E81AB0"/>
    <w:rsid w:val="34EB4362"/>
    <w:rsid w:val="34EB68F0"/>
    <w:rsid w:val="34EF6456"/>
    <w:rsid w:val="34F27FBF"/>
    <w:rsid w:val="34FFE932"/>
    <w:rsid w:val="3509278D"/>
    <w:rsid w:val="350C0A8A"/>
    <w:rsid w:val="350C7487"/>
    <w:rsid w:val="35155451"/>
    <w:rsid w:val="351EE6A2"/>
    <w:rsid w:val="35259972"/>
    <w:rsid w:val="352DB851"/>
    <w:rsid w:val="353F99A7"/>
    <w:rsid w:val="35443098"/>
    <w:rsid w:val="35478F35"/>
    <w:rsid w:val="354C94C4"/>
    <w:rsid w:val="3556E5DF"/>
    <w:rsid w:val="355925A1"/>
    <w:rsid w:val="35631E6B"/>
    <w:rsid w:val="356F288A"/>
    <w:rsid w:val="3570C935"/>
    <w:rsid w:val="35797F02"/>
    <w:rsid w:val="359048D3"/>
    <w:rsid w:val="35908461"/>
    <w:rsid w:val="3593FFA7"/>
    <w:rsid w:val="359B0AF7"/>
    <w:rsid w:val="35A500A0"/>
    <w:rsid w:val="35A82E34"/>
    <w:rsid w:val="35B40FE7"/>
    <w:rsid w:val="35BAB230"/>
    <w:rsid w:val="35DBECBF"/>
    <w:rsid w:val="35F3BB00"/>
    <w:rsid w:val="35FBD885"/>
    <w:rsid w:val="35FCB935"/>
    <w:rsid w:val="36051B61"/>
    <w:rsid w:val="36055541"/>
    <w:rsid w:val="360AC244"/>
    <w:rsid w:val="360F1EA3"/>
    <w:rsid w:val="36102085"/>
    <w:rsid w:val="3611C446"/>
    <w:rsid w:val="361E34F5"/>
    <w:rsid w:val="362094CC"/>
    <w:rsid w:val="36372610"/>
    <w:rsid w:val="363C7E4E"/>
    <w:rsid w:val="363CE5A5"/>
    <w:rsid w:val="365928AB"/>
    <w:rsid w:val="365E3EB0"/>
    <w:rsid w:val="3661C4A9"/>
    <w:rsid w:val="3662F971"/>
    <w:rsid w:val="366DFE21"/>
    <w:rsid w:val="367FE9B2"/>
    <w:rsid w:val="36830894"/>
    <w:rsid w:val="3685C4B8"/>
    <w:rsid w:val="3698A635"/>
    <w:rsid w:val="369C1547"/>
    <w:rsid w:val="36AB1E3B"/>
    <w:rsid w:val="36BBD1A2"/>
    <w:rsid w:val="36BF0FB1"/>
    <w:rsid w:val="36C0A07A"/>
    <w:rsid w:val="36C8176B"/>
    <w:rsid w:val="36D1430E"/>
    <w:rsid w:val="36D7F54E"/>
    <w:rsid w:val="36DB12C4"/>
    <w:rsid w:val="36E66218"/>
    <w:rsid w:val="36EA48A5"/>
    <w:rsid w:val="36EBBD71"/>
    <w:rsid w:val="3702CFDE"/>
    <w:rsid w:val="3703B760"/>
    <w:rsid w:val="3715015D"/>
    <w:rsid w:val="37163C3D"/>
    <w:rsid w:val="3722BD4F"/>
    <w:rsid w:val="372752E2"/>
    <w:rsid w:val="372D7A94"/>
    <w:rsid w:val="3739A2DB"/>
    <w:rsid w:val="373B2F81"/>
    <w:rsid w:val="3775A0B3"/>
    <w:rsid w:val="3775A3B1"/>
    <w:rsid w:val="377F4B69"/>
    <w:rsid w:val="37841A8A"/>
    <w:rsid w:val="3787BEBF"/>
    <w:rsid w:val="3797E05C"/>
    <w:rsid w:val="379EB6D0"/>
    <w:rsid w:val="37B0A537"/>
    <w:rsid w:val="37BC59C9"/>
    <w:rsid w:val="37C1DF19"/>
    <w:rsid w:val="37C2A98A"/>
    <w:rsid w:val="37CB5EB7"/>
    <w:rsid w:val="37D095F8"/>
    <w:rsid w:val="37D41FD2"/>
    <w:rsid w:val="37D4285F"/>
    <w:rsid w:val="37DA9036"/>
    <w:rsid w:val="37F27D0E"/>
    <w:rsid w:val="38016E9F"/>
    <w:rsid w:val="3825EC5D"/>
    <w:rsid w:val="3828569F"/>
    <w:rsid w:val="382AAC69"/>
    <w:rsid w:val="382C98DA"/>
    <w:rsid w:val="382CF87F"/>
    <w:rsid w:val="3839B8B7"/>
    <w:rsid w:val="3844853D"/>
    <w:rsid w:val="38559C69"/>
    <w:rsid w:val="38589052"/>
    <w:rsid w:val="3877A30B"/>
    <w:rsid w:val="38883920"/>
    <w:rsid w:val="388982D7"/>
    <w:rsid w:val="38A2023E"/>
    <w:rsid w:val="38AC39A7"/>
    <w:rsid w:val="38AEB806"/>
    <w:rsid w:val="38B239EB"/>
    <w:rsid w:val="38BFB3C9"/>
    <w:rsid w:val="38C931ED"/>
    <w:rsid w:val="38CDD24B"/>
    <w:rsid w:val="38D1F7E7"/>
    <w:rsid w:val="38D8818A"/>
    <w:rsid w:val="38DDC73D"/>
    <w:rsid w:val="38DDD2DF"/>
    <w:rsid w:val="38EDB7C1"/>
    <w:rsid w:val="3904BD90"/>
    <w:rsid w:val="390C3CF2"/>
    <w:rsid w:val="390D3290"/>
    <w:rsid w:val="390FB611"/>
    <w:rsid w:val="391A46BC"/>
    <w:rsid w:val="391B467E"/>
    <w:rsid w:val="39207309"/>
    <w:rsid w:val="393504A7"/>
    <w:rsid w:val="393DD099"/>
    <w:rsid w:val="393DD55F"/>
    <w:rsid w:val="394578B3"/>
    <w:rsid w:val="394673C7"/>
    <w:rsid w:val="394AF763"/>
    <w:rsid w:val="394BFA4F"/>
    <w:rsid w:val="395B4138"/>
    <w:rsid w:val="39639381"/>
    <w:rsid w:val="3966DE00"/>
    <w:rsid w:val="3978E9AB"/>
    <w:rsid w:val="39834F89"/>
    <w:rsid w:val="398C8628"/>
    <w:rsid w:val="3996FBAC"/>
    <w:rsid w:val="399F406C"/>
    <w:rsid w:val="39A88CE3"/>
    <w:rsid w:val="39B72DB0"/>
    <w:rsid w:val="39B8D0A4"/>
    <w:rsid w:val="39BC45BB"/>
    <w:rsid w:val="39C02820"/>
    <w:rsid w:val="39C2031F"/>
    <w:rsid w:val="39D822EA"/>
    <w:rsid w:val="39DE679A"/>
    <w:rsid w:val="39DE6EEC"/>
    <w:rsid w:val="39E4E3D1"/>
    <w:rsid w:val="39E7D392"/>
    <w:rsid w:val="39E84CE7"/>
    <w:rsid w:val="39F2191F"/>
    <w:rsid w:val="39F2CAB6"/>
    <w:rsid w:val="39FBA76F"/>
    <w:rsid w:val="3A02084B"/>
    <w:rsid w:val="3A03611C"/>
    <w:rsid w:val="3A0C2C04"/>
    <w:rsid w:val="3A0CA9F5"/>
    <w:rsid w:val="3A119BDE"/>
    <w:rsid w:val="3A1E436F"/>
    <w:rsid w:val="3A2E3CE3"/>
    <w:rsid w:val="3A2FB085"/>
    <w:rsid w:val="3A3E65F9"/>
    <w:rsid w:val="3A5009DB"/>
    <w:rsid w:val="3A585198"/>
    <w:rsid w:val="3A7607C1"/>
    <w:rsid w:val="3A7AA28F"/>
    <w:rsid w:val="3A7EAA3E"/>
    <w:rsid w:val="3A81D303"/>
    <w:rsid w:val="3A890D45"/>
    <w:rsid w:val="3AA00BB1"/>
    <w:rsid w:val="3AAAD41E"/>
    <w:rsid w:val="3AAD0B41"/>
    <w:rsid w:val="3AB037CC"/>
    <w:rsid w:val="3AB3962B"/>
    <w:rsid w:val="3AB5ECD8"/>
    <w:rsid w:val="3AC14DAC"/>
    <w:rsid w:val="3AD94D5A"/>
    <w:rsid w:val="3AE055BD"/>
    <w:rsid w:val="3AE3A281"/>
    <w:rsid w:val="3AE3F9A7"/>
    <w:rsid w:val="3AE73257"/>
    <w:rsid w:val="3AE8A29D"/>
    <w:rsid w:val="3AE8BA54"/>
    <w:rsid w:val="3AE970C4"/>
    <w:rsid w:val="3AF0381E"/>
    <w:rsid w:val="3AFD9E6A"/>
    <w:rsid w:val="3AFE9D6A"/>
    <w:rsid w:val="3B0F0AE8"/>
    <w:rsid w:val="3B186CCA"/>
    <w:rsid w:val="3B21B203"/>
    <w:rsid w:val="3B2310A3"/>
    <w:rsid w:val="3B28E8D9"/>
    <w:rsid w:val="3B2EF5BF"/>
    <w:rsid w:val="3B37383E"/>
    <w:rsid w:val="3B378449"/>
    <w:rsid w:val="3B465B49"/>
    <w:rsid w:val="3B6927A7"/>
    <w:rsid w:val="3B76599D"/>
    <w:rsid w:val="3B822DCF"/>
    <w:rsid w:val="3B84755A"/>
    <w:rsid w:val="3B8D7965"/>
    <w:rsid w:val="3B8DCFD9"/>
    <w:rsid w:val="3B92BEF0"/>
    <w:rsid w:val="3BA5E785"/>
    <w:rsid w:val="3BAE1DB6"/>
    <w:rsid w:val="3BB49672"/>
    <w:rsid w:val="3BBABC95"/>
    <w:rsid w:val="3BBFBE9B"/>
    <w:rsid w:val="3BC68D29"/>
    <w:rsid w:val="3BCA19C3"/>
    <w:rsid w:val="3BCFA198"/>
    <w:rsid w:val="3BD8FFD1"/>
    <w:rsid w:val="3BDB6A31"/>
    <w:rsid w:val="3BE5CD9E"/>
    <w:rsid w:val="3BEDE9DD"/>
    <w:rsid w:val="3BEE70EA"/>
    <w:rsid w:val="3BF46112"/>
    <w:rsid w:val="3BF880DF"/>
    <w:rsid w:val="3BFDF272"/>
    <w:rsid w:val="3C04F5E9"/>
    <w:rsid w:val="3C12F3C1"/>
    <w:rsid w:val="3C27FA04"/>
    <w:rsid w:val="3C287A4B"/>
    <w:rsid w:val="3C424DA7"/>
    <w:rsid w:val="3C47B80B"/>
    <w:rsid w:val="3C6586D4"/>
    <w:rsid w:val="3C6BF390"/>
    <w:rsid w:val="3C76E287"/>
    <w:rsid w:val="3C8580AA"/>
    <w:rsid w:val="3C906750"/>
    <w:rsid w:val="3C9C54A2"/>
    <w:rsid w:val="3C9DA84A"/>
    <w:rsid w:val="3CA2D6DE"/>
    <w:rsid w:val="3CAAA58C"/>
    <w:rsid w:val="3CB63603"/>
    <w:rsid w:val="3CC3B16C"/>
    <w:rsid w:val="3CCB4C14"/>
    <w:rsid w:val="3CD2FABC"/>
    <w:rsid w:val="3CD593E8"/>
    <w:rsid w:val="3CDAC972"/>
    <w:rsid w:val="3CE468F8"/>
    <w:rsid w:val="3CE9427A"/>
    <w:rsid w:val="3CFD4769"/>
    <w:rsid w:val="3CFD4CB7"/>
    <w:rsid w:val="3D0330B1"/>
    <w:rsid w:val="3D057521"/>
    <w:rsid w:val="3D124157"/>
    <w:rsid w:val="3D29BC37"/>
    <w:rsid w:val="3D317051"/>
    <w:rsid w:val="3D33BA7A"/>
    <w:rsid w:val="3D59C1CC"/>
    <w:rsid w:val="3D5E8160"/>
    <w:rsid w:val="3D611503"/>
    <w:rsid w:val="3D612A8B"/>
    <w:rsid w:val="3D69186C"/>
    <w:rsid w:val="3D713FFB"/>
    <w:rsid w:val="3D82AC7F"/>
    <w:rsid w:val="3D8B707E"/>
    <w:rsid w:val="3D8FB5C8"/>
    <w:rsid w:val="3DA5DA0F"/>
    <w:rsid w:val="3DC1AA44"/>
    <w:rsid w:val="3DC3F8E5"/>
    <w:rsid w:val="3DC5B709"/>
    <w:rsid w:val="3DCC3B17"/>
    <w:rsid w:val="3DDABFA6"/>
    <w:rsid w:val="3DDB1E46"/>
    <w:rsid w:val="3DE072D7"/>
    <w:rsid w:val="3DE1C027"/>
    <w:rsid w:val="3DE34076"/>
    <w:rsid w:val="3DED6C06"/>
    <w:rsid w:val="3DFD95B7"/>
    <w:rsid w:val="3E0A1722"/>
    <w:rsid w:val="3E14D7C4"/>
    <w:rsid w:val="3E1687E5"/>
    <w:rsid w:val="3E3C700D"/>
    <w:rsid w:val="3E4AB14F"/>
    <w:rsid w:val="3E4CFE39"/>
    <w:rsid w:val="3E4F12F8"/>
    <w:rsid w:val="3E6C1BE4"/>
    <w:rsid w:val="3E6D9130"/>
    <w:rsid w:val="3E6DC547"/>
    <w:rsid w:val="3E7906D0"/>
    <w:rsid w:val="3E8EF306"/>
    <w:rsid w:val="3E90AEE8"/>
    <w:rsid w:val="3E95313F"/>
    <w:rsid w:val="3EA35FF8"/>
    <w:rsid w:val="3EAE36A2"/>
    <w:rsid w:val="3EC4081A"/>
    <w:rsid w:val="3ECE7FC7"/>
    <w:rsid w:val="3EEBA5F8"/>
    <w:rsid w:val="3EEF3560"/>
    <w:rsid w:val="3EF31564"/>
    <w:rsid w:val="3EF86489"/>
    <w:rsid w:val="3EFA672B"/>
    <w:rsid w:val="3EFF4C7C"/>
    <w:rsid w:val="3F02DFC7"/>
    <w:rsid w:val="3F0ABC7E"/>
    <w:rsid w:val="3F0E5D7B"/>
    <w:rsid w:val="3F0FB8E1"/>
    <w:rsid w:val="3F1B8D27"/>
    <w:rsid w:val="3F3E07C1"/>
    <w:rsid w:val="3F495F10"/>
    <w:rsid w:val="3F5C24AC"/>
    <w:rsid w:val="3F6A018E"/>
    <w:rsid w:val="3F6A9F98"/>
    <w:rsid w:val="3F6D5D31"/>
    <w:rsid w:val="3F6F4E0B"/>
    <w:rsid w:val="3F6F5DDD"/>
    <w:rsid w:val="3F820301"/>
    <w:rsid w:val="3F83766C"/>
    <w:rsid w:val="3F89E1EA"/>
    <w:rsid w:val="3F8D1615"/>
    <w:rsid w:val="3F948FCA"/>
    <w:rsid w:val="3FAC2BD1"/>
    <w:rsid w:val="3FB272BC"/>
    <w:rsid w:val="3FBB9C5C"/>
    <w:rsid w:val="3FCB655A"/>
    <w:rsid w:val="3FCC9C43"/>
    <w:rsid w:val="3FCD0380"/>
    <w:rsid w:val="3FE9375D"/>
    <w:rsid w:val="3FECC934"/>
    <w:rsid w:val="4000A51F"/>
    <w:rsid w:val="4002E6BC"/>
    <w:rsid w:val="4003D9C7"/>
    <w:rsid w:val="40053EAD"/>
    <w:rsid w:val="401AF6B2"/>
    <w:rsid w:val="4051BCD1"/>
    <w:rsid w:val="4066B139"/>
    <w:rsid w:val="407B91E9"/>
    <w:rsid w:val="4085F8D0"/>
    <w:rsid w:val="40872AF5"/>
    <w:rsid w:val="408CD9DF"/>
    <w:rsid w:val="408FEEE0"/>
    <w:rsid w:val="4090D70F"/>
    <w:rsid w:val="409801F5"/>
    <w:rsid w:val="409F5A2D"/>
    <w:rsid w:val="40A3C7DC"/>
    <w:rsid w:val="40AB9E34"/>
    <w:rsid w:val="40AD8633"/>
    <w:rsid w:val="40ADDE53"/>
    <w:rsid w:val="40B024E4"/>
    <w:rsid w:val="40B02BB8"/>
    <w:rsid w:val="40B5CF71"/>
    <w:rsid w:val="40B80265"/>
    <w:rsid w:val="40BE6EE6"/>
    <w:rsid w:val="40C06A91"/>
    <w:rsid w:val="40C1913D"/>
    <w:rsid w:val="40C77BA9"/>
    <w:rsid w:val="40D00C32"/>
    <w:rsid w:val="40E08759"/>
    <w:rsid w:val="40E3E454"/>
    <w:rsid w:val="40E5E406"/>
    <w:rsid w:val="40E90C24"/>
    <w:rsid w:val="40F02C91"/>
    <w:rsid w:val="40F48ECB"/>
    <w:rsid w:val="40FE3A1F"/>
    <w:rsid w:val="41015868"/>
    <w:rsid w:val="4101B384"/>
    <w:rsid w:val="4104543D"/>
    <w:rsid w:val="410B4643"/>
    <w:rsid w:val="410EDEDE"/>
    <w:rsid w:val="411F497D"/>
    <w:rsid w:val="41286171"/>
    <w:rsid w:val="413F3AA7"/>
    <w:rsid w:val="4140C690"/>
    <w:rsid w:val="4141BCDF"/>
    <w:rsid w:val="4149E7D8"/>
    <w:rsid w:val="414A8635"/>
    <w:rsid w:val="414E4128"/>
    <w:rsid w:val="415A5868"/>
    <w:rsid w:val="41610992"/>
    <w:rsid w:val="416C1B13"/>
    <w:rsid w:val="4172810A"/>
    <w:rsid w:val="417EE9A6"/>
    <w:rsid w:val="4184392E"/>
    <w:rsid w:val="41982D61"/>
    <w:rsid w:val="41A25E71"/>
    <w:rsid w:val="41AE9E27"/>
    <w:rsid w:val="41C17538"/>
    <w:rsid w:val="41CCEDA3"/>
    <w:rsid w:val="41D684C2"/>
    <w:rsid w:val="41DC8D2B"/>
    <w:rsid w:val="41E8486A"/>
    <w:rsid w:val="41E9DEEE"/>
    <w:rsid w:val="41F245BA"/>
    <w:rsid w:val="41FAFA3F"/>
    <w:rsid w:val="41FC2E7A"/>
    <w:rsid w:val="41FC4F4A"/>
    <w:rsid w:val="42079AA0"/>
    <w:rsid w:val="420CC41B"/>
    <w:rsid w:val="4210E4C1"/>
    <w:rsid w:val="4214DC4E"/>
    <w:rsid w:val="42226454"/>
    <w:rsid w:val="422FEE60"/>
    <w:rsid w:val="42402868"/>
    <w:rsid w:val="42453304"/>
    <w:rsid w:val="42484E90"/>
    <w:rsid w:val="424C8FFA"/>
    <w:rsid w:val="4253D80F"/>
    <w:rsid w:val="425AA3A4"/>
    <w:rsid w:val="425E40F3"/>
    <w:rsid w:val="42645348"/>
    <w:rsid w:val="426D9DFB"/>
    <w:rsid w:val="427095CE"/>
    <w:rsid w:val="427685EE"/>
    <w:rsid w:val="4282424E"/>
    <w:rsid w:val="4288B056"/>
    <w:rsid w:val="42975ACA"/>
    <w:rsid w:val="42AC8BAE"/>
    <w:rsid w:val="42B06F71"/>
    <w:rsid w:val="42B1264E"/>
    <w:rsid w:val="42BC41BF"/>
    <w:rsid w:val="42D4CE09"/>
    <w:rsid w:val="42DD6AE6"/>
    <w:rsid w:val="42DDC6AC"/>
    <w:rsid w:val="42E62E45"/>
    <w:rsid w:val="42E69607"/>
    <w:rsid w:val="42EC06CC"/>
    <w:rsid w:val="42F55CD1"/>
    <w:rsid w:val="42F64585"/>
    <w:rsid w:val="42F6B6A0"/>
    <w:rsid w:val="42F79CD4"/>
    <w:rsid w:val="42FD00A8"/>
    <w:rsid w:val="430019A0"/>
    <w:rsid w:val="4300E50E"/>
    <w:rsid w:val="430A103C"/>
    <w:rsid w:val="4325398F"/>
    <w:rsid w:val="4326244D"/>
    <w:rsid w:val="432F8414"/>
    <w:rsid w:val="43312B8B"/>
    <w:rsid w:val="4331E12F"/>
    <w:rsid w:val="43374B2E"/>
    <w:rsid w:val="4348C41B"/>
    <w:rsid w:val="4351A4C2"/>
    <w:rsid w:val="435AF5BB"/>
    <w:rsid w:val="436A6174"/>
    <w:rsid w:val="437D2A76"/>
    <w:rsid w:val="43859241"/>
    <w:rsid w:val="43869833"/>
    <w:rsid w:val="4387AE5A"/>
    <w:rsid w:val="43953908"/>
    <w:rsid w:val="4398D9A7"/>
    <w:rsid w:val="43AA1836"/>
    <w:rsid w:val="43ABB68F"/>
    <w:rsid w:val="43CC44CC"/>
    <w:rsid w:val="43CDC6B9"/>
    <w:rsid w:val="43CF1F99"/>
    <w:rsid w:val="43D303E9"/>
    <w:rsid w:val="43DBA813"/>
    <w:rsid w:val="43E85DC6"/>
    <w:rsid w:val="43ED6FF5"/>
    <w:rsid w:val="43F35DFB"/>
    <w:rsid w:val="43F509E0"/>
    <w:rsid w:val="43FDF053"/>
    <w:rsid w:val="440230D2"/>
    <w:rsid w:val="440F3B88"/>
    <w:rsid w:val="4415AC53"/>
    <w:rsid w:val="44170C56"/>
    <w:rsid w:val="441A7BC8"/>
    <w:rsid w:val="44235CCE"/>
    <w:rsid w:val="4423C94B"/>
    <w:rsid w:val="44328BAF"/>
    <w:rsid w:val="443E9CF8"/>
    <w:rsid w:val="4442A4FE"/>
    <w:rsid w:val="44487941"/>
    <w:rsid w:val="444C1670"/>
    <w:rsid w:val="4451852C"/>
    <w:rsid w:val="445E27EE"/>
    <w:rsid w:val="4466DD9D"/>
    <w:rsid w:val="4480D9D5"/>
    <w:rsid w:val="448F01D8"/>
    <w:rsid w:val="44A2B3AC"/>
    <w:rsid w:val="44A9A962"/>
    <w:rsid w:val="44AD4EF4"/>
    <w:rsid w:val="44B05E6A"/>
    <w:rsid w:val="44B1F7BE"/>
    <w:rsid w:val="44C15A7D"/>
    <w:rsid w:val="44CF7345"/>
    <w:rsid w:val="44D0E65A"/>
    <w:rsid w:val="44D19566"/>
    <w:rsid w:val="44D2067F"/>
    <w:rsid w:val="44D8D1E8"/>
    <w:rsid w:val="44DF2CF5"/>
    <w:rsid w:val="4505B978"/>
    <w:rsid w:val="4507713E"/>
    <w:rsid w:val="450848B1"/>
    <w:rsid w:val="4513D45F"/>
    <w:rsid w:val="4519A4B1"/>
    <w:rsid w:val="452111B1"/>
    <w:rsid w:val="4523D9FE"/>
    <w:rsid w:val="4530C993"/>
    <w:rsid w:val="45359730"/>
    <w:rsid w:val="45377133"/>
    <w:rsid w:val="453E2A5A"/>
    <w:rsid w:val="454FA955"/>
    <w:rsid w:val="4557D1D8"/>
    <w:rsid w:val="4559A8FF"/>
    <w:rsid w:val="455D50D6"/>
    <w:rsid w:val="45644E5F"/>
    <w:rsid w:val="4564E057"/>
    <w:rsid w:val="45664638"/>
    <w:rsid w:val="45677273"/>
    <w:rsid w:val="456E5C0C"/>
    <w:rsid w:val="456F89D4"/>
    <w:rsid w:val="45747415"/>
    <w:rsid w:val="457BA132"/>
    <w:rsid w:val="457F75B4"/>
    <w:rsid w:val="458E02CC"/>
    <w:rsid w:val="4595FE47"/>
    <w:rsid w:val="45980A0B"/>
    <w:rsid w:val="45A0A43F"/>
    <w:rsid w:val="45A3B5E4"/>
    <w:rsid w:val="45A56CBE"/>
    <w:rsid w:val="45A6712F"/>
    <w:rsid w:val="45AFD7C9"/>
    <w:rsid w:val="45C0726D"/>
    <w:rsid w:val="45E01DC0"/>
    <w:rsid w:val="45E37C06"/>
    <w:rsid w:val="45E764E1"/>
    <w:rsid w:val="45EC7EB1"/>
    <w:rsid w:val="45EC928E"/>
    <w:rsid w:val="45FA63E8"/>
    <w:rsid w:val="45FAC2F0"/>
    <w:rsid w:val="4601A4A9"/>
    <w:rsid w:val="4605511F"/>
    <w:rsid w:val="4611C8BA"/>
    <w:rsid w:val="4616C582"/>
    <w:rsid w:val="4623DAD2"/>
    <w:rsid w:val="462B4BB6"/>
    <w:rsid w:val="462BA776"/>
    <w:rsid w:val="462EA4D1"/>
    <w:rsid w:val="462EFCE8"/>
    <w:rsid w:val="46469DE1"/>
    <w:rsid w:val="46479749"/>
    <w:rsid w:val="464956EA"/>
    <w:rsid w:val="46518898"/>
    <w:rsid w:val="465C203A"/>
    <w:rsid w:val="465F79F4"/>
    <w:rsid w:val="466235D4"/>
    <w:rsid w:val="46644F18"/>
    <w:rsid w:val="4668246B"/>
    <w:rsid w:val="466F8ECF"/>
    <w:rsid w:val="4677D8F3"/>
    <w:rsid w:val="467913E2"/>
    <w:rsid w:val="469640A4"/>
    <w:rsid w:val="469E7676"/>
    <w:rsid w:val="46A0E8C1"/>
    <w:rsid w:val="46A7B334"/>
    <w:rsid w:val="46B69FAB"/>
    <w:rsid w:val="46CA2883"/>
    <w:rsid w:val="46CF4FFB"/>
    <w:rsid w:val="46CF9874"/>
    <w:rsid w:val="46F4BB96"/>
    <w:rsid w:val="46FB4AD3"/>
    <w:rsid w:val="47073572"/>
    <w:rsid w:val="471017BE"/>
    <w:rsid w:val="47223AC2"/>
    <w:rsid w:val="47235183"/>
    <w:rsid w:val="472A1FDC"/>
    <w:rsid w:val="472B78E8"/>
    <w:rsid w:val="4731B145"/>
    <w:rsid w:val="473C4FB2"/>
    <w:rsid w:val="47403772"/>
    <w:rsid w:val="474C0EA5"/>
    <w:rsid w:val="4757B2E2"/>
    <w:rsid w:val="4761E958"/>
    <w:rsid w:val="476F58DD"/>
    <w:rsid w:val="476FDF26"/>
    <w:rsid w:val="477AAC63"/>
    <w:rsid w:val="477B2C68"/>
    <w:rsid w:val="4789AE20"/>
    <w:rsid w:val="47905F30"/>
    <w:rsid w:val="479405B7"/>
    <w:rsid w:val="47A65273"/>
    <w:rsid w:val="47BA90CC"/>
    <w:rsid w:val="47CC4536"/>
    <w:rsid w:val="47E72E5E"/>
    <w:rsid w:val="47E996C1"/>
    <w:rsid w:val="47EEA2BE"/>
    <w:rsid w:val="47F05B0A"/>
    <w:rsid w:val="47F552DD"/>
    <w:rsid w:val="47FB1C33"/>
    <w:rsid w:val="4816A002"/>
    <w:rsid w:val="4816AEC2"/>
    <w:rsid w:val="4818FBF7"/>
    <w:rsid w:val="48239FDC"/>
    <w:rsid w:val="4825E2EA"/>
    <w:rsid w:val="482DFE62"/>
    <w:rsid w:val="48322970"/>
    <w:rsid w:val="48386546"/>
    <w:rsid w:val="483A881A"/>
    <w:rsid w:val="483C93E1"/>
    <w:rsid w:val="48405B0E"/>
    <w:rsid w:val="4843C858"/>
    <w:rsid w:val="4843E0C5"/>
    <w:rsid w:val="485CD49F"/>
    <w:rsid w:val="48735E5E"/>
    <w:rsid w:val="4876824B"/>
    <w:rsid w:val="48831D83"/>
    <w:rsid w:val="4883B9F2"/>
    <w:rsid w:val="488657AB"/>
    <w:rsid w:val="4886A34D"/>
    <w:rsid w:val="488CBB5D"/>
    <w:rsid w:val="48932003"/>
    <w:rsid w:val="48A24DA7"/>
    <w:rsid w:val="48B2D7B6"/>
    <w:rsid w:val="48B74AD2"/>
    <w:rsid w:val="48B7F52C"/>
    <w:rsid w:val="48B910A2"/>
    <w:rsid w:val="48C8D16E"/>
    <w:rsid w:val="48D377ED"/>
    <w:rsid w:val="48DEF029"/>
    <w:rsid w:val="48E7960C"/>
    <w:rsid w:val="48EBE497"/>
    <w:rsid w:val="48EF70E9"/>
    <w:rsid w:val="49028E66"/>
    <w:rsid w:val="49089157"/>
    <w:rsid w:val="490B984F"/>
    <w:rsid w:val="4912C17A"/>
    <w:rsid w:val="491A6147"/>
    <w:rsid w:val="4920E972"/>
    <w:rsid w:val="49220B0B"/>
    <w:rsid w:val="49285DCF"/>
    <w:rsid w:val="4928F79F"/>
    <w:rsid w:val="493C318C"/>
    <w:rsid w:val="493EA2D6"/>
    <w:rsid w:val="493FAD3F"/>
    <w:rsid w:val="4949248B"/>
    <w:rsid w:val="495E37C6"/>
    <w:rsid w:val="495E7291"/>
    <w:rsid w:val="49651B7B"/>
    <w:rsid w:val="496E4AD2"/>
    <w:rsid w:val="49850D4A"/>
    <w:rsid w:val="498A8BD2"/>
    <w:rsid w:val="498C5F54"/>
    <w:rsid w:val="4991B5DF"/>
    <w:rsid w:val="499B8D9A"/>
    <w:rsid w:val="499D4AAF"/>
    <w:rsid w:val="49A1F8BE"/>
    <w:rsid w:val="49A71A74"/>
    <w:rsid w:val="49AF60A1"/>
    <w:rsid w:val="49CDC038"/>
    <w:rsid w:val="49D27BE1"/>
    <w:rsid w:val="49D5236B"/>
    <w:rsid w:val="49D6CA17"/>
    <w:rsid w:val="49DC4A1D"/>
    <w:rsid w:val="49E083B2"/>
    <w:rsid w:val="49E40A53"/>
    <w:rsid w:val="4A0A0A0C"/>
    <w:rsid w:val="4A0DCB61"/>
    <w:rsid w:val="4A1E605F"/>
    <w:rsid w:val="4A318D6D"/>
    <w:rsid w:val="4A370077"/>
    <w:rsid w:val="4A3A9A8B"/>
    <w:rsid w:val="4A4155D5"/>
    <w:rsid w:val="4A49EBFC"/>
    <w:rsid w:val="4A5AABFC"/>
    <w:rsid w:val="4A723EB2"/>
    <w:rsid w:val="4A78107C"/>
    <w:rsid w:val="4A7FC972"/>
    <w:rsid w:val="4A82F142"/>
    <w:rsid w:val="4A87BEB3"/>
    <w:rsid w:val="4A90B2A9"/>
    <w:rsid w:val="4A9B8108"/>
    <w:rsid w:val="4A9D9A15"/>
    <w:rsid w:val="4AA66CCC"/>
    <w:rsid w:val="4AAAB415"/>
    <w:rsid w:val="4AAEAF95"/>
    <w:rsid w:val="4AB277EA"/>
    <w:rsid w:val="4AB521E8"/>
    <w:rsid w:val="4AB95822"/>
    <w:rsid w:val="4AC4A6DC"/>
    <w:rsid w:val="4AD4EF9E"/>
    <w:rsid w:val="4AD57CD4"/>
    <w:rsid w:val="4AD5B969"/>
    <w:rsid w:val="4ADF85C5"/>
    <w:rsid w:val="4AE59344"/>
    <w:rsid w:val="4AECC6E1"/>
    <w:rsid w:val="4AFF64C5"/>
    <w:rsid w:val="4B0413E2"/>
    <w:rsid w:val="4B113CEA"/>
    <w:rsid w:val="4B23F36A"/>
    <w:rsid w:val="4B312DAE"/>
    <w:rsid w:val="4B4364A1"/>
    <w:rsid w:val="4B4504C4"/>
    <w:rsid w:val="4B529AC0"/>
    <w:rsid w:val="4B587245"/>
    <w:rsid w:val="4B596310"/>
    <w:rsid w:val="4B61D068"/>
    <w:rsid w:val="4B6B751D"/>
    <w:rsid w:val="4B6DFE42"/>
    <w:rsid w:val="4B72CF00"/>
    <w:rsid w:val="4B7335C3"/>
    <w:rsid w:val="4B829076"/>
    <w:rsid w:val="4B84E77E"/>
    <w:rsid w:val="4B8BA64F"/>
    <w:rsid w:val="4B9B3647"/>
    <w:rsid w:val="4BA8DA00"/>
    <w:rsid w:val="4BAA4D19"/>
    <w:rsid w:val="4BAFE7DE"/>
    <w:rsid w:val="4BB81EB7"/>
    <w:rsid w:val="4BC2DE41"/>
    <w:rsid w:val="4BC30A99"/>
    <w:rsid w:val="4BC5A210"/>
    <w:rsid w:val="4BC62DE2"/>
    <w:rsid w:val="4BC6EDC6"/>
    <w:rsid w:val="4BD09852"/>
    <w:rsid w:val="4BD22BA8"/>
    <w:rsid w:val="4BE6648C"/>
    <w:rsid w:val="4BEEB3E3"/>
    <w:rsid w:val="4BF19D2F"/>
    <w:rsid w:val="4BF6AA9B"/>
    <w:rsid w:val="4BF70A1F"/>
    <w:rsid w:val="4BFE7058"/>
    <w:rsid w:val="4C1150C2"/>
    <w:rsid w:val="4C2448B5"/>
    <w:rsid w:val="4C2C85AC"/>
    <w:rsid w:val="4C2CF7CD"/>
    <w:rsid w:val="4C2FA1C2"/>
    <w:rsid w:val="4C3138BA"/>
    <w:rsid w:val="4C36F427"/>
    <w:rsid w:val="4C382653"/>
    <w:rsid w:val="4C385506"/>
    <w:rsid w:val="4C39ED56"/>
    <w:rsid w:val="4C422CFB"/>
    <w:rsid w:val="4C5F8103"/>
    <w:rsid w:val="4C647AB5"/>
    <w:rsid w:val="4C6B5F6D"/>
    <w:rsid w:val="4C7D76B9"/>
    <w:rsid w:val="4C7E93A8"/>
    <w:rsid w:val="4C832E15"/>
    <w:rsid w:val="4C8E93E3"/>
    <w:rsid w:val="4C908E2B"/>
    <w:rsid w:val="4C916247"/>
    <w:rsid w:val="4C9A296E"/>
    <w:rsid w:val="4C9B104D"/>
    <w:rsid w:val="4CA71605"/>
    <w:rsid w:val="4CAD1453"/>
    <w:rsid w:val="4CC1B9B3"/>
    <w:rsid w:val="4CC54D74"/>
    <w:rsid w:val="4CC8929C"/>
    <w:rsid w:val="4CDC9414"/>
    <w:rsid w:val="4CE2029F"/>
    <w:rsid w:val="4CE3BF8D"/>
    <w:rsid w:val="4CEA0BDD"/>
    <w:rsid w:val="4CEAF17F"/>
    <w:rsid w:val="4CEC8BB5"/>
    <w:rsid w:val="4CF0071B"/>
    <w:rsid w:val="4CF39CCC"/>
    <w:rsid w:val="4D0594CB"/>
    <w:rsid w:val="4D1466EA"/>
    <w:rsid w:val="4D170E75"/>
    <w:rsid w:val="4D27FBA4"/>
    <w:rsid w:val="4D2E296A"/>
    <w:rsid w:val="4D43A3EC"/>
    <w:rsid w:val="4D494EAE"/>
    <w:rsid w:val="4D4C7C24"/>
    <w:rsid w:val="4D4E2FF0"/>
    <w:rsid w:val="4D5F42FD"/>
    <w:rsid w:val="4D65A613"/>
    <w:rsid w:val="4D6A2102"/>
    <w:rsid w:val="4D6BE556"/>
    <w:rsid w:val="4D6C642D"/>
    <w:rsid w:val="4D876F1B"/>
    <w:rsid w:val="4D98800A"/>
    <w:rsid w:val="4DA78424"/>
    <w:rsid w:val="4DB3C012"/>
    <w:rsid w:val="4DB40F4C"/>
    <w:rsid w:val="4DBE2556"/>
    <w:rsid w:val="4DC058D8"/>
    <w:rsid w:val="4DC55CEA"/>
    <w:rsid w:val="4DE88A97"/>
    <w:rsid w:val="4DE9CD33"/>
    <w:rsid w:val="4E004B48"/>
    <w:rsid w:val="4E0F59E2"/>
    <w:rsid w:val="4E12552C"/>
    <w:rsid w:val="4E1D6BBD"/>
    <w:rsid w:val="4E265E01"/>
    <w:rsid w:val="4E3304D4"/>
    <w:rsid w:val="4E3E2FD8"/>
    <w:rsid w:val="4E413E9A"/>
    <w:rsid w:val="4E476E54"/>
    <w:rsid w:val="4E58527F"/>
    <w:rsid w:val="4E58B738"/>
    <w:rsid w:val="4E5F729D"/>
    <w:rsid w:val="4E606F25"/>
    <w:rsid w:val="4E627201"/>
    <w:rsid w:val="4E739D19"/>
    <w:rsid w:val="4E7E2A8C"/>
    <w:rsid w:val="4E806EFB"/>
    <w:rsid w:val="4E86E999"/>
    <w:rsid w:val="4E890C0A"/>
    <w:rsid w:val="4E9553B7"/>
    <w:rsid w:val="4E95E482"/>
    <w:rsid w:val="4E9D4564"/>
    <w:rsid w:val="4EAB6C9B"/>
    <w:rsid w:val="4EADE333"/>
    <w:rsid w:val="4EB00CDC"/>
    <w:rsid w:val="4EBCBD4A"/>
    <w:rsid w:val="4EC0C0AB"/>
    <w:rsid w:val="4EC7BF3D"/>
    <w:rsid w:val="4ED25119"/>
    <w:rsid w:val="4ED66873"/>
    <w:rsid w:val="4ED8637B"/>
    <w:rsid w:val="4F038EA2"/>
    <w:rsid w:val="4F061502"/>
    <w:rsid w:val="4F0A99D4"/>
    <w:rsid w:val="4F0C6689"/>
    <w:rsid w:val="4F13349C"/>
    <w:rsid w:val="4F243D49"/>
    <w:rsid w:val="4F25927A"/>
    <w:rsid w:val="4F2DB865"/>
    <w:rsid w:val="4F362D89"/>
    <w:rsid w:val="4F439763"/>
    <w:rsid w:val="4F4AF9FC"/>
    <w:rsid w:val="4F52C037"/>
    <w:rsid w:val="4F52C2C6"/>
    <w:rsid w:val="4F5C463A"/>
    <w:rsid w:val="4F6A15D7"/>
    <w:rsid w:val="4F6BCDAF"/>
    <w:rsid w:val="4F79D301"/>
    <w:rsid w:val="4F813BED"/>
    <w:rsid w:val="4F87EACE"/>
    <w:rsid w:val="4F89084F"/>
    <w:rsid w:val="4FA074F3"/>
    <w:rsid w:val="4FA53CD8"/>
    <w:rsid w:val="4FB5175C"/>
    <w:rsid w:val="4FB63600"/>
    <w:rsid w:val="4FB7F7E1"/>
    <w:rsid w:val="4FBC715B"/>
    <w:rsid w:val="4FC01881"/>
    <w:rsid w:val="4FC3AFD4"/>
    <w:rsid w:val="4FCA1361"/>
    <w:rsid w:val="4FCABEA8"/>
    <w:rsid w:val="4FD3536C"/>
    <w:rsid w:val="4FD4AD35"/>
    <w:rsid w:val="4FDA8A83"/>
    <w:rsid w:val="4FF318D1"/>
    <w:rsid w:val="4FF406F9"/>
    <w:rsid w:val="4FFB05F5"/>
    <w:rsid w:val="5007BDAE"/>
    <w:rsid w:val="5019D5AE"/>
    <w:rsid w:val="50216658"/>
    <w:rsid w:val="50281D65"/>
    <w:rsid w:val="502FF164"/>
    <w:rsid w:val="5030E5CD"/>
    <w:rsid w:val="5033FE48"/>
    <w:rsid w:val="503DFF50"/>
    <w:rsid w:val="5042FCCB"/>
    <w:rsid w:val="5047426A"/>
    <w:rsid w:val="50597A23"/>
    <w:rsid w:val="5067C17D"/>
    <w:rsid w:val="506E0405"/>
    <w:rsid w:val="50744800"/>
    <w:rsid w:val="50887F8A"/>
    <w:rsid w:val="50924596"/>
    <w:rsid w:val="5093BC38"/>
    <w:rsid w:val="5094255A"/>
    <w:rsid w:val="50977D2E"/>
    <w:rsid w:val="509D8393"/>
    <w:rsid w:val="50ACD387"/>
    <w:rsid w:val="50B633DF"/>
    <w:rsid w:val="50B75632"/>
    <w:rsid w:val="50CB4AE3"/>
    <w:rsid w:val="50CF30D9"/>
    <w:rsid w:val="50D36A44"/>
    <w:rsid w:val="50D4B4EF"/>
    <w:rsid w:val="50D63AD5"/>
    <w:rsid w:val="50DE2259"/>
    <w:rsid w:val="50F16645"/>
    <w:rsid w:val="50F4D1E3"/>
    <w:rsid w:val="51000B9D"/>
    <w:rsid w:val="5100F0CB"/>
    <w:rsid w:val="5108340B"/>
    <w:rsid w:val="511CF655"/>
    <w:rsid w:val="511F8798"/>
    <w:rsid w:val="512725BB"/>
    <w:rsid w:val="5130E4FE"/>
    <w:rsid w:val="513147C2"/>
    <w:rsid w:val="5133F74D"/>
    <w:rsid w:val="51385FC9"/>
    <w:rsid w:val="51399C61"/>
    <w:rsid w:val="51467F41"/>
    <w:rsid w:val="5146D0DC"/>
    <w:rsid w:val="51596436"/>
    <w:rsid w:val="51629A85"/>
    <w:rsid w:val="5163C925"/>
    <w:rsid w:val="516EACAD"/>
    <w:rsid w:val="51764FCB"/>
    <w:rsid w:val="5179C4D9"/>
    <w:rsid w:val="517C641B"/>
    <w:rsid w:val="5189D8EF"/>
    <w:rsid w:val="518EEE94"/>
    <w:rsid w:val="51ACC140"/>
    <w:rsid w:val="51B0CFDB"/>
    <w:rsid w:val="51B37CF3"/>
    <w:rsid w:val="51C8309C"/>
    <w:rsid w:val="51C9336C"/>
    <w:rsid w:val="51CBB7A8"/>
    <w:rsid w:val="51D107AA"/>
    <w:rsid w:val="51DD0B32"/>
    <w:rsid w:val="51F2C020"/>
    <w:rsid w:val="51F4664D"/>
    <w:rsid w:val="52096069"/>
    <w:rsid w:val="520E884B"/>
    <w:rsid w:val="5217F4C8"/>
    <w:rsid w:val="5219DCBC"/>
    <w:rsid w:val="521AC01F"/>
    <w:rsid w:val="521EDD75"/>
    <w:rsid w:val="5221D02C"/>
    <w:rsid w:val="5223104D"/>
    <w:rsid w:val="522353B6"/>
    <w:rsid w:val="5228E363"/>
    <w:rsid w:val="522BB4B0"/>
    <w:rsid w:val="522CD0D1"/>
    <w:rsid w:val="522D3E07"/>
    <w:rsid w:val="52312C0F"/>
    <w:rsid w:val="5232F3FA"/>
    <w:rsid w:val="523E6A3D"/>
    <w:rsid w:val="5240B27B"/>
    <w:rsid w:val="52417241"/>
    <w:rsid w:val="524BA3BF"/>
    <w:rsid w:val="524BE874"/>
    <w:rsid w:val="524C25CA"/>
    <w:rsid w:val="525BC405"/>
    <w:rsid w:val="526F8998"/>
    <w:rsid w:val="52723B99"/>
    <w:rsid w:val="52795477"/>
    <w:rsid w:val="528E29A9"/>
    <w:rsid w:val="5297CF14"/>
    <w:rsid w:val="529B2DD1"/>
    <w:rsid w:val="529E32D1"/>
    <w:rsid w:val="52A68827"/>
    <w:rsid w:val="52B3B2AE"/>
    <w:rsid w:val="52BAB727"/>
    <w:rsid w:val="52BDC302"/>
    <w:rsid w:val="52BED0FD"/>
    <w:rsid w:val="52CE76A5"/>
    <w:rsid w:val="52DC8B2F"/>
    <w:rsid w:val="52ED0933"/>
    <w:rsid w:val="52F16EFE"/>
    <w:rsid w:val="52F9558F"/>
    <w:rsid w:val="53078C20"/>
    <w:rsid w:val="530D8BAA"/>
    <w:rsid w:val="53136820"/>
    <w:rsid w:val="5314875D"/>
    <w:rsid w:val="53177689"/>
    <w:rsid w:val="531803D9"/>
    <w:rsid w:val="532DCB04"/>
    <w:rsid w:val="533222E7"/>
    <w:rsid w:val="53368A42"/>
    <w:rsid w:val="5343D7F7"/>
    <w:rsid w:val="534625E4"/>
    <w:rsid w:val="534A82CB"/>
    <w:rsid w:val="534DCA80"/>
    <w:rsid w:val="534F5FE6"/>
    <w:rsid w:val="53558805"/>
    <w:rsid w:val="5362E63E"/>
    <w:rsid w:val="536C045B"/>
    <w:rsid w:val="53784016"/>
    <w:rsid w:val="538A6B8B"/>
    <w:rsid w:val="538DE658"/>
    <w:rsid w:val="53937134"/>
    <w:rsid w:val="539FA90C"/>
    <w:rsid w:val="53A015D0"/>
    <w:rsid w:val="53AA5AFE"/>
    <w:rsid w:val="53C2DA2F"/>
    <w:rsid w:val="53CEA89E"/>
    <w:rsid w:val="53DD35D1"/>
    <w:rsid w:val="53E4FBEB"/>
    <w:rsid w:val="53F48995"/>
    <w:rsid w:val="5402903B"/>
    <w:rsid w:val="540646AB"/>
    <w:rsid w:val="5406D71D"/>
    <w:rsid w:val="54091876"/>
    <w:rsid w:val="540936DF"/>
    <w:rsid w:val="540FEBF1"/>
    <w:rsid w:val="5423C31A"/>
    <w:rsid w:val="5426A260"/>
    <w:rsid w:val="542CA74A"/>
    <w:rsid w:val="54344F83"/>
    <w:rsid w:val="54358580"/>
    <w:rsid w:val="545F98BB"/>
    <w:rsid w:val="5467EDAF"/>
    <w:rsid w:val="546E6D2C"/>
    <w:rsid w:val="547537D2"/>
    <w:rsid w:val="5480DF07"/>
    <w:rsid w:val="548B2F55"/>
    <w:rsid w:val="54938A5B"/>
    <w:rsid w:val="549A511F"/>
    <w:rsid w:val="549E7E98"/>
    <w:rsid w:val="54A09EB9"/>
    <w:rsid w:val="54B0CBF2"/>
    <w:rsid w:val="54B2600A"/>
    <w:rsid w:val="54C10F03"/>
    <w:rsid w:val="54C6D49F"/>
    <w:rsid w:val="54CA2D11"/>
    <w:rsid w:val="54CBAF7D"/>
    <w:rsid w:val="54DBA275"/>
    <w:rsid w:val="54DBC74E"/>
    <w:rsid w:val="54DBCE92"/>
    <w:rsid w:val="54FEACE2"/>
    <w:rsid w:val="550CB732"/>
    <w:rsid w:val="550D382F"/>
    <w:rsid w:val="5521EB0D"/>
    <w:rsid w:val="5530935C"/>
    <w:rsid w:val="5532316B"/>
    <w:rsid w:val="5537F01E"/>
    <w:rsid w:val="5555AAE7"/>
    <w:rsid w:val="556BD168"/>
    <w:rsid w:val="5573CC86"/>
    <w:rsid w:val="557F10EC"/>
    <w:rsid w:val="55837603"/>
    <w:rsid w:val="55897F84"/>
    <w:rsid w:val="55969D99"/>
    <w:rsid w:val="559F7EF0"/>
    <w:rsid w:val="55A41319"/>
    <w:rsid w:val="55A4AD67"/>
    <w:rsid w:val="55ABAD8A"/>
    <w:rsid w:val="55ABC045"/>
    <w:rsid w:val="55AED106"/>
    <w:rsid w:val="55B04111"/>
    <w:rsid w:val="55CC6A0F"/>
    <w:rsid w:val="55D733BD"/>
    <w:rsid w:val="55DEA795"/>
    <w:rsid w:val="55EA1410"/>
    <w:rsid w:val="55EAA986"/>
    <w:rsid w:val="55EB73DC"/>
    <w:rsid w:val="55EB9DF3"/>
    <w:rsid w:val="55EF5463"/>
    <w:rsid w:val="55F78500"/>
    <w:rsid w:val="55FCBA24"/>
    <w:rsid w:val="55FD21B2"/>
    <w:rsid w:val="5607FC90"/>
    <w:rsid w:val="56094411"/>
    <w:rsid w:val="560C51A5"/>
    <w:rsid w:val="560FD179"/>
    <w:rsid w:val="561D08EE"/>
    <w:rsid w:val="5620E988"/>
    <w:rsid w:val="562EDC08"/>
    <w:rsid w:val="5653A9A3"/>
    <w:rsid w:val="5656D60A"/>
    <w:rsid w:val="566369AB"/>
    <w:rsid w:val="566E65D4"/>
    <w:rsid w:val="567C6D95"/>
    <w:rsid w:val="567DD00D"/>
    <w:rsid w:val="568331B2"/>
    <w:rsid w:val="56939801"/>
    <w:rsid w:val="5693DE5D"/>
    <w:rsid w:val="569B2F9B"/>
    <w:rsid w:val="56A8AD5C"/>
    <w:rsid w:val="56A8D4CC"/>
    <w:rsid w:val="56AA02DA"/>
    <w:rsid w:val="56AAE6A4"/>
    <w:rsid w:val="56AC3A49"/>
    <w:rsid w:val="56AFB5B6"/>
    <w:rsid w:val="56B3A715"/>
    <w:rsid w:val="56B5413D"/>
    <w:rsid w:val="56C2463A"/>
    <w:rsid w:val="56C9508A"/>
    <w:rsid w:val="56CF1921"/>
    <w:rsid w:val="56D2D2D4"/>
    <w:rsid w:val="56DF848F"/>
    <w:rsid w:val="56ED6458"/>
    <w:rsid w:val="56EFD655"/>
    <w:rsid w:val="56F1F562"/>
    <w:rsid w:val="57134723"/>
    <w:rsid w:val="571B1614"/>
    <w:rsid w:val="571CB851"/>
    <w:rsid w:val="571E6757"/>
    <w:rsid w:val="572834DF"/>
    <w:rsid w:val="572B7EF7"/>
    <w:rsid w:val="572B8CD7"/>
    <w:rsid w:val="572D8C30"/>
    <w:rsid w:val="5736F121"/>
    <w:rsid w:val="573BC9FB"/>
    <w:rsid w:val="57471C37"/>
    <w:rsid w:val="574C6796"/>
    <w:rsid w:val="57539597"/>
    <w:rsid w:val="57647DDE"/>
    <w:rsid w:val="576B9DB1"/>
    <w:rsid w:val="5775F60B"/>
    <w:rsid w:val="57951EE7"/>
    <w:rsid w:val="57967AA0"/>
    <w:rsid w:val="57A7AB97"/>
    <w:rsid w:val="57B15186"/>
    <w:rsid w:val="57B6BDF4"/>
    <w:rsid w:val="57B741BA"/>
    <w:rsid w:val="57BA007B"/>
    <w:rsid w:val="57BF7335"/>
    <w:rsid w:val="57C203B8"/>
    <w:rsid w:val="57C7184A"/>
    <w:rsid w:val="57D511D3"/>
    <w:rsid w:val="57D5BAFB"/>
    <w:rsid w:val="57DD1ED6"/>
    <w:rsid w:val="57E5B8B0"/>
    <w:rsid w:val="57EDE861"/>
    <w:rsid w:val="57F4FEAD"/>
    <w:rsid w:val="57F825FB"/>
    <w:rsid w:val="57FA297C"/>
    <w:rsid w:val="57FC589B"/>
    <w:rsid w:val="57FE6012"/>
    <w:rsid w:val="58056912"/>
    <w:rsid w:val="580B550D"/>
    <w:rsid w:val="581537CB"/>
    <w:rsid w:val="581795E2"/>
    <w:rsid w:val="5818B3E6"/>
    <w:rsid w:val="581EBDC7"/>
    <w:rsid w:val="581F49E1"/>
    <w:rsid w:val="58289724"/>
    <w:rsid w:val="5830E91E"/>
    <w:rsid w:val="5835EB99"/>
    <w:rsid w:val="583B2B31"/>
    <w:rsid w:val="583C459A"/>
    <w:rsid w:val="583C885A"/>
    <w:rsid w:val="5841E498"/>
    <w:rsid w:val="58592A57"/>
    <w:rsid w:val="58681CEC"/>
    <w:rsid w:val="586DF9C9"/>
    <w:rsid w:val="5878679E"/>
    <w:rsid w:val="587ACDA1"/>
    <w:rsid w:val="587E08CE"/>
    <w:rsid w:val="58835D5D"/>
    <w:rsid w:val="588DF36A"/>
    <w:rsid w:val="588FDA55"/>
    <w:rsid w:val="5899EA07"/>
    <w:rsid w:val="589C4541"/>
    <w:rsid w:val="589ED9AF"/>
    <w:rsid w:val="58ADF966"/>
    <w:rsid w:val="58CE39F4"/>
    <w:rsid w:val="58CEF158"/>
    <w:rsid w:val="58DC24C4"/>
    <w:rsid w:val="58E543A3"/>
    <w:rsid w:val="58F6454B"/>
    <w:rsid w:val="5903FC09"/>
    <w:rsid w:val="59043693"/>
    <w:rsid w:val="590733AE"/>
    <w:rsid w:val="59149005"/>
    <w:rsid w:val="5926A489"/>
    <w:rsid w:val="593C00C5"/>
    <w:rsid w:val="593F8C12"/>
    <w:rsid w:val="5940A348"/>
    <w:rsid w:val="5945EE0E"/>
    <w:rsid w:val="5947AB58"/>
    <w:rsid w:val="5949B55D"/>
    <w:rsid w:val="595AF66C"/>
    <w:rsid w:val="5961ADFF"/>
    <w:rsid w:val="596DC2DD"/>
    <w:rsid w:val="597CF1B5"/>
    <w:rsid w:val="598E1DC0"/>
    <w:rsid w:val="59A0FDB8"/>
    <w:rsid w:val="59A3903D"/>
    <w:rsid w:val="59BD2CC1"/>
    <w:rsid w:val="59C1E278"/>
    <w:rsid w:val="59C6270A"/>
    <w:rsid w:val="59CD28E5"/>
    <w:rsid w:val="59D406D0"/>
    <w:rsid w:val="59DD6DA7"/>
    <w:rsid w:val="59E1CF16"/>
    <w:rsid w:val="59E43FA4"/>
    <w:rsid w:val="59E4D4EA"/>
    <w:rsid w:val="59E5B657"/>
    <w:rsid w:val="59EF07A5"/>
    <w:rsid w:val="5A0F30A0"/>
    <w:rsid w:val="5A1BAD9E"/>
    <w:rsid w:val="5A1F697D"/>
    <w:rsid w:val="5A3B91F0"/>
    <w:rsid w:val="5A3C4E06"/>
    <w:rsid w:val="5A3FF6D8"/>
    <w:rsid w:val="5A434544"/>
    <w:rsid w:val="5A486F40"/>
    <w:rsid w:val="5A4D3E8C"/>
    <w:rsid w:val="5A4F77AE"/>
    <w:rsid w:val="5A59015B"/>
    <w:rsid w:val="5A59FF45"/>
    <w:rsid w:val="5A63F3A3"/>
    <w:rsid w:val="5A6F4298"/>
    <w:rsid w:val="5A703D67"/>
    <w:rsid w:val="5A70BE2C"/>
    <w:rsid w:val="5A84D674"/>
    <w:rsid w:val="5A86D0A6"/>
    <w:rsid w:val="5A8C1F0D"/>
    <w:rsid w:val="5A8C4316"/>
    <w:rsid w:val="5A9631A4"/>
    <w:rsid w:val="5A973551"/>
    <w:rsid w:val="5A9E3B5B"/>
    <w:rsid w:val="5AAA4AC5"/>
    <w:rsid w:val="5AAA5B15"/>
    <w:rsid w:val="5AADDA7C"/>
    <w:rsid w:val="5AB2B6A1"/>
    <w:rsid w:val="5AB56628"/>
    <w:rsid w:val="5AB7E0DA"/>
    <w:rsid w:val="5ABBEA55"/>
    <w:rsid w:val="5AC08B92"/>
    <w:rsid w:val="5AC58096"/>
    <w:rsid w:val="5ACC721C"/>
    <w:rsid w:val="5AD4BEA7"/>
    <w:rsid w:val="5ADEAF55"/>
    <w:rsid w:val="5AE8973E"/>
    <w:rsid w:val="5AEE6DD6"/>
    <w:rsid w:val="5AFB08DF"/>
    <w:rsid w:val="5B0210F3"/>
    <w:rsid w:val="5B167867"/>
    <w:rsid w:val="5B3167C7"/>
    <w:rsid w:val="5B381465"/>
    <w:rsid w:val="5B3C0F9B"/>
    <w:rsid w:val="5B4CDE6F"/>
    <w:rsid w:val="5B4EC044"/>
    <w:rsid w:val="5B513438"/>
    <w:rsid w:val="5B52AC76"/>
    <w:rsid w:val="5B56F2CF"/>
    <w:rsid w:val="5B5BB170"/>
    <w:rsid w:val="5B5DD1D9"/>
    <w:rsid w:val="5B64E794"/>
    <w:rsid w:val="5B7394F5"/>
    <w:rsid w:val="5B79D57E"/>
    <w:rsid w:val="5B7C13FB"/>
    <w:rsid w:val="5B7CFEFB"/>
    <w:rsid w:val="5B8196E9"/>
    <w:rsid w:val="5B858521"/>
    <w:rsid w:val="5B899B3C"/>
    <w:rsid w:val="5B8B0848"/>
    <w:rsid w:val="5B971F55"/>
    <w:rsid w:val="5BABA0D6"/>
    <w:rsid w:val="5BAD6FB0"/>
    <w:rsid w:val="5BAF1D92"/>
    <w:rsid w:val="5BAFB558"/>
    <w:rsid w:val="5BB2DA46"/>
    <w:rsid w:val="5BB5369D"/>
    <w:rsid w:val="5BCA5630"/>
    <w:rsid w:val="5BD2C403"/>
    <w:rsid w:val="5BD42078"/>
    <w:rsid w:val="5BD46241"/>
    <w:rsid w:val="5BD6384A"/>
    <w:rsid w:val="5BD8F768"/>
    <w:rsid w:val="5BDD884B"/>
    <w:rsid w:val="5BDF4DCC"/>
    <w:rsid w:val="5BE8D4C5"/>
    <w:rsid w:val="5BE9E3AE"/>
    <w:rsid w:val="5BEFABAA"/>
    <w:rsid w:val="5BF70B2B"/>
    <w:rsid w:val="5BF7FDF2"/>
    <w:rsid w:val="5C03845D"/>
    <w:rsid w:val="5C0C55BB"/>
    <w:rsid w:val="5C0D6967"/>
    <w:rsid w:val="5C15190D"/>
    <w:rsid w:val="5C192B37"/>
    <w:rsid w:val="5C24CF2A"/>
    <w:rsid w:val="5C28360F"/>
    <w:rsid w:val="5C2B55C6"/>
    <w:rsid w:val="5C3BBA29"/>
    <w:rsid w:val="5C46E3AA"/>
    <w:rsid w:val="5C4F3247"/>
    <w:rsid w:val="5C4F6291"/>
    <w:rsid w:val="5C533D24"/>
    <w:rsid w:val="5C5E074F"/>
    <w:rsid w:val="5C675045"/>
    <w:rsid w:val="5C6967AD"/>
    <w:rsid w:val="5C82BF7F"/>
    <w:rsid w:val="5C872578"/>
    <w:rsid w:val="5C8D084D"/>
    <w:rsid w:val="5C8F831A"/>
    <w:rsid w:val="5CAD2E98"/>
    <w:rsid w:val="5CBF3AC5"/>
    <w:rsid w:val="5CCA1FF6"/>
    <w:rsid w:val="5CCAFE97"/>
    <w:rsid w:val="5CCB9BB7"/>
    <w:rsid w:val="5CD1C288"/>
    <w:rsid w:val="5CDA8570"/>
    <w:rsid w:val="5CDBDB35"/>
    <w:rsid w:val="5CE62E93"/>
    <w:rsid w:val="5CEA467E"/>
    <w:rsid w:val="5CEF58FC"/>
    <w:rsid w:val="5CF52BF2"/>
    <w:rsid w:val="5CF5A1EE"/>
    <w:rsid w:val="5CF6BB7F"/>
    <w:rsid w:val="5CF7E871"/>
    <w:rsid w:val="5CFDD8B2"/>
    <w:rsid w:val="5D01806F"/>
    <w:rsid w:val="5D02FAC4"/>
    <w:rsid w:val="5D149274"/>
    <w:rsid w:val="5D2B8E6E"/>
    <w:rsid w:val="5D2E0D59"/>
    <w:rsid w:val="5D2E975B"/>
    <w:rsid w:val="5D2F3CAB"/>
    <w:rsid w:val="5D39437F"/>
    <w:rsid w:val="5D47D757"/>
    <w:rsid w:val="5D5A9463"/>
    <w:rsid w:val="5D641620"/>
    <w:rsid w:val="5D69FF1C"/>
    <w:rsid w:val="5D6A29FB"/>
    <w:rsid w:val="5D6D60AB"/>
    <w:rsid w:val="5D730ED5"/>
    <w:rsid w:val="5D7B76D1"/>
    <w:rsid w:val="5D7DAF41"/>
    <w:rsid w:val="5D90404F"/>
    <w:rsid w:val="5D9AD230"/>
    <w:rsid w:val="5DA6A3E1"/>
    <w:rsid w:val="5DA862EC"/>
    <w:rsid w:val="5DAD9AA1"/>
    <w:rsid w:val="5DAF076B"/>
    <w:rsid w:val="5DB724B1"/>
    <w:rsid w:val="5DBDA885"/>
    <w:rsid w:val="5DCE1577"/>
    <w:rsid w:val="5DD34987"/>
    <w:rsid w:val="5DD79173"/>
    <w:rsid w:val="5DD85CA0"/>
    <w:rsid w:val="5DDAE5E2"/>
    <w:rsid w:val="5DE4A372"/>
    <w:rsid w:val="5E07EF22"/>
    <w:rsid w:val="5E0E8E8E"/>
    <w:rsid w:val="5E117531"/>
    <w:rsid w:val="5E19DD6C"/>
    <w:rsid w:val="5E2AA1DF"/>
    <w:rsid w:val="5E2EFF14"/>
    <w:rsid w:val="5E2F4443"/>
    <w:rsid w:val="5E314448"/>
    <w:rsid w:val="5E406F5A"/>
    <w:rsid w:val="5E487E5F"/>
    <w:rsid w:val="5E6C4E8A"/>
    <w:rsid w:val="5E6FC826"/>
    <w:rsid w:val="5E744998"/>
    <w:rsid w:val="5E74E2EE"/>
    <w:rsid w:val="5E89AAD9"/>
    <w:rsid w:val="5E905DED"/>
    <w:rsid w:val="5E95D442"/>
    <w:rsid w:val="5E9FFE0C"/>
    <w:rsid w:val="5EA00AB9"/>
    <w:rsid w:val="5EA07690"/>
    <w:rsid w:val="5EABE6C1"/>
    <w:rsid w:val="5EC014F6"/>
    <w:rsid w:val="5ECAD6EB"/>
    <w:rsid w:val="5ED0F229"/>
    <w:rsid w:val="5ED64FF5"/>
    <w:rsid w:val="5EE3766F"/>
    <w:rsid w:val="5EE494C6"/>
    <w:rsid w:val="5EE9A51F"/>
    <w:rsid w:val="5EEC317F"/>
    <w:rsid w:val="5EED92FC"/>
    <w:rsid w:val="5EEFB8B4"/>
    <w:rsid w:val="5EF5CB4F"/>
    <w:rsid w:val="5EFF55D0"/>
    <w:rsid w:val="5F011129"/>
    <w:rsid w:val="5F03A9D4"/>
    <w:rsid w:val="5F06CA8B"/>
    <w:rsid w:val="5F07A820"/>
    <w:rsid w:val="5F0C5284"/>
    <w:rsid w:val="5F0E9535"/>
    <w:rsid w:val="5F0EAC2A"/>
    <w:rsid w:val="5F14078B"/>
    <w:rsid w:val="5F3E6EE5"/>
    <w:rsid w:val="5F445010"/>
    <w:rsid w:val="5F5045BF"/>
    <w:rsid w:val="5F514032"/>
    <w:rsid w:val="5F582B4D"/>
    <w:rsid w:val="5F590647"/>
    <w:rsid w:val="5F5F1082"/>
    <w:rsid w:val="5F69893A"/>
    <w:rsid w:val="5F7674B3"/>
    <w:rsid w:val="5F7A6456"/>
    <w:rsid w:val="5F82FB79"/>
    <w:rsid w:val="5F9043FF"/>
    <w:rsid w:val="5F9AE97A"/>
    <w:rsid w:val="5FA275F3"/>
    <w:rsid w:val="5FA37A59"/>
    <w:rsid w:val="5FA7082C"/>
    <w:rsid w:val="5FACA9D3"/>
    <w:rsid w:val="5FAF01F2"/>
    <w:rsid w:val="5FBC48B7"/>
    <w:rsid w:val="5FBFCAB9"/>
    <w:rsid w:val="5FC37FD8"/>
    <w:rsid w:val="5FCA1674"/>
    <w:rsid w:val="5FD53A63"/>
    <w:rsid w:val="5FDE88DD"/>
    <w:rsid w:val="5FDEB606"/>
    <w:rsid w:val="5FE6DC69"/>
    <w:rsid w:val="5FE9DC9C"/>
    <w:rsid w:val="6006308F"/>
    <w:rsid w:val="600A2868"/>
    <w:rsid w:val="6018939C"/>
    <w:rsid w:val="601A558E"/>
    <w:rsid w:val="6027CE05"/>
    <w:rsid w:val="602A3587"/>
    <w:rsid w:val="60336C37"/>
    <w:rsid w:val="6034AFCD"/>
    <w:rsid w:val="6049D5E4"/>
    <w:rsid w:val="604D7363"/>
    <w:rsid w:val="606040B9"/>
    <w:rsid w:val="6061BFB0"/>
    <w:rsid w:val="606290E6"/>
    <w:rsid w:val="60660C70"/>
    <w:rsid w:val="6078134C"/>
    <w:rsid w:val="607A4C1B"/>
    <w:rsid w:val="607FAFD0"/>
    <w:rsid w:val="6083CC27"/>
    <w:rsid w:val="60876F57"/>
    <w:rsid w:val="60878037"/>
    <w:rsid w:val="608B47E9"/>
    <w:rsid w:val="608BBAB7"/>
    <w:rsid w:val="60985289"/>
    <w:rsid w:val="609A9150"/>
    <w:rsid w:val="60A1DAD5"/>
    <w:rsid w:val="60A357E9"/>
    <w:rsid w:val="60ABE6D9"/>
    <w:rsid w:val="60B16AC8"/>
    <w:rsid w:val="60B75C12"/>
    <w:rsid w:val="60BF01BD"/>
    <w:rsid w:val="60BFA3F9"/>
    <w:rsid w:val="60CD9784"/>
    <w:rsid w:val="60D9D0B6"/>
    <w:rsid w:val="60EE8E86"/>
    <w:rsid w:val="60F09B92"/>
    <w:rsid w:val="60F3D840"/>
    <w:rsid w:val="60FD2530"/>
    <w:rsid w:val="60FDE762"/>
    <w:rsid w:val="61043E37"/>
    <w:rsid w:val="6105DB9B"/>
    <w:rsid w:val="61090914"/>
    <w:rsid w:val="611268D8"/>
    <w:rsid w:val="611CD0AB"/>
    <w:rsid w:val="611F3B6F"/>
    <w:rsid w:val="6126D80C"/>
    <w:rsid w:val="612CA96F"/>
    <w:rsid w:val="613AB9DE"/>
    <w:rsid w:val="6143234B"/>
    <w:rsid w:val="61542B84"/>
    <w:rsid w:val="615649D8"/>
    <w:rsid w:val="615B2004"/>
    <w:rsid w:val="615C62B0"/>
    <w:rsid w:val="616610E7"/>
    <w:rsid w:val="617657B0"/>
    <w:rsid w:val="617AC13C"/>
    <w:rsid w:val="6181412F"/>
    <w:rsid w:val="618A53F3"/>
    <w:rsid w:val="61929647"/>
    <w:rsid w:val="619F0FCD"/>
    <w:rsid w:val="61AC16CE"/>
    <w:rsid w:val="61B21A13"/>
    <w:rsid w:val="61B42592"/>
    <w:rsid w:val="61BF3878"/>
    <w:rsid w:val="61CF63C3"/>
    <w:rsid w:val="61EE8CCD"/>
    <w:rsid w:val="62062313"/>
    <w:rsid w:val="62079BF8"/>
    <w:rsid w:val="6208EA12"/>
    <w:rsid w:val="620F00F0"/>
    <w:rsid w:val="62114566"/>
    <w:rsid w:val="62158E13"/>
    <w:rsid w:val="621F23EC"/>
    <w:rsid w:val="6229C2EF"/>
    <w:rsid w:val="622D7017"/>
    <w:rsid w:val="622ECA0F"/>
    <w:rsid w:val="62312026"/>
    <w:rsid w:val="6234B0AC"/>
    <w:rsid w:val="62409B0E"/>
    <w:rsid w:val="62452934"/>
    <w:rsid w:val="6252B346"/>
    <w:rsid w:val="6254A14E"/>
    <w:rsid w:val="625BA70B"/>
    <w:rsid w:val="6261068E"/>
    <w:rsid w:val="6272A8A8"/>
    <w:rsid w:val="62756C4B"/>
    <w:rsid w:val="628D9F93"/>
    <w:rsid w:val="62A8A1F2"/>
    <w:rsid w:val="62ACAA2C"/>
    <w:rsid w:val="62B2E018"/>
    <w:rsid w:val="62B922CE"/>
    <w:rsid w:val="62B9AC1B"/>
    <w:rsid w:val="62D5605C"/>
    <w:rsid w:val="62D7428B"/>
    <w:rsid w:val="62ED683D"/>
    <w:rsid w:val="62F43557"/>
    <w:rsid w:val="63010794"/>
    <w:rsid w:val="63058178"/>
    <w:rsid w:val="630590C5"/>
    <w:rsid w:val="630A4DFE"/>
    <w:rsid w:val="630BB5C9"/>
    <w:rsid w:val="630EFD02"/>
    <w:rsid w:val="63119E2D"/>
    <w:rsid w:val="63176E6D"/>
    <w:rsid w:val="6317E762"/>
    <w:rsid w:val="632707C7"/>
    <w:rsid w:val="632993EB"/>
    <w:rsid w:val="632F072E"/>
    <w:rsid w:val="632FDC3F"/>
    <w:rsid w:val="633184F5"/>
    <w:rsid w:val="6337EF9F"/>
    <w:rsid w:val="633878AA"/>
    <w:rsid w:val="634575C7"/>
    <w:rsid w:val="63522AE1"/>
    <w:rsid w:val="63614134"/>
    <w:rsid w:val="63897B96"/>
    <w:rsid w:val="638F33D8"/>
    <w:rsid w:val="639E330A"/>
    <w:rsid w:val="63A192EE"/>
    <w:rsid w:val="63A41102"/>
    <w:rsid w:val="63BEF2EC"/>
    <w:rsid w:val="63C8C58E"/>
    <w:rsid w:val="63EBEED6"/>
    <w:rsid w:val="63F3AF0A"/>
    <w:rsid w:val="63F5B525"/>
    <w:rsid w:val="64006117"/>
    <w:rsid w:val="640152BB"/>
    <w:rsid w:val="6405E78D"/>
    <w:rsid w:val="6409B666"/>
    <w:rsid w:val="641B134C"/>
    <w:rsid w:val="641B6336"/>
    <w:rsid w:val="642E7EC6"/>
    <w:rsid w:val="64362A7A"/>
    <w:rsid w:val="64470688"/>
    <w:rsid w:val="644B4C90"/>
    <w:rsid w:val="645AA260"/>
    <w:rsid w:val="6468C2DD"/>
    <w:rsid w:val="647114AE"/>
    <w:rsid w:val="64747F61"/>
    <w:rsid w:val="6476B50C"/>
    <w:rsid w:val="6477D9D3"/>
    <w:rsid w:val="6478C6D6"/>
    <w:rsid w:val="647AC358"/>
    <w:rsid w:val="6481D245"/>
    <w:rsid w:val="64839FB4"/>
    <w:rsid w:val="6484CBD9"/>
    <w:rsid w:val="649A2025"/>
    <w:rsid w:val="649DD2C7"/>
    <w:rsid w:val="64A71720"/>
    <w:rsid w:val="64B9C672"/>
    <w:rsid w:val="64BFC1EA"/>
    <w:rsid w:val="64C687B7"/>
    <w:rsid w:val="64CBF7D2"/>
    <w:rsid w:val="64DFDE1D"/>
    <w:rsid w:val="64E1E78B"/>
    <w:rsid w:val="64FF637D"/>
    <w:rsid w:val="65013664"/>
    <w:rsid w:val="652393AD"/>
    <w:rsid w:val="65271C9C"/>
    <w:rsid w:val="6527E161"/>
    <w:rsid w:val="654708F7"/>
    <w:rsid w:val="6549DFAE"/>
    <w:rsid w:val="655DC67E"/>
    <w:rsid w:val="65675B1D"/>
    <w:rsid w:val="6567ADAC"/>
    <w:rsid w:val="656C65DE"/>
    <w:rsid w:val="656F7AE4"/>
    <w:rsid w:val="65724C81"/>
    <w:rsid w:val="6577F90C"/>
    <w:rsid w:val="6582C9D8"/>
    <w:rsid w:val="658B02EC"/>
    <w:rsid w:val="658E0EC2"/>
    <w:rsid w:val="658E7B97"/>
    <w:rsid w:val="65900600"/>
    <w:rsid w:val="65970566"/>
    <w:rsid w:val="659EA02E"/>
    <w:rsid w:val="65A1E63C"/>
    <w:rsid w:val="65A9DDDC"/>
    <w:rsid w:val="65B9CD5D"/>
    <w:rsid w:val="65BB78FB"/>
    <w:rsid w:val="65BDB5B4"/>
    <w:rsid w:val="65D67D9F"/>
    <w:rsid w:val="65D74DE5"/>
    <w:rsid w:val="65DA9E26"/>
    <w:rsid w:val="65DC7C2F"/>
    <w:rsid w:val="65E0FD5B"/>
    <w:rsid w:val="65E804E2"/>
    <w:rsid w:val="65E85602"/>
    <w:rsid w:val="65F09CBB"/>
    <w:rsid w:val="65F5C660"/>
    <w:rsid w:val="6600C9BE"/>
    <w:rsid w:val="66011824"/>
    <w:rsid w:val="66274CDB"/>
    <w:rsid w:val="66289722"/>
    <w:rsid w:val="663764F3"/>
    <w:rsid w:val="66454212"/>
    <w:rsid w:val="66599DDD"/>
    <w:rsid w:val="6668F003"/>
    <w:rsid w:val="66725D15"/>
    <w:rsid w:val="6687312B"/>
    <w:rsid w:val="6692F907"/>
    <w:rsid w:val="6692FA2C"/>
    <w:rsid w:val="66A49B83"/>
    <w:rsid w:val="66A56C11"/>
    <w:rsid w:val="66B95549"/>
    <w:rsid w:val="66BA85A2"/>
    <w:rsid w:val="66C06321"/>
    <w:rsid w:val="66CC3120"/>
    <w:rsid w:val="66CC9529"/>
    <w:rsid w:val="66D7733C"/>
    <w:rsid w:val="66DC7D7B"/>
    <w:rsid w:val="66DCB493"/>
    <w:rsid w:val="66DF6C43"/>
    <w:rsid w:val="66E9D959"/>
    <w:rsid w:val="66FB627D"/>
    <w:rsid w:val="66FF08DF"/>
    <w:rsid w:val="670844E7"/>
    <w:rsid w:val="670A843B"/>
    <w:rsid w:val="670B2EAA"/>
    <w:rsid w:val="67124DF3"/>
    <w:rsid w:val="6718AAD8"/>
    <w:rsid w:val="671B3126"/>
    <w:rsid w:val="671E5270"/>
    <w:rsid w:val="673005FA"/>
    <w:rsid w:val="67467D67"/>
    <w:rsid w:val="6758EF6A"/>
    <w:rsid w:val="675D95A6"/>
    <w:rsid w:val="676A11B1"/>
    <w:rsid w:val="676CA10A"/>
    <w:rsid w:val="676E4239"/>
    <w:rsid w:val="677F817C"/>
    <w:rsid w:val="677FF643"/>
    <w:rsid w:val="6781CBD3"/>
    <w:rsid w:val="67919DD3"/>
    <w:rsid w:val="67A667B2"/>
    <w:rsid w:val="67A8BBAB"/>
    <w:rsid w:val="67AB1157"/>
    <w:rsid w:val="67B78CB1"/>
    <w:rsid w:val="67B9DB8F"/>
    <w:rsid w:val="67CE3660"/>
    <w:rsid w:val="67D043D6"/>
    <w:rsid w:val="67E4CE9A"/>
    <w:rsid w:val="67ECE146"/>
    <w:rsid w:val="67EDC13E"/>
    <w:rsid w:val="6800D8AA"/>
    <w:rsid w:val="6807E74C"/>
    <w:rsid w:val="681BAF52"/>
    <w:rsid w:val="68236E76"/>
    <w:rsid w:val="6824C8F8"/>
    <w:rsid w:val="6826ED60"/>
    <w:rsid w:val="682B0CBA"/>
    <w:rsid w:val="682CE724"/>
    <w:rsid w:val="682DFC5C"/>
    <w:rsid w:val="6842D799"/>
    <w:rsid w:val="6851E90B"/>
    <w:rsid w:val="68535624"/>
    <w:rsid w:val="68570820"/>
    <w:rsid w:val="685F7EDE"/>
    <w:rsid w:val="6860C2AA"/>
    <w:rsid w:val="68662338"/>
    <w:rsid w:val="686F9F38"/>
    <w:rsid w:val="687A61A2"/>
    <w:rsid w:val="687F35E3"/>
    <w:rsid w:val="6881CD9A"/>
    <w:rsid w:val="688E7223"/>
    <w:rsid w:val="68AA7A7D"/>
    <w:rsid w:val="68AE7ABD"/>
    <w:rsid w:val="68B24AE2"/>
    <w:rsid w:val="68CC7212"/>
    <w:rsid w:val="68D1BAC2"/>
    <w:rsid w:val="68DDD989"/>
    <w:rsid w:val="68E9DB91"/>
    <w:rsid w:val="68F0FEE6"/>
    <w:rsid w:val="68F222C6"/>
    <w:rsid w:val="68F5E3B3"/>
    <w:rsid w:val="68F6C63F"/>
    <w:rsid w:val="690842EC"/>
    <w:rsid w:val="690CD47E"/>
    <w:rsid w:val="690D21FE"/>
    <w:rsid w:val="690DBA2A"/>
    <w:rsid w:val="69136EC5"/>
    <w:rsid w:val="6920F032"/>
    <w:rsid w:val="6924CDAA"/>
    <w:rsid w:val="692B6571"/>
    <w:rsid w:val="692EFE57"/>
    <w:rsid w:val="6934F71B"/>
    <w:rsid w:val="693689C0"/>
    <w:rsid w:val="69522FF8"/>
    <w:rsid w:val="6954A163"/>
    <w:rsid w:val="69550E7D"/>
    <w:rsid w:val="695877D8"/>
    <w:rsid w:val="695DD88E"/>
    <w:rsid w:val="696C592E"/>
    <w:rsid w:val="69810CD3"/>
    <w:rsid w:val="6981ADCB"/>
    <w:rsid w:val="69903BD4"/>
    <w:rsid w:val="6994337A"/>
    <w:rsid w:val="699B817A"/>
    <w:rsid w:val="699D1689"/>
    <w:rsid w:val="69A7E6E0"/>
    <w:rsid w:val="69B88920"/>
    <w:rsid w:val="69C8801E"/>
    <w:rsid w:val="69D75CDC"/>
    <w:rsid w:val="69D86662"/>
    <w:rsid w:val="69DEAA3D"/>
    <w:rsid w:val="69ECB2D2"/>
    <w:rsid w:val="6A030F1A"/>
    <w:rsid w:val="6A0DA834"/>
    <w:rsid w:val="6A1E9B7A"/>
    <w:rsid w:val="6A2D0347"/>
    <w:rsid w:val="6A346972"/>
    <w:rsid w:val="6A383DE7"/>
    <w:rsid w:val="6A41B49C"/>
    <w:rsid w:val="6A467915"/>
    <w:rsid w:val="6A50BFC5"/>
    <w:rsid w:val="6A549E8B"/>
    <w:rsid w:val="6A5ECCD4"/>
    <w:rsid w:val="6A655F02"/>
    <w:rsid w:val="6A7F985A"/>
    <w:rsid w:val="6A80925F"/>
    <w:rsid w:val="6A81522D"/>
    <w:rsid w:val="6A8443F9"/>
    <w:rsid w:val="6A8A939B"/>
    <w:rsid w:val="6A8ACA07"/>
    <w:rsid w:val="6A8DE1BA"/>
    <w:rsid w:val="6A9ECC80"/>
    <w:rsid w:val="6A9F98BC"/>
    <w:rsid w:val="6AA641ED"/>
    <w:rsid w:val="6AAAA288"/>
    <w:rsid w:val="6AAFAE32"/>
    <w:rsid w:val="6AB02A19"/>
    <w:rsid w:val="6ABD9D56"/>
    <w:rsid w:val="6ABF61C5"/>
    <w:rsid w:val="6AC04C0D"/>
    <w:rsid w:val="6ACC090B"/>
    <w:rsid w:val="6AE34C9C"/>
    <w:rsid w:val="6AE825D7"/>
    <w:rsid w:val="6B03630D"/>
    <w:rsid w:val="6B0A4675"/>
    <w:rsid w:val="6B1E53A2"/>
    <w:rsid w:val="6B1EAAA3"/>
    <w:rsid w:val="6B1EB2BC"/>
    <w:rsid w:val="6B200AB8"/>
    <w:rsid w:val="6B2169F6"/>
    <w:rsid w:val="6B393AA0"/>
    <w:rsid w:val="6B3F0DE6"/>
    <w:rsid w:val="6B434073"/>
    <w:rsid w:val="6B4C50C5"/>
    <w:rsid w:val="6B5EF063"/>
    <w:rsid w:val="6B63CD76"/>
    <w:rsid w:val="6B645CA4"/>
    <w:rsid w:val="6B732301"/>
    <w:rsid w:val="6B7474D6"/>
    <w:rsid w:val="6B7F0B9D"/>
    <w:rsid w:val="6B96600A"/>
    <w:rsid w:val="6B9744E4"/>
    <w:rsid w:val="6B979A5E"/>
    <w:rsid w:val="6B9920E7"/>
    <w:rsid w:val="6BAA041A"/>
    <w:rsid w:val="6BAD70BB"/>
    <w:rsid w:val="6BB14119"/>
    <w:rsid w:val="6BBE0FBA"/>
    <w:rsid w:val="6BC06E41"/>
    <w:rsid w:val="6BC0ECAE"/>
    <w:rsid w:val="6BC861C7"/>
    <w:rsid w:val="6BD13BFB"/>
    <w:rsid w:val="6BD8FF01"/>
    <w:rsid w:val="6BEC5F7F"/>
    <w:rsid w:val="6BF0D480"/>
    <w:rsid w:val="6BFF2750"/>
    <w:rsid w:val="6C0250B2"/>
    <w:rsid w:val="6C0A70DC"/>
    <w:rsid w:val="6C0B185A"/>
    <w:rsid w:val="6C0B315A"/>
    <w:rsid w:val="6C0CB27F"/>
    <w:rsid w:val="6C10726B"/>
    <w:rsid w:val="6C183A53"/>
    <w:rsid w:val="6C29B95C"/>
    <w:rsid w:val="6C2BBA01"/>
    <w:rsid w:val="6C31052C"/>
    <w:rsid w:val="6C352272"/>
    <w:rsid w:val="6C3821BA"/>
    <w:rsid w:val="6C3C0A48"/>
    <w:rsid w:val="6C3F2CD8"/>
    <w:rsid w:val="6C531971"/>
    <w:rsid w:val="6C654EC6"/>
    <w:rsid w:val="6C682C35"/>
    <w:rsid w:val="6C6C9D70"/>
    <w:rsid w:val="6C6F4B1B"/>
    <w:rsid w:val="6C6FF1D2"/>
    <w:rsid w:val="6C8438B7"/>
    <w:rsid w:val="6C91AE17"/>
    <w:rsid w:val="6C92C992"/>
    <w:rsid w:val="6C9A5559"/>
    <w:rsid w:val="6CAB19F4"/>
    <w:rsid w:val="6CB50E16"/>
    <w:rsid w:val="6CBA7E91"/>
    <w:rsid w:val="6CBE56A9"/>
    <w:rsid w:val="6CC64A46"/>
    <w:rsid w:val="6CCA5BA2"/>
    <w:rsid w:val="6CCDD1B5"/>
    <w:rsid w:val="6CD9869A"/>
    <w:rsid w:val="6CE78BAB"/>
    <w:rsid w:val="6CF22A18"/>
    <w:rsid w:val="6CF9BDD8"/>
    <w:rsid w:val="6CFB8DCC"/>
    <w:rsid w:val="6CFE12F6"/>
    <w:rsid w:val="6D0087AF"/>
    <w:rsid w:val="6D18C7CD"/>
    <w:rsid w:val="6D205241"/>
    <w:rsid w:val="6D22CA1C"/>
    <w:rsid w:val="6D34DAF7"/>
    <w:rsid w:val="6D37B602"/>
    <w:rsid w:val="6D38C087"/>
    <w:rsid w:val="6D497689"/>
    <w:rsid w:val="6D502903"/>
    <w:rsid w:val="6D647FFA"/>
    <w:rsid w:val="6D697661"/>
    <w:rsid w:val="6D6AD44C"/>
    <w:rsid w:val="6D7265B2"/>
    <w:rsid w:val="6D741698"/>
    <w:rsid w:val="6D74EC35"/>
    <w:rsid w:val="6D7830C2"/>
    <w:rsid w:val="6D8320B2"/>
    <w:rsid w:val="6D8C10FC"/>
    <w:rsid w:val="6D8E4A8B"/>
    <w:rsid w:val="6D8E5F83"/>
    <w:rsid w:val="6D91143A"/>
    <w:rsid w:val="6D9DCACF"/>
    <w:rsid w:val="6DAF4FB2"/>
    <w:rsid w:val="6DB0F4DA"/>
    <w:rsid w:val="6DB11B2B"/>
    <w:rsid w:val="6DB1C3B8"/>
    <w:rsid w:val="6DB3D8F7"/>
    <w:rsid w:val="6DB54336"/>
    <w:rsid w:val="6DBEC36F"/>
    <w:rsid w:val="6DBF0A31"/>
    <w:rsid w:val="6DC23AE7"/>
    <w:rsid w:val="6DD796D0"/>
    <w:rsid w:val="6DFA579C"/>
    <w:rsid w:val="6E00FF1B"/>
    <w:rsid w:val="6E0A6FC6"/>
    <w:rsid w:val="6E150645"/>
    <w:rsid w:val="6E2019A6"/>
    <w:rsid w:val="6E207EA9"/>
    <w:rsid w:val="6E2EF4D4"/>
    <w:rsid w:val="6E483A75"/>
    <w:rsid w:val="6E4B029A"/>
    <w:rsid w:val="6E4B1F48"/>
    <w:rsid w:val="6E4CF0D8"/>
    <w:rsid w:val="6E5E7438"/>
    <w:rsid w:val="6E65094F"/>
    <w:rsid w:val="6E67D135"/>
    <w:rsid w:val="6E719D25"/>
    <w:rsid w:val="6E764891"/>
    <w:rsid w:val="6E788E0E"/>
    <w:rsid w:val="6E7C9638"/>
    <w:rsid w:val="6E832125"/>
    <w:rsid w:val="6E87AD3C"/>
    <w:rsid w:val="6E9C07A3"/>
    <w:rsid w:val="6EA338A5"/>
    <w:rsid w:val="6EA91840"/>
    <w:rsid w:val="6EB011E2"/>
    <w:rsid w:val="6EB01733"/>
    <w:rsid w:val="6EB1C9A5"/>
    <w:rsid w:val="6EBA0A61"/>
    <w:rsid w:val="6EC79EC4"/>
    <w:rsid w:val="6ECABD81"/>
    <w:rsid w:val="6ECACC91"/>
    <w:rsid w:val="6ECCD0AA"/>
    <w:rsid w:val="6ECCE849"/>
    <w:rsid w:val="6ED14F5F"/>
    <w:rsid w:val="6ED1A380"/>
    <w:rsid w:val="6EDB4B86"/>
    <w:rsid w:val="6EF57CBF"/>
    <w:rsid w:val="6EFD349C"/>
    <w:rsid w:val="6F030944"/>
    <w:rsid w:val="6F03E852"/>
    <w:rsid w:val="6F0826C6"/>
    <w:rsid w:val="6F116224"/>
    <w:rsid w:val="6F2B4365"/>
    <w:rsid w:val="6F3A44E5"/>
    <w:rsid w:val="6F3F6D4F"/>
    <w:rsid w:val="6F43A144"/>
    <w:rsid w:val="6F48DB8C"/>
    <w:rsid w:val="6F4CADCA"/>
    <w:rsid w:val="6F526772"/>
    <w:rsid w:val="6F5DE58D"/>
    <w:rsid w:val="6F6047C6"/>
    <w:rsid w:val="6F62EB0F"/>
    <w:rsid w:val="6F65E68B"/>
    <w:rsid w:val="6F6ED6B1"/>
    <w:rsid w:val="6F740E24"/>
    <w:rsid w:val="6F7AF4F0"/>
    <w:rsid w:val="6F7D7CC2"/>
    <w:rsid w:val="6F800121"/>
    <w:rsid w:val="6F8B586A"/>
    <w:rsid w:val="6F93A149"/>
    <w:rsid w:val="6F9AC4AC"/>
    <w:rsid w:val="6F9E36DB"/>
    <w:rsid w:val="6FAC1E0E"/>
    <w:rsid w:val="6FB3B0BA"/>
    <w:rsid w:val="6FB830AF"/>
    <w:rsid w:val="6FBA3539"/>
    <w:rsid w:val="6FBECB00"/>
    <w:rsid w:val="6FC54A17"/>
    <w:rsid w:val="6FC5C99E"/>
    <w:rsid w:val="6FCE8510"/>
    <w:rsid w:val="6FD246AA"/>
    <w:rsid w:val="6FD55764"/>
    <w:rsid w:val="6FE66EF1"/>
    <w:rsid w:val="6FEE9C31"/>
    <w:rsid w:val="6FF69165"/>
    <w:rsid w:val="6FF9FF05"/>
    <w:rsid w:val="70061FEC"/>
    <w:rsid w:val="700E70B2"/>
    <w:rsid w:val="70228AAC"/>
    <w:rsid w:val="7022ACBB"/>
    <w:rsid w:val="70240BB6"/>
    <w:rsid w:val="7025381B"/>
    <w:rsid w:val="7026D985"/>
    <w:rsid w:val="7027FAD9"/>
    <w:rsid w:val="702C6452"/>
    <w:rsid w:val="702DC287"/>
    <w:rsid w:val="702E0277"/>
    <w:rsid w:val="7038D154"/>
    <w:rsid w:val="70445FE9"/>
    <w:rsid w:val="705A9788"/>
    <w:rsid w:val="705B2B06"/>
    <w:rsid w:val="70637EFB"/>
    <w:rsid w:val="706ADBBD"/>
    <w:rsid w:val="707056D4"/>
    <w:rsid w:val="707482D0"/>
    <w:rsid w:val="70795C40"/>
    <w:rsid w:val="70797679"/>
    <w:rsid w:val="7085E88A"/>
    <w:rsid w:val="7089CC6C"/>
    <w:rsid w:val="7094B53B"/>
    <w:rsid w:val="7097B8D4"/>
    <w:rsid w:val="709F2B3B"/>
    <w:rsid w:val="70A26F42"/>
    <w:rsid w:val="70B36F13"/>
    <w:rsid w:val="70B4640B"/>
    <w:rsid w:val="70BB636E"/>
    <w:rsid w:val="70C5E02C"/>
    <w:rsid w:val="70DD821F"/>
    <w:rsid w:val="70E13411"/>
    <w:rsid w:val="70E450D5"/>
    <w:rsid w:val="70EF362B"/>
    <w:rsid w:val="70F69E75"/>
    <w:rsid w:val="70FA51AE"/>
    <w:rsid w:val="70FFDA22"/>
    <w:rsid w:val="7113CB9A"/>
    <w:rsid w:val="7132C148"/>
    <w:rsid w:val="7133F9C0"/>
    <w:rsid w:val="7142D017"/>
    <w:rsid w:val="71525745"/>
    <w:rsid w:val="7154735F"/>
    <w:rsid w:val="716CAF25"/>
    <w:rsid w:val="71859905"/>
    <w:rsid w:val="7186FF03"/>
    <w:rsid w:val="718C10CB"/>
    <w:rsid w:val="7191A7F4"/>
    <w:rsid w:val="7195A0FA"/>
    <w:rsid w:val="7199C092"/>
    <w:rsid w:val="719FB7DA"/>
    <w:rsid w:val="71AC539A"/>
    <w:rsid w:val="71B078C9"/>
    <w:rsid w:val="71BC9EBB"/>
    <w:rsid w:val="71BCC057"/>
    <w:rsid w:val="71DE5BA5"/>
    <w:rsid w:val="71E48D81"/>
    <w:rsid w:val="71E6CDD9"/>
    <w:rsid w:val="71E7961F"/>
    <w:rsid w:val="71E82F1B"/>
    <w:rsid w:val="71F165BA"/>
    <w:rsid w:val="71FD2C15"/>
    <w:rsid w:val="720C79A8"/>
    <w:rsid w:val="72129BDF"/>
    <w:rsid w:val="7217FF9E"/>
    <w:rsid w:val="721C16C6"/>
    <w:rsid w:val="721FB145"/>
    <w:rsid w:val="7228E05D"/>
    <w:rsid w:val="72343D84"/>
    <w:rsid w:val="72360CC2"/>
    <w:rsid w:val="7239116F"/>
    <w:rsid w:val="723A97EC"/>
    <w:rsid w:val="724DA848"/>
    <w:rsid w:val="72562784"/>
    <w:rsid w:val="7257D231"/>
    <w:rsid w:val="7261BF7F"/>
    <w:rsid w:val="726B198E"/>
    <w:rsid w:val="72743FE1"/>
    <w:rsid w:val="727E9168"/>
    <w:rsid w:val="7286BDD3"/>
    <w:rsid w:val="72912CC4"/>
    <w:rsid w:val="72929596"/>
    <w:rsid w:val="7296A1F1"/>
    <w:rsid w:val="72A32699"/>
    <w:rsid w:val="72B75DDB"/>
    <w:rsid w:val="72C7C641"/>
    <w:rsid w:val="72CAD8CC"/>
    <w:rsid w:val="72CDD554"/>
    <w:rsid w:val="72DB53BA"/>
    <w:rsid w:val="73095F03"/>
    <w:rsid w:val="730EB39A"/>
    <w:rsid w:val="73177846"/>
    <w:rsid w:val="7318396D"/>
    <w:rsid w:val="7318B234"/>
    <w:rsid w:val="7324E40E"/>
    <w:rsid w:val="73281EE8"/>
    <w:rsid w:val="733B84EF"/>
    <w:rsid w:val="73566BCB"/>
    <w:rsid w:val="735A2868"/>
    <w:rsid w:val="735B73E2"/>
    <w:rsid w:val="735B9BAB"/>
    <w:rsid w:val="7363DD03"/>
    <w:rsid w:val="737B611B"/>
    <w:rsid w:val="7380D9C0"/>
    <w:rsid w:val="73817617"/>
    <w:rsid w:val="73826288"/>
    <w:rsid w:val="738A524C"/>
    <w:rsid w:val="738C6652"/>
    <w:rsid w:val="73949FB9"/>
    <w:rsid w:val="7395FA29"/>
    <w:rsid w:val="7395FA53"/>
    <w:rsid w:val="7397AAD9"/>
    <w:rsid w:val="73BB4EB5"/>
    <w:rsid w:val="73C39DA7"/>
    <w:rsid w:val="73CD9B3B"/>
    <w:rsid w:val="73DB50F9"/>
    <w:rsid w:val="73DE5E90"/>
    <w:rsid w:val="73E48059"/>
    <w:rsid w:val="740730B9"/>
    <w:rsid w:val="7408FF35"/>
    <w:rsid w:val="74103067"/>
    <w:rsid w:val="7410A4E2"/>
    <w:rsid w:val="741B8564"/>
    <w:rsid w:val="741D4AF4"/>
    <w:rsid w:val="742AD6AE"/>
    <w:rsid w:val="742C5BE1"/>
    <w:rsid w:val="74338A43"/>
    <w:rsid w:val="743A4F18"/>
    <w:rsid w:val="7443E668"/>
    <w:rsid w:val="7448F6D4"/>
    <w:rsid w:val="74545EE5"/>
    <w:rsid w:val="7457F654"/>
    <w:rsid w:val="74680E8B"/>
    <w:rsid w:val="746F47FC"/>
    <w:rsid w:val="74713606"/>
    <w:rsid w:val="74732469"/>
    <w:rsid w:val="748211CE"/>
    <w:rsid w:val="749DFA2D"/>
    <w:rsid w:val="74A2A694"/>
    <w:rsid w:val="74AE7878"/>
    <w:rsid w:val="74BBAECF"/>
    <w:rsid w:val="74BBC6E6"/>
    <w:rsid w:val="74CCB90C"/>
    <w:rsid w:val="74D86DD3"/>
    <w:rsid w:val="74DFFC0C"/>
    <w:rsid w:val="74EAF122"/>
    <w:rsid w:val="74F3FB24"/>
    <w:rsid w:val="74F4FE3F"/>
    <w:rsid w:val="74F704C5"/>
    <w:rsid w:val="74FC2D52"/>
    <w:rsid w:val="750276E3"/>
    <w:rsid w:val="7506C35A"/>
    <w:rsid w:val="750AB5E3"/>
    <w:rsid w:val="751F9154"/>
    <w:rsid w:val="7526B1DB"/>
    <w:rsid w:val="752A6EC8"/>
    <w:rsid w:val="752D1518"/>
    <w:rsid w:val="7545ACA7"/>
    <w:rsid w:val="75487E87"/>
    <w:rsid w:val="754C022B"/>
    <w:rsid w:val="75500D4B"/>
    <w:rsid w:val="75507077"/>
    <w:rsid w:val="7557E0D5"/>
    <w:rsid w:val="75586B9B"/>
    <w:rsid w:val="755EBBFF"/>
    <w:rsid w:val="7569EED3"/>
    <w:rsid w:val="756BC3C1"/>
    <w:rsid w:val="756F2C20"/>
    <w:rsid w:val="75725BFB"/>
    <w:rsid w:val="75913549"/>
    <w:rsid w:val="7594BB96"/>
    <w:rsid w:val="7596D3D1"/>
    <w:rsid w:val="759E16E5"/>
    <w:rsid w:val="759EF61A"/>
    <w:rsid w:val="75A6D26E"/>
    <w:rsid w:val="75AB8BB9"/>
    <w:rsid w:val="75BBEBF7"/>
    <w:rsid w:val="75DC6305"/>
    <w:rsid w:val="75E3D0E5"/>
    <w:rsid w:val="75EDAAD4"/>
    <w:rsid w:val="75F45BCD"/>
    <w:rsid w:val="75F68D3F"/>
    <w:rsid w:val="75FAE57F"/>
    <w:rsid w:val="75FC0A31"/>
    <w:rsid w:val="760C732E"/>
    <w:rsid w:val="761F82A2"/>
    <w:rsid w:val="761FDDFB"/>
    <w:rsid w:val="76226C90"/>
    <w:rsid w:val="762A5F25"/>
    <w:rsid w:val="76315704"/>
    <w:rsid w:val="763F4584"/>
    <w:rsid w:val="764190F2"/>
    <w:rsid w:val="76424C58"/>
    <w:rsid w:val="7644EC53"/>
    <w:rsid w:val="764DE1CE"/>
    <w:rsid w:val="764F4211"/>
    <w:rsid w:val="76570287"/>
    <w:rsid w:val="76570BAA"/>
    <w:rsid w:val="76645292"/>
    <w:rsid w:val="7666C2C5"/>
    <w:rsid w:val="766B3886"/>
    <w:rsid w:val="76861E03"/>
    <w:rsid w:val="768E7C87"/>
    <w:rsid w:val="769B9002"/>
    <w:rsid w:val="76A301EF"/>
    <w:rsid w:val="76A4F7C8"/>
    <w:rsid w:val="76A6194A"/>
    <w:rsid w:val="76A9EBC1"/>
    <w:rsid w:val="76AA2665"/>
    <w:rsid w:val="76B35A8C"/>
    <w:rsid w:val="76BD2726"/>
    <w:rsid w:val="76C9A4B3"/>
    <w:rsid w:val="76CFE328"/>
    <w:rsid w:val="76DDEB2C"/>
    <w:rsid w:val="76EBAB5E"/>
    <w:rsid w:val="76EDA7E3"/>
    <w:rsid w:val="76EE4264"/>
    <w:rsid w:val="76F16AD6"/>
    <w:rsid w:val="76F1E338"/>
    <w:rsid w:val="76FB727B"/>
    <w:rsid w:val="7700199D"/>
    <w:rsid w:val="77037F90"/>
    <w:rsid w:val="7708A562"/>
    <w:rsid w:val="770E38F7"/>
    <w:rsid w:val="770EDEC6"/>
    <w:rsid w:val="7714AFB3"/>
    <w:rsid w:val="771B574F"/>
    <w:rsid w:val="771C83D8"/>
    <w:rsid w:val="771EC9BE"/>
    <w:rsid w:val="772007C9"/>
    <w:rsid w:val="77223B26"/>
    <w:rsid w:val="773000B8"/>
    <w:rsid w:val="7736BEBD"/>
    <w:rsid w:val="77371F7E"/>
    <w:rsid w:val="77374EEE"/>
    <w:rsid w:val="7738DB6C"/>
    <w:rsid w:val="77440146"/>
    <w:rsid w:val="77486CEC"/>
    <w:rsid w:val="7753F5CE"/>
    <w:rsid w:val="77547DB9"/>
    <w:rsid w:val="7764734C"/>
    <w:rsid w:val="7766982D"/>
    <w:rsid w:val="77773A65"/>
    <w:rsid w:val="778DA085"/>
    <w:rsid w:val="7792E2EA"/>
    <w:rsid w:val="779D3381"/>
    <w:rsid w:val="77AD2A2A"/>
    <w:rsid w:val="77B21F6E"/>
    <w:rsid w:val="77BB3EBA"/>
    <w:rsid w:val="77BFFD08"/>
    <w:rsid w:val="77D48A33"/>
    <w:rsid w:val="77DAD607"/>
    <w:rsid w:val="77E398A9"/>
    <w:rsid w:val="77E53179"/>
    <w:rsid w:val="77E8B6AE"/>
    <w:rsid w:val="77EF2327"/>
    <w:rsid w:val="77F0CB42"/>
    <w:rsid w:val="77FF201B"/>
    <w:rsid w:val="7812C976"/>
    <w:rsid w:val="78203A56"/>
    <w:rsid w:val="7829C5F7"/>
    <w:rsid w:val="783AD889"/>
    <w:rsid w:val="784077A9"/>
    <w:rsid w:val="7845FEC2"/>
    <w:rsid w:val="784D0C6B"/>
    <w:rsid w:val="78515D2D"/>
    <w:rsid w:val="7860B649"/>
    <w:rsid w:val="78677A85"/>
    <w:rsid w:val="7867ABA4"/>
    <w:rsid w:val="786DD301"/>
    <w:rsid w:val="78724B68"/>
    <w:rsid w:val="78762D58"/>
    <w:rsid w:val="7879B2D9"/>
    <w:rsid w:val="788BFA61"/>
    <w:rsid w:val="788C79D8"/>
    <w:rsid w:val="7890F263"/>
    <w:rsid w:val="789BAF23"/>
    <w:rsid w:val="78A5799F"/>
    <w:rsid w:val="78A5A60B"/>
    <w:rsid w:val="78A92FAE"/>
    <w:rsid w:val="78AA0287"/>
    <w:rsid w:val="78AC9B8D"/>
    <w:rsid w:val="78B7674C"/>
    <w:rsid w:val="78B92FC9"/>
    <w:rsid w:val="78B9CBE8"/>
    <w:rsid w:val="78BD126B"/>
    <w:rsid w:val="78D14CF5"/>
    <w:rsid w:val="78DC1F2C"/>
    <w:rsid w:val="78E15AD4"/>
    <w:rsid w:val="78E8BFFB"/>
    <w:rsid w:val="78EC2781"/>
    <w:rsid w:val="78EC589E"/>
    <w:rsid w:val="78F43449"/>
    <w:rsid w:val="78FA4751"/>
    <w:rsid w:val="78FAA6B3"/>
    <w:rsid w:val="79248445"/>
    <w:rsid w:val="792580AB"/>
    <w:rsid w:val="79268188"/>
    <w:rsid w:val="7927F02D"/>
    <w:rsid w:val="79284A27"/>
    <w:rsid w:val="792861BF"/>
    <w:rsid w:val="792E11D3"/>
    <w:rsid w:val="7931C6D8"/>
    <w:rsid w:val="7936F721"/>
    <w:rsid w:val="793C0BE5"/>
    <w:rsid w:val="793D299A"/>
    <w:rsid w:val="794802A0"/>
    <w:rsid w:val="795CFC04"/>
    <w:rsid w:val="796F7A55"/>
    <w:rsid w:val="797563F4"/>
    <w:rsid w:val="7975B866"/>
    <w:rsid w:val="798662F2"/>
    <w:rsid w:val="798D0C44"/>
    <w:rsid w:val="7999DA0A"/>
    <w:rsid w:val="799CB665"/>
    <w:rsid w:val="799CCE2A"/>
    <w:rsid w:val="79A462B8"/>
    <w:rsid w:val="79A47FDA"/>
    <w:rsid w:val="79BDB070"/>
    <w:rsid w:val="79BE8020"/>
    <w:rsid w:val="79CDE8E3"/>
    <w:rsid w:val="79D0BDEC"/>
    <w:rsid w:val="79E6F3CF"/>
    <w:rsid w:val="79F1EDDA"/>
    <w:rsid w:val="79FEF182"/>
    <w:rsid w:val="79FF6B2B"/>
    <w:rsid w:val="7A154619"/>
    <w:rsid w:val="7A188B43"/>
    <w:rsid w:val="7A299687"/>
    <w:rsid w:val="7A2ADC02"/>
    <w:rsid w:val="7A2D52E3"/>
    <w:rsid w:val="7A33616F"/>
    <w:rsid w:val="7A34AD4F"/>
    <w:rsid w:val="7A3EA622"/>
    <w:rsid w:val="7A422795"/>
    <w:rsid w:val="7A4DAAC5"/>
    <w:rsid w:val="7A528F2F"/>
    <w:rsid w:val="7A52A6E9"/>
    <w:rsid w:val="7A53201B"/>
    <w:rsid w:val="7A54C419"/>
    <w:rsid w:val="7A54E410"/>
    <w:rsid w:val="7A60869C"/>
    <w:rsid w:val="7A69A758"/>
    <w:rsid w:val="7A6B0435"/>
    <w:rsid w:val="7A6C6C6B"/>
    <w:rsid w:val="7A6CE0F2"/>
    <w:rsid w:val="7A79195E"/>
    <w:rsid w:val="7A7B2ED6"/>
    <w:rsid w:val="7A7BB5F4"/>
    <w:rsid w:val="7A7E9095"/>
    <w:rsid w:val="7A83D3FF"/>
    <w:rsid w:val="7A8A512A"/>
    <w:rsid w:val="7A9C87E2"/>
    <w:rsid w:val="7ABE5853"/>
    <w:rsid w:val="7ABF69C6"/>
    <w:rsid w:val="7AE97090"/>
    <w:rsid w:val="7AF3E70F"/>
    <w:rsid w:val="7B1202BC"/>
    <w:rsid w:val="7B18E2B2"/>
    <w:rsid w:val="7B190CA2"/>
    <w:rsid w:val="7B2BEBF0"/>
    <w:rsid w:val="7B381C0D"/>
    <w:rsid w:val="7B394F4C"/>
    <w:rsid w:val="7B42122C"/>
    <w:rsid w:val="7B434157"/>
    <w:rsid w:val="7B4984D6"/>
    <w:rsid w:val="7B499328"/>
    <w:rsid w:val="7B4B6BB9"/>
    <w:rsid w:val="7B575AA9"/>
    <w:rsid w:val="7B5B98C6"/>
    <w:rsid w:val="7B644EF3"/>
    <w:rsid w:val="7B6B32E6"/>
    <w:rsid w:val="7B6D5A5D"/>
    <w:rsid w:val="7B724413"/>
    <w:rsid w:val="7B737452"/>
    <w:rsid w:val="7B77DB18"/>
    <w:rsid w:val="7B8249A9"/>
    <w:rsid w:val="7B925C73"/>
    <w:rsid w:val="7B92610C"/>
    <w:rsid w:val="7B9EC8ED"/>
    <w:rsid w:val="7BA4B83F"/>
    <w:rsid w:val="7BB1B80F"/>
    <w:rsid w:val="7BB7E668"/>
    <w:rsid w:val="7BBB5B7B"/>
    <w:rsid w:val="7BC2A425"/>
    <w:rsid w:val="7BCD7CE8"/>
    <w:rsid w:val="7BCEC942"/>
    <w:rsid w:val="7BD03B48"/>
    <w:rsid w:val="7BD14017"/>
    <w:rsid w:val="7BDC5282"/>
    <w:rsid w:val="7BE2C4C6"/>
    <w:rsid w:val="7BE3C2CE"/>
    <w:rsid w:val="7BF53DD9"/>
    <w:rsid w:val="7BF9EB44"/>
    <w:rsid w:val="7C021DD0"/>
    <w:rsid w:val="7C028702"/>
    <w:rsid w:val="7C0758D9"/>
    <w:rsid w:val="7C077751"/>
    <w:rsid w:val="7C10AE09"/>
    <w:rsid w:val="7C144802"/>
    <w:rsid w:val="7C19B7A8"/>
    <w:rsid w:val="7C2284AC"/>
    <w:rsid w:val="7C27846A"/>
    <w:rsid w:val="7C2B63DA"/>
    <w:rsid w:val="7C390FFA"/>
    <w:rsid w:val="7C45A2B0"/>
    <w:rsid w:val="7C4BF0C1"/>
    <w:rsid w:val="7C4FCAF0"/>
    <w:rsid w:val="7C5CE400"/>
    <w:rsid w:val="7C606E11"/>
    <w:rsid w:val="7C6231F0"/>
    <w:rsid w:val="7C71F571"/>
    <w:rsid w:val="7C7C4AFB"/>
    <w:rsid w:val="7C80B9E5"/>
    <w:rsid w:val="7C8EAC15"/>
    <w:rsid w:val="7C90F694"/>
    <w:rsid w:val="7C958E22"/>
    <w:rsid w:val="7C95BA30"/>
    <w:rsid w:val="7C9911EA"/>
    <w:rsid w:val="7CB89FD9"/>
    <w:rsid w:val="7CBAF9C2"/>
    <w:rsid w:val="7CC98422"/>
    <w:rsid w:val="7CCCCA15"/>
    <w:rsid w:val="7CECD483"/>
    <w:rsid w:val="7CEFA0A7"/>
    <w:rsid w:val="7CF34407"/>
    <w:rsid w:val="7CF3D4E9"/>
    <w:rsid w:val="7D026B06"/>
    <w:rsid w:val="7D08A4E2"/>
    <w:rsid w:val="7D15028B"/>
    <w:rsid w:val="7D2C4616"/>
    <w:rsid w:val="7D2CAD73"/>
    <w:rsid w:val="7D2E955A"/>
    <w:rsid w:val="7D40F780"/>
    <w:rsid w:val="7D44A53C"/>
    <w:rsid w:val="7D4EE118"/>
    <w:rsid w:val="7D59105E"/>
    <w:rsid w:val="7D5D3ABA"/>
    <w:rsid w:val="7D669D52"/>
    <w:rsid w:val="7D6D6812"/>
    <w:rsid w:val="7D794529"/>
    <w:rsid w:val="7D80177D"/>
    <w:rsid w:val="7D8198C7"/>
    <w:rsid w:val="7D827232"/>
    <w:rsid w:val="7D839EC1"/>
    <w:rsid w:val="7D86E9B9"/>
    <w:rsid w:val="7D876613"/>
    <w:rsid w:val="7D8937DB"/>
    <w:rsid w:val="7D8E9679"/>
    <w:rsid w:val="7D9A5DFC"/>
    <w:rsid w:val="7D9B6C84"/>
    <w:rsid w:val="7DA1C681"/>
    <w:rsid w:val="7DA87FF7"/>
    <w:rsid w:val="7DAA2726"/>
    <w:rsid w:val="7DB8810D"/>
    <w:rsid w:val="7DBC7A4C"/>
    <w:rsid w:val="7DBDC242"/>
    <w:rsid w:val="7DC9A091"/>
    <w:rsid w:val="7DD615DD"/>
    <w:rsid w:val="7DE55123"/>
    <w:rsid w:val="7DE662B4"/>
    <w:rsid w:val="7DE6AD03"/>
    <w:rsid w:val="7E0884EA"/>
    <w:rsid w:val="7E16A90E"/>
    <w:rsid w:val="7E19F925"/>
    <w:rsid w:val="7E3EC506"/>
    <w:rsid w:val="7E4E9A3F"/>
    <w:rsid w:val="7E502141"/>
    <w:rsid w:val="7E528603"/>
    <w:rsid w:val="7E656892"/>
    <w:rsid w:val="7E6D46E5"/>
    <w:rsid w:val="7E6E541E"/>
    <w:rsid w:val="7E710EF2"/>
    <w:rsid w:val="7E7435AC"/>
    <w:rsid w:val="7E75EE54"/>
    <w:rsid w:val="7E77A6F8"/>
    <w:rsid w:val="7E7DE456"/>
    <w:rsid w:val="7E7DF248"/>
    <w:rsid w:val="7E829E63"/>
    <w:rsid w:val="7E8D6761"/>
    <w:rsid w:val="7EB7806B"/>
    <w:rsid w:val="7EB81213"/>
    <w:rsid w:val="7EB8DE5F"/>
    <w:rsid w:val="7EBAAEB1"/>
    <w:rsid w:val="7EC20C57"/>
    <w:rsid w:val="7ECAFBA8"/>
    <w:rsid w:val="7ECCFC3F"/>
    <w:rsid w:val="7ED6F22C"/>
    <w:rsid w:val="7ED8B1FA"/>
    <w:rsid w:val="7EDAB077"/>
    <w:rsid w:val="7EDCFE69"/>
    <w:rsid w:val="7EE09EA9"/>
    <w:rsid w:val="7EE3F1F4"/>
    <w:rsid w:val="7EEA8170"/>
    <w:rsid w:val="7EF9C3BD"/>
    <w:rsid w:val="7F045C77"/>
    <w:rsid w:val="7F1EF9FF"/>
    <w:rsid w:val="7F21240B"/>
    <w:rsid w:val="7F25273D"/>
    <w:rsid w:val="7F37D54B"/>
    <w:rsid w:val="7F3B001E"/>
    <w:rsid w:val="7F3D38BA"/>
    <w:rsid w:val="7F44323D"/>
    <w:rsid w:val="7F476612"/>
    <w:rsid w:val="7F4FC835"/>
    <w:rsid w:val="7F59BCEB"/>
    <w:rsid w:val="7F7AAE3B"/>
    <w:rsid w:val="7F81B7E9"/>
    <w:rsid w:val="7F912A1F"/>
    <w:rsid w:val="7F98111F"/>
    <w:rsid w:val="7F99F340"/>
    <w:rsid w:val="7F9CCAAE"/>
    <w:rsid w:val="7FA0108A"/>
    <w:rsid w:val="7FACE7B5"/>
    <w:rsid w:val="7FAFCB80"/>
    <w:rsid w:val="7FC0E398"/>
    <w:rsid w:val="7FC79BA7"/>
    <w:rsid w:val="7FCA8840"/>
    <w:rsid w:val="7FEDB058"/>
    <w:rsid w:val="7FEDB8E6"/>
    <w:rsid w:val="7FFB07CA"/>
    <w:rsid w:val="7FFD87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296AEE"/>
  <w15:chartTrackingRefBased/>
  <w15:docId w15:val="{4EFBB8FD-09D0-4181-B6C4-8EE795EB8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07CB"/>
  </w:style>
  <w:style w:type="paragraph" w:styleId="Heading2">
    <w:name w:val="heading 2"/>
    <w:basedOn w:val="Normal"/>
    <w:next w:val="Normal"/>
    <w:link w:val="Heading2Char"/>
    <w:qFormat/>
    <w:rsid w:val="00083075"/>
    <w:pPr>
      <w:keepNext/>
      <w:spacing w:after="0" w:line="240" w:lineRule="auto"/>
      <w:ind w:left="720"/>
      <w:outlineLvl w:val="1"/>
    </w:pPr>
    <w:rPr>
      <w:rFonts w:ascii="Times New Roman" w:eastAsia="Times New Roman" w:hAnsi="Times New Roman" w:cs="Times New Roman"/>
      <w:sz w:val="24"/>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OutlinenumberedArialOutlinenumberedArial11">
    <w:name w:val="Outline numbered Arial + Outline numbered Arial 1...1"/>
    <w:basedOn w:val="NoList"/>
    <w:rsid w:val="00395B71"/>
    <w:pPr>
      <w:numPr>
        <w:numId w:val="38"/>
      </w:numPr>
    </w:pPr>
  </w:style>
  <w:style w:type="paragraph" w:customStyle="1" w:styleId="StyleOutlinenumberedArialOutlinenumberedArial11Outli">
    <w:name w:val="Style Outline numbered Arial + Outline numbered Arial 1...1 + Outli..."/>
    <w:basedOn w:val="Normal"/>
    <w:rsid w:val="00395B71"/>
    <w:pPr>
      <w:widowControl w:val="0"/>
      <w:numPr>
        <w:ilvl w:val="2"/>
        <w:numId w:val="12"/>
      </w:numPr>
      <w:autoSpaceDE w:val="0"/>
      <w:autoSpaceDN w:val="0"/>
      <w:adjustRightInd w:val="0"/>
      <w:spacing w:after="0" w:line="240" w:lineRule="auto"/>
    </w:pPr>
    <w:rPr>
      <w:rFonts w:ascii="Arial" w:eastAsia="Times New Roman" w:hAnsi="Arial" w:cs="Arial"/>
      <w:b/>
      <w:bCs/>
      <w:sz w:val="24"/>
      <w:szCs w:val="24"/>
    </w:rPr>
  </w:style>
  <w:style w:type="paragraph" w:customStyle="1" w:styleId="TableParagraph">
    <w:name w:val="Table Paragraph"/>
    <w:basedOn w:val="Normal"/>
    <w:uiPriority w:val="1"/>
    <w:qFormat/>
    <w:rsid w:val="00395B71"/>
    <w:pPr>
      <w:widowControl w:val="0"/>
      <w:autoSpaceDE w:val="0"/>
      <w:autoSpaceDN w:val="0"/>
      <w:spacing w:after="0" w:line="240" w:lineRule="auto"/>
    </w:pPr>
    <w:rPr>
      <w:rFonts w:ascii="Arial" w:eastAsia="Arial" w:hAnsi="Arial" w:cs="Arial"/>
      <w:lang w:val="en-US"/>
    </w:rPr>
  </w:style>
  <w:style w:type="paragraph" w:styleId="ListParagraph">
    <w:name w:val="List Paragraph"/>
    <w:aliases w:val="Dot pt,List Paragraph Char Char Char,Indicator Text,List Paragraph1,Bullet Style,Numbered Para 1,Bullet 1,Bullet Points,List Paragraph12,F5 List Paragraph,MAIN CONTENT,List Paragraph11,List Paragraph2,Normal numbered,OBC Bullet,Bullet Sty"/>
    <w:basedOn w:val="Normal"/>
    <w:link w:val="ListParagraphChar"/>
    <w:uiPriority w:val="34"/>
    <w:qFormat/>
    <w:rsid w:val="00395B71"/>
    <w:pPr>
      <w:ind w:left="720"/>
      <w:contextualSpacing/>
    </w:pPr>
    <w:rPr>
      <w:rFonts w:ascii="Calibri" w:eastAsia="Calibri" w:hAnsi="Calibri" w:cs="Times New Roman"/>
    </w:rPr>
  </w:style>
  <w:style w:type="character" w:customStyle="1" w:styleId="ListParagraphChar">
    <w:name w:val="List Paragraph Char"/>
    <w:aliases w:val="Dot pt Char,List Paragraph Char Char Char Char,Indicator Text Char,List Paragraph1 Char,Bullet Style Char,Numbered Para 1 Char,Bullet 1 Char,Bullet Points Char,List Paragraph12 Char,F5 List Paragraph Char,MAIN CONTENT Char"/>
    <w:link w:val="ListParagraph"/>
    <w:uiPriority w:val="34"/>
    <w:qFormat/>
    <w:locked/>
    <w:rsid w:val="00395B71"/>
    <w:rPr>
      <w:rFonts w:ascii="Calibri" w:eastAsia="Calibri" w:hAnsi="Calibri" w:cs="Times New Roman"/>
    </w:rPr>
  </w:style>
  <w:style w:type="character" w:customStyle="1" w:styleId="headerchar1">
    <w:name w:val="header__char1"/>
    <w:rsid w:val="00395B71"/>
    <w:rPr>
      <w:rFonts w:ascii="Times New Roman" w:hAnsi="Times New Roman" w:cs="Times New Roman" w:hint="default"/>
      <w:strike w:val="0"/>
      <w:dstrike w:val="0"/>
      <w:sz w:val="24"/>
      <w:szCs w:val="24"/>
      <w:u w:val="none"/>
      <w:effect w:val="none"/>
    </w:rPr>
  </w:style>
  <w:style w:type="paragraph" w:customStyle="1" w:styleId="ColorfulList-Accent11">
    <w:name w:val="Colorful List - Accent 11"/>
    <w:link w:val="ColorfulList-Accent1Char"/>
    <w:uiPriority w:val="34"/>
    <w:qFormat/>
    <w:rsid w:val="000C6DD7"/>
    <w:pPr>
      <w:pBdr>
        <w:top w:val="nil"/>
        <w:left w:val="nil"/>
        <w:bottom w:val="nil"/>
        <w:right w:val="nil"/>
        <w:between w:val="nil"/>
        <w:bar w:val="nil"/>
      </w:pBdr>
      <w:spacing w:before="120" w:after="120" w:line="240" w:lineRule="auto"/>
      <w:ind w:left="720"/>
    </w:pPr>
    <w:rPr>
      <w:rFonts w:ascii="Arial" w:eastAsia="Arial Unicode MS" w:hAnsi="Arial Unicode MS" w:cs="Arial Unicode MS"/>
      <w:color w:val="000000"/>
      <w:sz w:val="24"/>
      <w:szCs w:val="24"/>
      <w:u w:color="000000"/>
      <w:bdr w:val="nil"/>
      <w:lang w:val="en-US" w:eastAsia="en-GB"/>
    </w:rPr>
  </w:style>
  <w:style w:type="character" w:customStyle="1" w:styleId="ColorfulList-Accent1Char">
    <w:name w:val="Colorful List - Accent 1 Char"/>
    <w:link w:val="ColorfulList-Accent11"/>
    <w:uiPriority w:val="34"/>
    <w:locked/>
    <w:rsid w:val="000C6DD7"/>
    <w:rPr>
      <w:rFonts w:ascii="Arial" w:eastAsia="Arial Unicode MS" w:hAnsi="Arial Unicode MS" w:cs="Arial Unicode MS"/>
      <w:color w:val="000000"/>
      <w:sz w:val="24"/>
      <w:szCs w:val="24"/>
      <w:u w:color="000000"/>
      <w:bdr w:val="nil"/>
      <w:lang w:val="en-US" w:eastAsia="en-GB"/>
    </w:rPr>
  </w:style>
  <w:style w:type="character" w:styleId="Emphasis">
    <w:name w:val="Emphasis"/>
    <w:uiPriority w:val="20"/>
    <w:qFormat/>
    <w:rsid w:val="000C6DD7"/>
    <w:rPr>
      <w:i/>
      <w:iCs/>
    </w:rPr>
  </w:style>
  <w:style w:type="table" w:styleId="TableGrid">
    <w:name w:val="Table Grid"/>
    <w:basedOn w:val="TableNormal"/>
    <w:uiPriority w:val="39"/>
    <w:rsid w:val="000A5D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A5D7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A5D7D"/>
  </w:style>
  <w:style w:type="paragraph" w:styleId="Footer">
    <w:name w:val="footer"/>
    <w:basedOn w:val="Normal"/>
    <w:link w:val="FooterChar"/>
    <w:uiPriority w:val="99"/>
    <w:unhideWhenUsed/>
    <w:rsid w:val="000A5D7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A5D7D"/>
  </w:style>
  <w:style w:type="paragraph" w:styleId="NoSpacing">
    <w:name w:val="No Spacing"/>
    <w:link w:val="NoSpacingChar"/>
    <w:uiPriority w:val="1"/>
    <w:qFormat/>
    <w:rsid w:val="007252BE"/>
    <w:pPr>
      <w:spacing w:after="0" w:line="240" w:lineRule="auto"/>
    </w:pPr>
  </w:style>
  <w:style w:type="character" w:customStyle="1" w:styleId="NoSpacingChar">
    <w:name w:val="No Spacing Char"/>
    <w:link w:val="NoSpacing"/>
    <w:uiPriority w:val="1"/>
    <w:rsid w:val="007252BE"/>
  </w:style>
  <w:style w:type="character" w:styleId="Hyperlink">
    <w:name w:val="Hyperlink"/>
    <w:basedOn w:val="DefaultParagraphFont"/>
    <w:uiPriority w:val="99"/>
    <w:unhideWhenUsed/>
    <w:rsid w:val="007252BE"/>
    <w:rPr>
      <w:color w:val="0563C1" w:themeColor="hyperlink"/>
      <w:u w:val="single"/>
    </w:rPr>
  </w:style>
  <w:style w:type="paragraph" w:customStyle="1" w:styleId="Body">
    <w:name w:val="Body"/>
    <w:rsid w:val="00BC56C5"/>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paragraph" w:styleId="CommentText">
    <w:name w:val="annotation text"/>
    <w:basedOn w:val="Normal"/>
    <w:link w:val="CommentTextChar"/>
    <w:uiPriority w:val="99"/>
    <w:semiHidden/>
    <w:unhideWhenUsed/>
    <w:rsid w:val="000E47EE"/>
    <w:pPr>
      <w:spacing w:line="240" w:lineRule="auto"/>
    </w:pPr>
    <w:rPr>
      <w:sz w:val="20"/>
      <w:szCs w:val="20"/>
    </w:rPr>
  </w:style>
  <w:style w:type="character" w:customStyle="1" w:styleId="CommentTextChar">
    <w:name w:val="Comment Text Char"/>
    <w:basedOn w:val="DefaultParagraphFont"/>
    <w:link w:val="CommentText"/>
    <w:uiPriority w:val="99"/>
    <w:semiHidden/>
    <w:rsid w:val="000E47EE"/>
    <w:rPr>
      <w:sz w:val="20"/>
      <w:szCs w:val="20"/>
    </w:rPr>
  </w:style>
  <w:style w:type="paragraph" w:styleId="BodyText3">
    <w:name w:val="Body Text 3"/>
    <w:basedOn w:val="Normal"/>
    <w:link w:val="BodyText3Char"/>
    <w:rsid w:val="000E47EE"/>
    <w:pPr>
      <w:spacing w:after="0" w:line="240" w:lineRule="auto"/>
      <w:jc w:val="both"/>
    </w:pPr>
    <w:rPr>
      <w:rFonts w:ascii="Times New Roman" w:eastAsia="Times New Roman" w:hAnsi="Times New Roman" w:cs="Times New Roman"/>
      <w:sz w:val="20"/>
      <w:szCs w:val="20"/>
      <w:lang w:eastAsia="x-none"/>
    </w:rPr>
  </w:style>
  <w:style w:type="character" w:customStyle="1" w:styleId="BodyText3Char">
    <w:name w:val="Body Text 3 Char"/>
    <w:basedOn w:val="DefaultParagraphFont"/>
    <w:link w:val="BodyText3"/>
    <w:rsid w:val="000E47EE"/>
    <w:rPr>
      <w:rFonts w:ascii="Times New Roman" w:eastAsia="Times New Roman" w:hAnsi="Times New Roman" w:cs="Times New Roman"/>
      <w:sz w:val="20"/>
      <w:szCs w:val="20"/>
      <w:lang w:eastAsia="x-none"/>
    </w:rPr>
  </w:style>
  <w:style w:type="paragraph" w:styleId="BalloonText">
    <w:name w:val="Balloon Text"/>
    <w:basedOn w:val="Normal"/>
    <w:link w:val="BalloonTextChar"/>
    <w:uiPriority w:val="99"/>
    <w:semiHidden/>
    <w:unhideWhenUsed/>
    <w:rsid w:val="009901BD"/>
    <w:pPr>
      <w:spacing w:after="0" w:line="240" w:lineRule="auto"/>
    </w:pPr>
    <w:rPr>
      <w:rFonts w:ascii="Tahoma" w:eastAsia="Times New Roman" w:hAnsi="Tahoma" w:cs="Times New Roman"/>
      <w:sz w:val="16"/>
      <w:szCs w:val="16"/>
      <w:lang w:eastAsia="x-none"/>
    </w:rPr>
  </w:style>
  <w:style w:type="character" w:customStyle="1" w:styleId="BalloonTextChar">
    <w:name w:val="Balloon Text Char"/>
    <w:basedOn w:val="DefaultParagraphFont"/>
    <w:link w:val="BalloonText"/>
    <w:uiPriority w:val="99"/>
    <w:semiHidden/>
    <w:rsid w:val="009901BD"/>
    <w:rPr>
      <w:rFonts w:ascii="Tahoma" w:eastAsia="Times New Roman" w:hAnsi="Tahoma" w:cs="Times New Roman"/>
      <w:sz w:val="16"/>
      <w:szCs w:val="16"/>
      <w:lang w:eastAsia="x-none"/>
    </w:rPr>
  </w:style>
  <w:style w:type="character" w:styleId="PlaceholderText">
    <w:name w:val="Placeholder Text"/>
    <w:basedOn w:val="DefaultParagraphFont"/>
    <w:uiPriority w:val="99"/>
    <w:semiHidden/>
    <w:rsid w:val="00A56578"/>
    <w:rPr>
      <w:color w:val="808080"/>
    </w:rPr>
  </w:style>
  <w:style w:type="character" w:customStyle="1" w:styleId="Heading2Char">
    <w:name w:val="Heading 2 Char"/>
    <w:basedOn w:val="DefaultParagraphFont"/>
    <w:link w:val="Heading2"/>
    <w:rsid w:val="00083075"/>
    <w:rPr>
      <w:rFonts w:ascii="Times New Roman" w:eastAsia="Times New Roman" w:hAnsi="Times New Roman" w:cs="Times New Roman"/>
      <w:sz w:val="24"/>
      <w:szCs w:val="20"/>
      <w:u w:val="single"/>
    </w:rPr>
  </w:style>
  <w:style w:type="paragraph" w:styleId="BodyText">
    <w:name w:val="Body Text"/>
    <w:basedOn w:val="Normal"/>
    <w:link w:val="BodyTextChar"/>
    <w:uiPriority w:val="99"/>
    <w:unhideWhenUsed/>
    <w:rsid w:val="00083075"/>
    <w:pPr>
      <w:spacing w:after="120"/>
    </w:pPr>
  </w:style>
  <w:style w:type="character" w:customStyle="1" w:styleId="BodyTextChar">
    <w:name w:val="Body Text Char"/>
    <w:basedOn w:val="DefaultParagraphFont"/>
    <w:link w:val="BodyText"/>
    <w:uiPriority w:val="99"/>
    <w:rsid w:val="00083075"/>
  </w:style>
  <w:style w:type="paragraph" w:styleId="NormalWeb">
    <w:name w:val="Normal (Web)"/>
    <w:basedOn w:val="Normal"/>
    <w:uiPriority w:val="99"/>
    <w:unhideWhenUsed/>
    <w:rsid w:val="00744982"/>
    <w:pPr>
      <w:spacing w:before="100" w:beforeAutospacing="1" w:after="100" w:afterAutospacing="1" w:line="240" w:lineRule="auto"/>
    </w:pPr>
    <w:rPr>
      <w:rFonts w:ascii="Times New Roman" w:eastAsiaTheme="minorEastAsia" w:hAnsi="Times New Roman" w:cs="Times New Roman"/>
      <w:sz w:val="24"/>
      <w:szCs w:val="24"/>
      <w:lang w:eastAsia="en-GB"/>
    </w:rPr>
  </w:style>
  <w:style w:type="table" w:styleId="GridTable2-Accent1">
    <w:name w:val="Grid Table 2 Accent 1"/>
    <w:basedOn w:val="TableNormal"/>
    <w:uiPriority w:val="47"/>
    <w:rsid w:val="00863C5D"/>
    <w:pPr>
      <w:spacing w:after="0" w:line="240" w:lineRule="auto"/>
    </w:p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customStyle="1" w:styleId="Default">
    <w:name w:val="Default"/>
    <w:rsid w:val="008E5087"/>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B97B9F"/>
    <w:rPr>
      <w:sz w:val="16"/>
      <w:szCs w:val="16"/>
    </w:rPr>
  </w:style>
  <w:style w:type="paragraph" w:styleId="CommentSubject">
    <w:name w:val="annotation subject"/>
    <w:basedOn w:val="CommentText"/>
    <w:next w:val="CommentText"/>
    <w:link w:val="CommentSubjectChar"/>
    <w:uiPriority w:val="99"/>
    <w:semiHidden/>
    <w:unhideWhenUsed/>
    <w:rsid w:val="00B97B9F"/>
    <w:rPr>
      <w:b/>
      <w:bCs/>
    </w:rPr>
  </w:style>
  <w:style w:type="character" w:customStyle="1" w:styleId="CommentSubjectChar">
    <w:name w:val="Comment Subject Char"/>
    <w:basedOn w:val="CommentTextChar"/>
    <w:link w:val="CommentSubject"/>
    <w:uiPriority w:val="99"/>
    <w:semiHidden/>
    <w:rsid w:val="00B97B9F"/>
    <w:rPr>
      <w:b/>
      <w:bCs/>
      <w:sz w:val="20"/>
      <w:szCs w:val="20"/>
    </w:rPr>
  </w:style>
  <w:style w:type="paragraph" w:customStyle="1" w:styleId="paragraph">
    <w:name w:val="paragraph"/>
    <w:basedOn w:val="Normal"/>
    <w:rsid w:val="00B17CD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A321FC"/>
    <w:rPr>
      <w:color w:val="954F72" w:themeColor="followedHyperlink"/>
      <w:u w:val="single"/>
    </w:rPr>
  </w:style>
  <w:style w:type="character" w:customStyle="1" w:styleId="normaltextrun">
    <w:name w:val="normaltextrun"/>
    <w:basedOn w:val="DefaultParagraphFont"/>
    <w:rsid w:val="00C84838"/>
  </w:style>
  <w:style w:type="paragraph" w:customStyle="1" w:styleId="BodyA">
    <w:name w:val="Body A"/>
    <w:basedOn w:val="Normal"/>
    <w:uiPriority w:val="1"/>
    <w:rsid w:val="6F2B4365"/>
    <w:pPr>
      <w:spacing w:before="120" w:after="120"/>
    </w:pPr>
    <w:rPr>
      <w:rFonts w:ascii="Arial" w:eastAsia="Arial Unicode MS" w:hAnsi="Arial Unicode MS" w:cs="Arial Unicode MS"/>
      <w:color w:val="000000" w:themeColor="text1"/>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1407620">
      <w:bodyDiv w:val="1"/>
      <w:marLeft w:val="0"/>
      <w:marRight w:val="0"/>
      <w:marTop w:val="0"/>
      <w:marBottom w:val="0"/>
      <w:divBdr>
        <w:top w:val="none" w:sz="0" w:space="0" w:color="auto"/>
        <w:left w:val="none" w:sz="0" w:space="0" w:color="auto"/>
        <w:bottom w:val="none" w:sz="0" w:space="0" w:color="auto"/>
        <w:right w:val="none" w:sz="0" w:space="0" w:color="auto"/>
      </w:divBdr>
    </w:div>
    <w:div w:id="667054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3.xml"/><Relationship Id="rId25"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hyperlink" Target="https://sbuhb.nhs.wales/about-us/board-meetings-key-documents" TargetMode="Externa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07C64F5A-ABC0-473E-83E2-7CBEE4DB68BE}">
  <ds:schemaRefs>
    <ds:schemaRef ds:uri="http://schemas.openxmlformats.org/officeDocument/2006/bibliography"/>
  </ds:schemaRefs>
</ds:datastoreItem>
</file>

<file path=customXml/itemProps2.xml><?xml version="1.0" encoding="utf-8"?>
<ds:datastoreItem xmlns:ds="http://schemas.openxmlformats.org/officeDocument/2006/customXml" ds:itemID="{DE5330E1-692F-4557-A236-934D488DD1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2B4DAB5-0819-4D24-BDB0-8F4DD0CE305B}">
  <ds:schemaRefs>
    <ds:schemaRef ds:uri="http://schemas.microsoft.com/sharepoint/v3/contenttype/forms"/>
  </ds:schemaRefs>
</ds:datastoreItem>
</file>

<file path=customXml/itemProps4.xml><?xml version="1.0" encoding="utf-8"?>
<ds:datastoreItem xmlns:ds="http://schemas.openxmlformats.org/officeDocument/2006/customXml" ds:itemID="{06D40098-109C-4DA4-9AB6-4CB9ECF4EF2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68</Pages>
  <Words>21835</Words>
  <Characters>124466</Characters>
  <Application>Microsoft Office Word</Application>
  <DocSecurity>0</DocSecurity>
  <Lines>1037</Lines>
  <Paragraphs>292</Paragraphs>
  <ScaleCrop>false</ScaleCrop>
  <Company>ABM LHB</Company>
  <LinksUpToDate>false</LinksUpToDate>
  <CharactersWithSpaces>146009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Joseph (Swansea Bay UHB - Corporate)</dc:creator>
  <cp:keywords/>
  <dc:description/>
  <cp:lastModifiedBy>Claire Mulcahy (Swansea Bay UHB - Corporate Governance )</cp:lastModifiedBy>
  <cp:revision>449</cp:revision>
  <dcterms:created xsi:type="dcterms:W3CDTF">2025-01-17T16:40:00Z</dcterms:created>
  <dcterms:modified xsi:type="dcterms:W3CDTF">2026-05-18T12:26:00Z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1054000</vt:r8>
  </property>
  <property fmtid="{D5CDD505-2E9C-101B-9397-08002B2CF9AE}" pid="4" name="MediaServiceImageTags">
    <vt:lpwstr/>
  </property>
  <property fmtid="{D5CDD505-2E9C-101B-9397-08002B2CF9AE}" pid="5" name="docLang">
    <vt:lpwstr>en</vt:lpwstr>
  </property>
  <property fmtid="{D5CDD505-2E9C-101B-9397-08002B2CF9AE}" pid="6" name="GrammarlyDocumentId">
    <vt:lpwstr>d6131d8b-9842-44a1-8eb7-7937960c6cea</vt:lpwstr>
  </property>
</Properties>
</file>