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3462E1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136B0F">
                              <w:rPr>
                                <w:rFonts w:ascii="Verdana" w:hAnsi="Verdana"/>
                                <w:b/>
                                <w:sz w:val="22"/>
                                <w:szCs w:val="22"/>
                              </w:rPr>
                              <w:t>028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D535C">
                              <w:rPr>
                                <w:rFonts w:ascii="Verdana" w:hAnsi="Verdana"/>
                                <w:b/>
                                <w:noProof/>
                                <w:sz w:val="22"/>
                                <w:szCs w:val="22"/>
                              </w:rPr>
                              <w:t>29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3462E1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136B0F">
                        <w:rPr>
                          <w:rFonts w:ascii="Verdana" w:hAnsi="Verdana"/>
                          <w:b/>
                          <w:sz w:val="22"/>
                          <w:szCs w:val="22"/>
                        </w:rPr>
                        <w:t>028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D535C">
                        <w:rPr>
                          <w:rFonts w:ascii="Verdana" w:hAnsi="Verdana"/>
                          <w:b/>
                          <w:noProof/>
                          <w:sz w:val="22"/>
                          <w:szCs w:val="22"/>
                        </w:rPr>
                        <w:t>29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0617DA" w:rsidRDefault="00A10460" w:rsidP="00DC0D5A">
      <w:pPr>
        <w:spacing w:before="280"/>
        <w:rPr>
          <w:rFonts w:ascii="Verdana" w:hAnsi="Verdana"/>
          <w:bCs/>
          <w:sz w:val="22"/>
          <w:szCs w:val="22"/>
          <w:u w:val="single"/>
        </w:rPr>
      </w:pPr>
      <w:r w:rsidRPr="00A10460">
        <w:rPr>
          <w:rFonts w:ascii="Verdana" w:hAnsi="Verdana"/>
          <w:sz w:val="22"/>
        </w:rPr>
        <w:br/>
      </w:r>
      <w:r w:rsidR="00A115C7" w:rsidRPr="000617DA">
        <w:rPr>
          <w:rFonts w:ascii="Verdana" w:hAnsi="Verdana"/>
          <w:bCs/>
          <w:sz w:val="22"/>
          <w:szCs w:val="22"/>
          <w:u w:val="single"/>
        </w:rPr>
        <w:t>Request and response:</w:t>
      </w:r>
    </w:p>
    <w:p w14:paraId="7EBD3CC8" w14:textId="14F4A54C" w:rsidR="00136B0F" w:rsidRPr="00D569DB" w:rsidRDefault="00136B0F" w:rsidP="00D569DB">
      <w:pPr>
        <w:rPr>
          <w:rFonts w:ascii="Verdana" w:hAnsi="Verdana"/>
          <w:b/>
          <w:bCs/>
          <w:sz w:val="22"/>
          <w:szCs w:val="22"/>
          <w:lang w:eastAsia="en-US"/>
        </w:rPr>
      </w:pPr>
      <w:r w:rsidRPr="000617DA">
        <w:rPr>
          <w:rFonts w:ascii="Verdana" w:hAnsi="Verdana"/>
          <w:b/>
          <w:bCs/>
          <w:sz w:val="22"/>
          <w:szCs w:val="22"/>
          <w:lang w:eastAsia="en-US"/>
        </w:rPr>
        <w:t>Please provide the following, in each case for Neath Port Talbot Hospital (or the wider Health Board, if the information is not held at hospital level):</w:t>
      </w:r>
    </w:p>
    <w:p w14:paraId="3CD1BB0B" w14:textId="173FFEA5" w:rsidR="00136B0F" w:rsidRPr="000617DA" w:rsidRDefault="00136B0F" w:rsidP="00136B0F">
      <w:pPr>
        <w:pStyle w:val="ListParagraph"/>
        <w:numPr>
          <w:ilvl w:val="0"/>
          <w:numId w:val="19"/>
        </w:numPr>
        <w:spacing w:before="0" w:after="0" w:line="240" w:lineRule="auto"/>
        <w:ind w:right="0"/>
        <w:contextualSpacing w:val="0"/>
        <w:rPr>
          <w:rFonts w:ascii="Verdana" w:eastAsia="Times New Roman" w:hAnsi="Verdana"/>
          <w:b/>
          <w:bCs/>
          <w:sz w:val="22"/>
          <w:szCs w:val="22"/>
          <w:lang w:eastAsia="en-US"/>
        </w:rPr>
      </w:pPr>
      <w:r w:rsidRPr="000617DA">
        <w:rPr>
          <w:rFonts w:ascii="Verdana" w:eastAsia="Times New Roman" w:hAnsi="Verdana"/>
          <w:b/>
          <w:bCs/>
          <w:sz w:val="22"/>
          <w:szCs w:val="22"/>
          <w:lang w:eastAsia="en-US"/>
        </w:rPr>
        <w:t xml:space="preserve">A copy of the written consent policy or procedure in force in February 2017 for elective general surgery, including any guidance on discussing with a patient the possibility of conversion from laparoscopic (keyhole) to open surgery. </w:t>
      </w:r>
      <w:r w:rsidR="00D569DB">
        <w:rPr>
          <w:rFonts w:ascii="Verdana" w:eastAsia="Times New Roman" w:hAnsi="Verdana"/>
          <w:b/>
          <w:bCs/>
          <w:sz w:val="22"/>
          <w:szCs w:val="22"/>
          <w:lang w:eastAsia="en-US"/>
        </w:rPr>
        <w:br/>
      </w:r>
      <w:r w:rsidR="00D23973">
        <w:rPr>
          <w:rFonts w:ascii="Verdana" w:eastAsia="Times New Roman" w:hAnsi="Verdana"/>
          <w:sz w:val="22"/>
          <w:szCs w:val="22"/>
          <w:lang w:eastAsia="en-US"/>
        </w:rPr>
        <w:t xml:space="preserve">General surgery was not </w:t>
      </w:r>
      <w:r w:rsidR="00FD535C">
        <w:rPr>
          <w:rFonts w:ascii="Verdana" w:eastAsia="Times New Roman" w:hAnsi="Verdana"/>
          <w:sz w:val="22"/>
          <w:szCs w:val="22"/>
          <w:lang w:eastAsia="en-US"/>
        </w:rPr>
        <w:t>performed by the health board (at that point known as Abertawe Bro Morgannwg UHB)</w:t>
      </w:r>
      <w:r w:rsidR="00D23973">
        <w:rPr>
          <w:rFonts w:ascii="Verdana" w:eastAsia="Times New Roman" w:hAnsi="Verdana"/>
          <w:sz w:val="22"/>
          <w:szCs w:val="22"/>
          <w:lang w:eastAsia="en-US"/>
        </w:rPr>
        <w:t xml:space="preserve"> in Neath Port Talbot Hospital (NPTH) in 2017.</w:t>
      </w:r>
      <w:r w:rsidR="00FD535C">
        <w:rPr>
          <w:rFonts w:ascii="Verdana" w:eastAsia="Times New Roman" w:hAnsi="Verdana"/>
          <w:sz w:val="22"/>
          <w:szCs w:val="22"/>
          <w:lang w:eastAsia="en-US"/>
        </w:rPr>
        <w:t xml:space="preserve"> Theatres at this point were utilised by Cwm Taf UHB, you may wish to contact them regarding this information.</w:t>
      </w:r>
      <w:r w:rsidR="00D23973">
        <w:rPr>
          <w:rFonts w:ascii="Verdana" w:eastAsia="Times New Roman" w:hAnsi="Verdana"/>
          <w:sz w:val="22"/>
          <w:szCs w:val="22"/>
          <w:lang w:eastAsia="en-US"/>
        </w:rPr>
        <w:br/>
      </w:r>
      <w:r w:rsidR="00FD535C">
        <w:rPr>
          <w:rFonts w:ascii="Verdana" w:eastAsia="Times New Roman" w:hAnsi="Verdana"/>
          <w:sz w:val="22"/>
          <w:szCs w:val="22"/>
          <w:lang w:eastAsia="en-US"/>
        </w:rPr>
        <w:t>Currently</w:t>
      </w:r>
      <w:r w:rsidR="00D23973">
        <w:rPr>
          <w:rFonts w:ascii="Verdana" w:eastAsia="Times New Roman" w:hAnsi="Verdana"/>
          <w:sz w:val="22"/>
          <w:szCs w:val="22"/>
          <w:lang w:eastAsia="en-US"/>
        </w:rPr>
        <w:t>, l</w:t>
      </w:r>
      <w:r w:rsidR="00D569DB" w:rsidRPr="00D569DB">
        <w:rPr>
          <w:rFonts w:ascii="Verdana" w:eastAsia="Times New Roman" w:hAnsi="Verdana"/>
          <w:sz w:val="22"/>
          <w:szCs w:val="22"/>
          <w:lang w:eastAsia="en-US"/>
        </w:rPr>
        <w:t>aparoscopic approach is not offered at</w:t>
      </w:r>
      <w:r w:rsidR="00D23973">
        <w:rPr>
          <w:rFonts w:ascii="Verdana" w:eastAsia="Times New Roman" w:hAnsi="Verdana"/>
          <w:sz w:val="22"/>
          <w:szCs w:val="22"/>
          <w:lang w:eastAsia="en-US"/>
        </w:rPr>
        <w:t xml:space="preserve"> NPTH</w:t>
      </w:r>
      <w:r w:rsidR="00D569DB" w:rsidRPr="00D569DB">
        <w:rPr>
          <w:rFonts w:ascii="Verdana" w:eastAsia="Times New Roman" w:hAnsi="Verdana"/>
          <w:sz w:val="22"/>
          <w:szCs w:val="22"/>
          <w:lang w:eastAsia="en-US"/>
        </w:rPr>
        <w:t xml:space="preserve">.  All General Surgery procedures at NPTH are open </w:t>
      </w:r>
      <w:r w:rsidR="00D569DB">
        <w:rPr>
          <w:rFonts w:ascii="Verdana" w:eastAsia="Times New Roman" w:hAnsi="Verdana"/>
          <w:sz w:val="22"/>
          <w:szCs w:val="22"/>
          <w:lang w:eastAsia="en-US"/>
        </w:rPr>
        <w:t xml:space="preserve">surgery </w:t>
      </w:r>
      <w:r w:rsidR="00D569DB" w:rsidRPr="00D569DB">
        <w:rPr>
          <w:rFonts w:ascii="Verdana" w:eastAsia="Times New Roman" w:hAnsi="Verdana"/>
          <w:sz w:val="22"/>
          <w:szCs w:val="22"/>
          <w:lang w:eastAsia="en-US"/>
        </w:rPr>
        <w:t>only</w:t>
      </w:r>
      <w:r w:rsidR="00D569DB">
        <w:rPr>
          <w:rFonts w:ascii="Verdana" w:eastAsia="Times New Roman" w:hAnsi="Verdana"/>
          <w:sz w:val="22"/>
          <w:szCs w:val="22"/>
          <w:lang w:eastAsia="en-US"/>
        </w:rPr>
        <w:t>,</w:t>
      </w:r>
      <w:r w:rsidR="00D569DB" w:rsidRPr="00D569DB">
        <w:rPr>
          <w:rFonts w:ascii="Verdana" w:eastAsia="Times New Roman" w:hAnsi="Verdana"/>
          <w:sz w:val="22"/>
          <w:szCs w:val="22"/>
          <w:lang w:eastAsia="en-US"/>
        </w:rPr>
        <w:t xml:space="preserve"> so there is no risk of conversion.</w:t>
      </w:r>
      <w:r w:rsidR="00D569DB" w:rsidRPr="00D569DB">
        <w:rPr>
          <w:rFonts w:ascii="Verdana" w:eastAsia="Times New Roman" w:hAnsi="Verdana"/>
          <w:sz w:val="22"/>
          <w:szCs w:val="22"/>
          <w:lang w:eastAsia="en-US"/>
        </w:rPr>
        <w:br/>
      </w:r>
      <w:r w:rsidR="000617DA" w:rsidRPr="000617DA">
        <w:rPr>
          <w:rFonts w:ascii="Verdana" w:eastAsia="Times New Roman" w:hAnsi="Verdana"/>
          <w:b/>
          <w:bCs/>
          <w:sz w:val="22"/>
          <w:szCs w:val="22"/>
          <w:lang w:eastAsia="en-US"/>
        </w:rPr>
        <w:br/>
      </w:r>
    </w:p>
    <w:p w14:paraId="55016E89" w14:textId="5CA15209" w:rsidR="00136B0F" w:rsidRPr="000617DA" w:rsidRDefault="00136B0F" w:rsidP="00136B0F">
      <w:pPr>
        <w:pStyle w:val="ListParagraph"/>
        <w:numPr>
          <w:ilvl w:val="0"/>
          <w:numId w:val="19"/>
        </w:numPr>
        <w:spacing w:before="0" w:after="0" w:line="240" w:lineRule="auto"/>
        <w:ind w:right="0"/>
        <w:contextualSpacing w:val="0"/>
        <w:rPr>
          <w:rFonts w:ascii="Verdana" w:eastAsia="Times New Roman" w:hAnsi="Verdana"/>
          <w:sz w:val="22"/>
          <w:szCs w:val="22"/>
          <w:lang w:eastAsia="en-US"/>
        </w:rPr>
      </w:pPr>
      <w:r w:rsidRPr="000617DA">
        <w:rPr>
          <w:rFonts w:ascii="Verdana" w:eastAsia="Times New Roman" w:hAnsi="Verdana"/>
          <w:b/>
          <w:bCs/>
          <w:sz w:val="22"/>
          <w:szCs w:val="22"/>
          <w:lang w:eastAsia="en-US"/>
        </w:rPr>
        <w:t xml:space="preserve">A copy of any policy or guidance in force in February 2017 concerning notifying a patient of a change in the named operating surgeon prior to obtaining consent. </w:t>
      </w:r>
      <w:r w:rsidRPr="000617DA">
        <w:rPr>
          <w:rFonts w:ascii="Verdana" w:eastAsia="Times New Roman" w:hAnsi="Verdana"/>
          <w:sz w:val="22"/>
          <w:szCs w:val="22"/>
          <w:lang w:eastAsia="en-US"/>
        </w:rPr>
        <w:br/>
      </w:r>
      <w:r w:rsidR="00D569DB">
        <w:rPr>
          <w:rFonts w:ascii="Verdana" w:eastAsia="Times New Roman" w:hAnsi="Verdana"/>
          <w:sz w:val="22"/>
          <w:szCs w:val="22"/>
          <w:lang w:eastAsia="en-US"/>
        </w:rPr>
        <w:t xml:space="preserve">Not applicable </w:t>
      </w:r>
      <w:r w:rsidR="00D569DB">
        <w:rPr>
          <w:rFonts w:ascii="Verdana" w:eastAsia="Times New Roman" w:hAnsi="Verdana"/>
          <w:sz w:val="22"/>
          <w:szCs w:val="22"/>
          <w:lang w:eastAsia="en-US"/>
        </w:rPr>
        <w:br/>
      </w:r>
      <w:r w:rsidRPr="000617DA">
        <w:rPr>
          <w:rFonts w:ascii="Verdana" w:eastAsia="Times New Roman" w:hAnsi="Verdana"/>
          <w:sz w:val="22"/>
          <w:szCs w:val="22"/>
          <w:lang w:eastAsia="en-US"/>
        </w:rPr>
        <w:br/>
      </w:r>
    </w:p>
    <w:p w14:paraId="3FB43E63" w14:textId="691D6A40" w:rsidR="00136B0F" w:rsidRPr="000617DA" w:rsidRDefault="00136B0F" w:rsidP="00136B0F">
      <w:pPr>
        <w:pStyle w:val="ListParagraph"/>
        <w:numPr>
          <w:ilvl w:val="0"/>
          <w:numId w:val="19"/>
        </w:numPr>
        <w:spacing w:before="0" w:after="0" w:line="240" w:lineRule="auto"/>
        <w:ind w:right="0"/>
        <w:rPr>
          <w:rFonts w:ascii="Verdana" w:eastAsia="Times New Roman" w:hAnsi="Verdana"/>
          <w:sz w:val="22"/>
          <w:szCs w:val="22"/>
          <w:lang w:eastAsia="en-US"/>
        </w:rPr>
      </w:pPr>
      <w:r w:rsidRPr="000617DA">
        <w:rPr>
          <w:rFonts w:ascii="Verdana" w:eastAsia="Times New Roman" w:hAnsi="Verdana"/>
          <w:b/>
          <w:bCs/>
          <w:sz w:val="22"/>
          <w:szCs w:val="22"/>
          <w:lang w:eastAsia="en-US"/>
        </w:rPr>
        <w:t xml:space="preserve">Aggregate, anonymised figures for the number of formal complaints, Datix incident reports, or clinical negligence notifications recorded between 2015 and 2020 relating to (a) unplanned conversion from keyhole to open surgery without prior consent, and (b) change of named operating surgeon without patient notification, in general surgery. Please provide totals only — no information that could identify any individual patient or member of staff is requested. </w:t>
      </w:r>
      <w:r w:rsidRPr="000617DA">
        <w:rPr>
          <w:rFonts w:ascii="Verdana" w:eastAsia="Times New Roman" w:hAnsi="Verdana"/>
          <w:sz w:val="22"/>
          <w:szCs w:val="22"/>
          <w:lang w:eastAsia="en-US"/>
        </w:rPr>
        <w:br/>
      </w:r>
      <w:r w:rsidR="00474CBA">
        <w:rPr>
          <w:rFonts w:ascii="Verdana" w:eastAsia="Times New Roman" w:hAnsi="Verdana"/>
          <w:sz w:val="22"/>
          <w:szCs w:val="22"/>
          <w:lang w:eastAsia="en-US"/>
        </w:rPr>
        <w:t xml:space="preserve">This information is not held in our complaints records system in a way that enables us to search on these topics. </w:t>
      </w:r>
      <w:r w:rsidR="00474CBA" w:rsidRPr="00FC3B42">
        <w:rPr>
          <w:rFonts w:ascii="Verdana" w:hAnsi="Verdana"/>
          <w:sz w:val="22"/>
          <w:szCs w:val="22"/>
        </w:rPr>
        <w:t xml:space="preserve">To obtain this information would involve a manual trawl and search of </w:t>
      </w:r>
      <w:r w:rsidR="00474CBA">
        <w:rPr>
          <w:rFonts w:ascii="Verdana" w:hAnsi="Verdana"/>
          <w:sz w:val="22"/>
          <w:szCs w:val="22"/>
        </w:rPr>
        <w:t xml:space="preserve">all </w:t>
      </w:r>
      <w:r w:rsidR="00474CBA" w:rsidRPr="00FC3B42">
        <w:rPr>
          <w:rFonts w:ascii="Verdana" w:hAnsi="Verdana"/>
          <w:sz w:val="22"/>
          <w:szCs w:val="22"/>
        </w:rPr>
        <w:t xml:space="preserve">records </w:t>
      </w:r>
      <w:r w:rsidR="00474CBA">
        <w:rPr>
          <w:rFonts w:ascii="Verdana" w:hAnsi="Verdana"/>
          <w:sz w:val="22"/>
          <w:szCs w:val="22"/>
        </w:rPr>
        <w:t xml:space="preserve">within the time frame </w:t>
      </w:r>
      <w:r w:rsidR="00474CBA" w:rsidRPr="00FC3B42">
        <w:rPr>
          <w:rFonts w:ascii="Verdana" w:hAnsi="Verdana"/>
          <w:sz w:val="22"/>
          <w:szCs w:val="22"/>
        </w:rPr>
        <w:t xml:space="preserve">which </w:t>
      </w:r>
      <w:r w:rsidR="00474CBA" w:rsidRPr="00FC3B42">
        <w:rPr>
          <w:rFonts w:ascii="Verdana" w:hAnsi="Verdana" w:cs="Times New Roman"/>
          <w:sz w:val="22"/>
          <w:szCs w:val="22"/>
        </w:rPr>
        <w:t xml:space="preserve">we have estimated would significantly exceed the 18 hours limit set down by the FOI Act as the reasonable limit. </w:t>
      </w:r>
      <w:r w:rsidR="00474CBA" w:rsidRPr="00FC3B42">
        <w:rPr>
          <w:rFonts w:ascii="Verdana" w:hAnsi="Verdana" w:cs="Tahoma"/>
          <w:sz w:val="22"/>
          <w:szCs w:val="22"/>
        </w:rPr>
        <w:t>Section 12 of the FOI Act and T</w:t>
      </w:r>
      <w:r w:rsidR="00474CBA" w:rsidRPr="00FC3B42">
        <w:rPr>
          <w:rFonts w:ascii="Verdana" w:hAnsi="Verdana"/>
          <w:sz w:val="22"/>
          <w:szCs w:val="22"/>
        </w:rPr>
        <w:t xml:space="preserve">he Freedom of Information and Data Protection (Appropriate Limit and Fees) Regulation 2004 </w:t>
      </w:r>
      <w:r w:rsidR="00474CBA"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w:t>
      </w:r>
      <w:r w:rsidR="00474CBA" w:rsidRPr="00FC3B42">
        <w:rPr>
          <w:rFonts w:ascii="Verdana" w:hAnsi="Verdana" w:cs="Times New Roman"/>
          <w:sz w:val="22"/>
          <w:szCs w:val="22"/>
        </w:rPr>
        <w:lastRenderedPageBreak/>
        <w:t>this time.</w:t>
      </w:r>
      <w:r w:rsidR="00474CBA">
        <w:rPr>
          <w:rFonts w:ascii="Verdana" w:hAnsi="Verdana" w:cs="Times New Roman"/>
          <w:sz w:val="22"/>
          <w:szCs w:val="22"/>
        </w:rPr>
        <w:br/>
      </w:r>
    </w:p>
    <w:p w14:paraId="32FA59EF" w14:textId="00CA24E0" w:rsidR="00136B0F" w:rsidRPr="000617DA" w:rsidRDefault="00136B0F" w:rsidP="00136B0F">
      <w:pPr>
        <w:pStyle w:val="ListParagraph"/>
        <w:spacing w:before="0" w:after="0" w:line="240" w:lineRule="auto"/>
        <w:ind w:right="0"/>
        <w:contextualSpacing w:val="0"/>
        <w:rPr>
          <w:rFonts w:ascii="Verdana" w:eastAsia="Times New Roman" w:hAnsi="Verdana"/>
          <w:sz w:val="22"/>
          <w:szCs w:val="22"/>
          <w:lang w:eastAsia="en-US"/>
        </w:rPr>
      </w:pPr>
    </w:p>
    <w:p w14:paraId="4958E956" w14:textId="14324F6B" w:rsidR="00136B0F" w:rsidRPr="000617DA" w:rsidRDefault="00136B0F" w:rsidP="00136B0F">
      <w:pPr>
        <w:pStyle w:val="ListParagraph"/>
        <w:numPr>
          <w:ilvl w:val="0"/>
          <w:numId w:val="19"/>
        </w:numPr>
        <w:spacing w:before="0" w:after="0" w:line="240" w:lineRule="auto"/>
        <w:ind w:right="0"/>
        <w:contextualSpacing w:val="0"/>
        <w:rPr>
          <w:rFonts w:ascii="Verdana" w:eastAsia="Times New Roman" w:hAnsi="Verdana"/>
          <w:b/>
          <w:bCs/>
          <w:sz w:val="22"/>
          <w:szCs w:val="22"/>
          <w:lang w:eastAsia="en-US"/>
        </w:rPr>
      </w:pPr>
      <w:r w:rsidRPr="000617DA">
        <w:rPr>
          <w:rFonts w:ascii="Verdana" w:eastAsia="Times New Roman" w:hAnsi="Verdana"/>
          <w:b/>
          <w:bCs/>
          <w:sz w:val="22"/>
          <w:szCs w:val="22"/>
          <w:lang w:eastAsia="en-US"/>
        </w:rPr>
        <w:t xml:space="preserve">Confirmation of whether any Serious Incident or Root Cause Analysis investigation was carried out concerning consent practices in general surgery at Neath Port Talbot Hospital between 2015 and 2019, and if so, the total number of such investigations (aggregate figure only). </w:t>
      </w:r>
      <w:r w:rsidRPr="000617DA">
        <w:rPr>
          <w:rFonts w:ascii="Verdana" w:eastAsia="Times New Roman" w:hAnsi="Verdana"/>
          <w:b/>
          <w:bCs/>
          <w:sz w:val="22"/>
          <w:szCs w:val="22"/>
          <w:lang w:eastAsia="en-US"/>
        </w:rPr>
        <w:br/>
      </w:r>
      <w:r w:rsidR="00975CAA">
        <w:rPr>
          <w:rFonts w:ascii="Verdana" w:eastAsia="Times New Roman" w:hAnsi="Verdana"/>
          <w:sz w:val="22"/>
          <w:szCs w:val="22"/>
          <w:lang w:eastAsia="en-US"/>
        </w:rPr>
        <w:t xml:space="preserve">This information is not held in our complaints records system in a way that enables us to search on these topics. </w:t>
      </w:r>
      <w:r w:rsidR="00975CAA" w:rsidRPr="00FC3B42">
        <w:rPr>
          <w:rFonts w:ascii="Verdana" w:hAnsi="Verdana"/>
          <w:sz w:val="22"/>
          <w:szCs w:val="22"/>
        </w:rPr>
        <w:t xml:space="preserve">To obtain this information would involve a manual trawl and search of </w:t>
      </w:r>
      <w:r w:rsidR="00975CAA">
        <w:rPr>
          <w:rFonts w:ascii="Verdana" w:hAnsi="Verdana"/>
          <w:sz w:val="22"/>
          <w:szCs w:val="22"/>
        </w:rPr>
        <w:t xml:space="preserve">all </w:t>
      </w:r>
      <w:r w:rsidR="00975CAA" w:rsidRPr="00FC3B42">
        <w:rPr>
          <w:rFonts w:ascii="Verdana" w:hAnsi="Verdana"/>
          <w:sz w:val="22"/>
          <w:szCs w:val="22"/>
        </w:rPr>
        <w:t xml:space="preserve">records </w:t>
      </w:r>
      <w:r w:rsidR="00975CAA">
        <w:rPr>
          <w:rFonts w:ascii="Verdana" w:hAnsi="Verdana"/>
          <w:sz w:val="22"/>
          <w:szCs w:val="22"/>
        </w:rPr>
        <w:t xml:space="preserve">within the time frame </w:t>
      </w:r>
      <w:r w:rsidR="00975CAA" w:rsidRPr="00FC3B42">
        <w:rPr>
          <w:rFonts w:ascii="Verdana" w:hAnsi="Verdana"/>
          <w:sz w:val="22"/>
          <w:szCs w:val="22"/>
        </w:rPr>
        <w:t xml:space="preserve">which </w:t>
      </w:r>
      <w:r w:rsidR="00975CAA" w:rsidRPr="00FC3B42">
        <w:rPr>
          <w:rFonts w:ascii="Verdana" w:hAnsi="Verdana" w:cs="Times New Roman"/>
          <w:sz w:val="22"/>
          <w:szCs w:val="22"/>
        </w:rPr>
        <w:t xml:space="preserve">we have estimated would significantly exceed the 18 hours limit set down by the FOI Act as the reasonable limit. </w:t>
      </w:r>
      <w:r w:rsidR="00975CAA" w:rsidRPr="00FC3B42">
        <w:rPr>
          <w:rFonts w:ascii="Verdana" w:hAnsi="Verdana" w:cs="Tahoma"/>
          <w:sz w:val="22"/>
          <w:szCs w:val="22"/>
        </w:rPr>
        <w:t>Section 12 of the FOI Act and T</w:t>
      </w:r>
      <w:r w:rsidR="00975CAA" w:rsidRPr="00FC3B42">
        <w:rPr>
          <w:rFonts w:ascii="Verdana" w:hAnsi="Verdana"/>
          <w:sz w:val="22"/>
          <w:szCs w:val="22"/>
        </w:rPr>
        <w:t xml:space="preserve">he Freedom of Information and Data Protection (Appropriate Limit and Fees) Regulation 2004 </w:t>
      </w:r>
      <w:r w:rsidR="00975CAA"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r w:rsidRPr="000617DA">
        <w:rPr>
          <w:rFonts w:ascii="Verdana" w:eastAsia="Times New Roman" w:hAnsi="Verdana"/>
          <w:b/>
          <w:bCs/>
          <w:sz w:val="22"/>
          <w:szCs w:val="22"/>
          <w:lang w:eastAsia="en-US"/>
        </w:rPr>
        <w:br/>
      </w:r>
    </w:p>
    <w:p w14:paraId="72FC54F7" w14:textId="14A63340" w:rsidR="00136B0F" w:rsidRPr="000617DA" w:rsidRDefault="00136B0F" w:rsidP="00136B0F">
      <w:pPr>
        <w:pStyle w:val="ListParagraph"/>
        <w:numPr>
          <w:ilvl w:val="0"/>
          <w:numId w:val="19"/>
        </w:numPr>
        <w:spacing w:before="0" w:after="0" w:line="240" w:lineRule="auto"/>
        <w:ind w:right="0"/>
        <w:contextualSpacing w:val="0"/>
        <w:rPr>
          <w:rFonts w:ascii="Verdana" w:eastAsia="Times New Roman" w:hAnsi="Verdana"/>
          <w:b/>
          <w:bCs/>
          <w:sz w:val="22"/>
          <w:szCs w:val="22"/>
          <w:lang w:eastAsia="en-US"/>
        </w:rPr>
      </w:pPr>
      <w:r w:rsidRPr="000617DA">
        <w:rPr>
          <w:rFonts w:ascii="Verdana" w:eastAsia="Times New Roman" w:hAnsi="Verdana"/>
          <w:b/>
          <w:bCs/>
          <w:sz w:val="22"/>
          <w:szCs w:val="22"/>
          <w:lang w:eastAsia="en-US"/>
        </w:rPr>
        <w:t xml:space="preserve">A copy of the generic staffing establishment structure (i.e., numbers and grades of consultants, registrars, and nursing staff assigned to the relevant general surgery ward and theatre list) as at February 2017. Named individuals are not requested. </w:t>
      </w:r>
      <w:r w:rsidR="000617DA" w:rsidRPr="000617DA">
        <w:rPr>
          <w:rFonts w:ascii="Verdana" w:eastAsia="Times New Roman" w:hAnsi="Verdana"/>
          <w:b/>
          <w:bCs/>
          <w:sz w:val="22"/>
          <w:szCs w:val="22"/>
          <w:lang w:eastAsia="en-US"/>
        </w:rPr>
        <w:br/>
      </w:r>
      <w:r w:rsidR="00D23973">
        <w:rPr>
          <w:rFonts w:ascii="Verdana" w:eastAsia="Times New Roman" w:hAnsi="Verdana"/>
          <w:sz w:val="22"/>
          <w:szCs w:val="22"/>
          <w:lang w:eastAsia="en-US"/>
        </w:rPr>
        <w:t>General surgery was not in place in Neath Port Talbot Hospital (NPTH) in 2017.</w:t>
      </w:r>
      <w:r w:rsidR="000617DA" w:rsidRPr="000617DA">
        <w:rPr>
          <w:rFonts w:ascii="Verdana" w:eastAsia="Times New Roman" w:hAnsi="Verdana"/>
          <w:b/>
          <w:bCs/>
          <w:sz w:val="22"/>
          <w:szCs w:val="22"/>
          <w:lang w:eastAsia="en-US"/>
        </w:rPr>
        <w:br/>
      </w:r>
    </w:p>
    <w:p w14:paraId="01BE6764" w14:textId="00A850D2" w:rsidR="000617DA" w:rsidRPr="000617DA" w:rsidRDefault="00136B0F" w:rsidP="000617DA">
      <w:pPr>
        <w:pStyle w:val="ListParagraph"/>
        <w:numPr>
          <w:ilvl w:val="0"/>
          <w:numId w:val="19"/>
        </w:numPr>
        <w:spacing w:before="0" w:after="0" w:line="240" w:lineRule="auto"/>
        <w:ind w:right="0"/>
        <w:rPr>
          <w:rFonts w:ascii="Verdana" w:hAnsi="Verdana"/>
          <w:noProof/>
          <w:sz w:val="22"/>
          <w:szCs w:val="22"/>
        </w:rPr>
      </w:pPr>
      <w:r w:rsidRPr="000617DA">
        <w:rPr>
          <w:rFonts w:ascii="Verdana" w:eastAsia="Times New Roman" w:hAnsi="Verdana"/>
          <w:b/>
          <w:bCs/>
          <w:sz w:val="22"/>
          <w:szCs w:val="22"/>
          <w:lang w:eastAsia="en-US"/>
        </w:rPr>
        <w:t xml:space="preserve">A copy of any Duty of Candour or "being open" policy held by the Health Board (or its predecessor body) in force in February 2017. </w:t>
      </w:r>
      <w:r w:rsidR="000617DA" w:rsidRPr="000617DA">
        <w:rPr>
          <w:rFonts w:ascii="Verdana" w:eastAsia="Times New Roman" w:hAnsi="Verdana"/>
          <w:b/>
          <w:bCs/>
          <w:sz w:val="22"/>
          <w:szCs w:val="22"/>
          <w:lang w:eastAsia="en-US"/>
        </w:rPr>
        <w:br/>
      </w:r>
      <w:r w:rsidR="000617DA" w:rsidRPr="000617DA">
        <w:rPr>
          <w:rFonts w:ascii="Verdana" w:hAnsi="Verdana"/>
          <w:noProof/>
          <w:sz w:val="22"/>
          <w:szCs w:val="22"/>
        </w:rPr>
        <w:t>Duty of Candour Regulations 2023 came into effect 01.04.2023</w:t>
      </w:r>
      <w:r w:rsidR="00D23973">
        <w:rPr>
          <w:rFonts w:ascii="Verdana" w:hAnsi="Verdana"/>
          <w:noProof/>
          <w:sz w:val="22"/>
          <w:szCs w:val="22"/>
        </w:rPr>
        <w:t>.</w:t>
      </w:r>
    </w:p>
    <w:p w14:paraId="00911424" w14:textId="77777777" w:rsidR="000617DA" w:rsidRPr="000617DA" w:rsidRDefault="000617DA" w:rsidP="000617DA">
      <w:pPr>
        <w:pStyle w:val="ListParagraph"/>
        <w:rPr>
          <w:rFonts w:ascii="Verdana" w:hAnsi="Verdana"/>
          <w:noProof/>
          <w:sz w:val="22"/>
          <w:szCs w:val="22"/>
        </w:rPr>
      </w:pPr>
    </w:p>
    <w:p w14:paraId="58BE4E05" w14:textId="77777777" w:rsidR="000617DA" w:rsidRPr="000617DA" w:rsidRDefault="000617DA" w:rsidP="000617DA">
      <w:pPr>
        <w:pStyle w:val="ListParagraph"/>
        <w:rPr>
          <w:rFonts w:ascii="Verdana" w:hAnsi="Verdana"/>
          <w:noProof/>
          <w:sz w:val="22"/>
          <w:szCs w:val="22"/>
        </w:rPr>
      </w:pPr>
      <w:r w:rsidRPr="000617DA">
        <w:rPr>
          <w:rFonts w:ascii="Verdana" w:hAnsi="Verdana"/>
          <w:noProof/>
          <w:sz w:val="22"/>
          <w:szCs w:val="22"/>
        </w:rPr>
        <w:t xml:space="preserve">Prior to implementation of the Duty of Candour, Swansea Bay followed the overarching Putting Things Right process - </w:t>
      </w:r>
      <w:hyperlink r:id="rId8" w:history="1">
        <w:r w:rsidRPr="000617DA">
          <w:rPr>
            <w:rStyle w:val="Hyperlink"/>
            <w:rFonts w:ascii="Verdana" w:hAnsi="Verdana" w:cs="Arial"/>
            <w:noProof/>
            <w:sz w:val="22"/>
            <w:szCs w:val="22"/>
          </w:rPr>
          <w:t>Putting Things Right Guidance</w:t>
        </w:r>
      </w:hyperlink>
      <w:r w:rsidRPr="000617DA">
        <w:rPr>
          <w:rFonts w:ascii="Verdana" w:hAnsi="Verdana"/>
          <w:noProof/>
          <w:sz w:val="22"/>
          <w:szCs w:val="22"/>
        </w:rPr>
        <w:t xml:space="preserve"> – which set out the Duty to be open.  </w:t>
      </w:r>
    </w:p>
    <w:p w14:paraId="17C3F559" w14:textId="77777777" w:rsidR="000617DA" w:rsidRPr="000617DA" w:rsidRDefault="000617DA" w:rsidP="000617DA">
      <w:pPr>
        <w:pStyle w:val="ListParagraph"/>
        <w:rPr>
          <w:rFonts w:ascii="Verdana" w:hAnsi="Verdana"/>
          <w:noProof/>
          <w:sz w:val="22"/>
          <w:szCs w:val="22"/>
        </w:rPr>
      </w:pPr>
    </w:p>
    <w:p w14:paraId="3DAC8527" w14:textId="77777777" w:rsidR="00D23973" w:rsidRDefault="000617DA" w:rsidP="00D23973">
      <w:pPr>
        <w:pStyle w:val="ListParagraph"/>
        <w:rPr>
          <w:rFonts w:ascii="Verdana" w:hAnsi="Verdana"/>
          <w:sz w:val="22"/>
          <w:szCs w:val="22"/>
        </w:rPr>
      </w:pPr>
      <w:r w:rsidRPr="000617DA">
        <w:rPr>
          <w:rFonts w:ascii="Verdana" w:hAnsi="Verdana"/>
          <w:noProof/>
          <w:sz w:val="22"/>
          <w:szCs w:val="22"/>
        </w:rPr>
        <w:t>Since 1</w:t>
      </w:r>
      <w:r w:rsidRPr="000617DA">
        <w:rPr>
          <w:rFonts w:ascii="Verdana" w:hAnsi="Verdana"/>
          <w:noProof/>
          <w:sz w:val="22"/>
          <w:szCs w:val="22"/>
          <w:vertAlign w:val="superscript"/>
        </w:rPr>
        <w:t>st</w:t>
      </w:r>
      <w:r w:rsidRPr="000617DA">
        <w:rPr>
          <w:rFonts w:ascii="Verdana" w:hAnsi="Verdana"/>
          <w:noProof/>
          <w:sz w:val="22"/>
          <w:szCs w:val="22"/>
        </w:rPr>
        <w:t xml:space="preserve"> April 2026, the Putting Things Right process has been replaced by the Listening to People process.  </w:t>
      </w:r>
      <w:r w:rsidR="00A115C7">
        <w:rPr>
          <w:rFonts w:ascii="Verdana" w:hAnsi="Verdana"/>
          <w:b/>
          <w:bCs/>
          <w:noProof/>
          <w:sz w:val="22"/>
          <w:szCs w:val="22"/>
        </w:rPr>
        <w:br/>
      </w:r>
    </w:p>
    <w:p w14:paraId="7F202BA5" w14:textId="7961F2CC" w:rsidR="00A115C7" w:rsidRPr="00D23973" w:rsidRDefault="00A115C7" w:rsidP="00D23973">
      <w:pPr>
        <w:ind w:left="284"/>
        <w:rPr>
          <w:rFonts w:ascii="Verdana" w:hAnsi="Verdana"/>
          <w:sz w:val="22"/>
          <w:szCs w:val="22"/>
        </w:rPr>
      </w:pPr>
      <w:r w:rsidRPr="00D23973">
        <w:rPr>
          <w:rFonts w:ascii="Verdana" w:hAnsi="Verdana"/>
          <w:sz w:val="22"/>
          <w:szCs w:val="22"/>
        </w:rPr>
        <w:t xml:space="preserve">I hope this information is helpful. If you require anything further, please contact us at </w:t>
      </w:r>
      <w:hyperlink r:id="rId9" w:history="1">
        <w:r w:rsidRPr="00D23973">
          <w:rPr>
            <w:rStyle w:val="Hyperlink"/>
            <w:rFonts w:ascii="Verdana" w:hAnsi="Verdana"/>
            <w:sz w:val="22"/>
            <w:szCs w:val="22"/>
          </w:rPr>
          <w:t>FOIA.Requests@wales.nhs.uk</w:t>
        </w:r>
      </w:hyperlink>
      <w:r w:rsidRPr="00D23973">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FA7E" w14:textId="77777777" w:rsidR="0046326B" w:rsidRDefault="0046326B" w:rsidP="007D6A3E">
      <w:pPr>
        <w:spacing w:before="0" w:after="0" w:line="240" w:lineRule="auto"/>
      </w:pPr>
      <w:r>
        <w:separator/>
      </w:r>
    </w:p>
  </w:endnote>
  <w:endnote w:type="continuationSeparator" w:id="0">
    <w:p w14:paraId="0F3508DC" w14:textId="77777777" w:rsidR="0046326B" w:rsidRDefault="0046326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026CE" w14:textId="77777777" w:rsidR="0046326B" w:rsidRDefault="0046326B" w:rsidP="007D6A3E">
      <w:pPr>
        <w:spacing w:before="0" w:after="0" w:line="240" w:lineRule="auto"/>
      </w:pPr>
      <w:r>
        <w:separator/>
      </w:r>
    </w:p>
  </w:footnote>
  <w:footnote w:type="continuationSeparator" w:id="0">
    <w:p w14:paraId="1EF83499" w14:textId="77777777" w:rsidR="0046326B" w:rsidRDefault="0046326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7D718E2"/>
    <w:multiLevelType w:val="hybridMultilevel"/>
    <w:tmpl w:val="57889678"/>
    <w:lvl w:ilvl="0" w:tplc="E410B8C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1018793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4E95"/>
    <w:rsid w:val="00040038"/>
    <w:rsid w:val="000617DA"/>
    <w:rsid w:val="00095DF5"/>
    <w:rsid w:val="000A785B"/>
    <w:rsid w:val="000C00ED"/>
    <w:rsid w:val="000F6539"/>
    <w:rsid w:val="00111757"/>
    <w:rsid w:val="001276F0"/>
    <w:rsid w:val="00136B0F"/>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326B"/>
    <w:rsid w:val="0047028C"/>
    <w:rsid w:val="00474CBA"/>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3279"/>
    <w:rsid w:val="007D6A3E"/>
    <w:rsid w:val="007F192C"/>
    <w:rsid w:val="00801716"/>
    <w:rsid w:val="00813815"/>
    <w:rsid w:val="00816437"/>
    <w:rsid w:val="00824D19"/>
    <w:rsid w:val="00846C1D"/>
    <w:rsid w:val="00873328"/>
    <w:rsid w:val="0089491A"/>
    <w:rsid w:val="008A2D60"/>
    <w:rsid w:val="0090178A"/>
    <w:rsid w:val="00912B14"/>
    <w:rsid w:val="009267EE"/>
    <w:rsid w:val="009269BD"/>
    <w:rsid w:val="00937E61"/>
    <w:rsid w:val="009574AC"/>
    <w:rsid w:val="0097092D"/>
    <w:rsid w:val="00975CAA"/>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B7919"/>
    <w:rsid w:val="00BC67E1"/>
    <w:rsid w:val="00C021A4"/>
    <w:rsid w:val="00C050BE"/>
    <w:rsid w:val="00C21013"/>
    <w:rsid w:val="00C75A00"/>
    <w:rsid w:val="00CA07E3"/>
    <w:rsid w:val="00CB2BBE"/>
    <w:rsid w:val="00CC73D0"/>
    <w:rsid w:val="00CE1516"/>
    <w:rsid w:val="00CE325E"/>
    <w:rsid w:val="00CE3DBC"/>
    <w:rsid w:val="00D15865"/>
    <w:rsid w:val="00D23973"/>
    <w:rsid w:val="00D569DB"/>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5A1D"/>
    <w:rsid w:val="00F96598"/>
    <w:rsid w:val="00FA0C91"/>
    <w:rsid w:val="00FA177F"/>
    <w:rsid w:val="00FB1E56"/>
    <w:rsid w:val="00FB2ECD"/>
    <w:rsid w:val="00FD5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061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sites/default/files/publications/2025-03/putting-things-right-guidance-ii.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39</cp:revision>
  <cp:lastPrinted>2019-03-26T11:11:00Z</cp:lastPrinted>
  <dcterms:created xsi:type="dcterms:W3CDTF">2021-09-13T07:38:00Z</dcterms:created>
  <dcterms:modified xsi:type="dcterms:W3CDTF">2026-07-29T05:32:00Z</dcterms:modified>
</cp:coreProperties>
</file>