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1A853B70"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FB2ECD">
                              <w:rPr>
                                <w:rFonts w:ascii="Verdana" w:hAnsi="Verdana"/>
                                <w:b/>
                                <w:sz w:val="22"/>
                                <w:szCs w:val="22"/>
                              </w:rPr>
                              <w:t>26-G-</w:t>
                            </w:r>
                            <w:r w:rsidR="00B027C3">
                              <w:rPr>
                                <w:rFonts w:ascii="Verdana" w:hAnsi="Verdana"/>
                                <w:b/>
                                <w:sz w:val="22"/>
                                <w:szCs w:val="22"/>
                              </w:rPr>
                              <w:t>020</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B027C3">
                              <w:rPr>
                                <w:rFonts w:ascii="Verdana" w:hAnsi="Verdana"/>
                                <w:b/>
                                <w:noProof/>
                                <w:sz w:val="22"/>
                                <w:szCs w:val="22"/>
                              </w:rPr>
                              <w:t>22 July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1A853B70"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FB2ECD">
                        <w:rPr>
                          <w:rFonts w:ascii="Verdana" w:hAnsi="Verdana"/>
                          <w:b/>
                          <w:sz w:val="22"/>
                          <w:szCs w:val="22"/>
                        </w:rPr>
                        <w:t>26-G-</w:t>
                      </w:r>
                      <w:r w:rsidR="00B027C3">
                        <w:rPr>
                          <w:rFonts w:ascii="Verdana" w:hAnsi="Verdana"/>
                          <w:b/>
                          <w:sz w:val="22"/>
                          <w:szCs w:val="22"/>
                        </w:rPr>
                        <w:t>020</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B027C3">
                        <w:rPr>
                          <w:rFonts w:ascii="Verdana" w:hAnsi="Verdana"/>
                          <w:b/>
                          <w:noProof/>
                          <w:sz w:val="22"/>
                          <w:szCs w:val="22"/>
                        </w:rPr>
                        <w:t>22 July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359B68D1" w:rsidR="00DC0D5A" w:rsidRPr="00EA57D4" w:rsidRDefault="00B027C3" w:rsidP="00DC0D5A">
      <w:pPr>
        <w:spacing w:before="280"/>
        <w:rPr>
          <w:rFonts w:ascii="Verdana" w:hAnsi="Verdana"/>
          <w:bCs/>
          <w:sz w:val="22"/>
          <w:u w:val="single"/>
        </w:rPr>
      </w:pPr>
      <w:r>
        <w:rPr>
          <w:rFonts w:ascii="Verdana" w:hAnsi="Verdana"/>
          <w:sz w:val="22"/>
        </w:rPr>
        <w:t>Please note that this information reflects the period April 2025 to March 2026.</w:t>
      </w:r>
      <w:r>
        <w:rPr>
          <w:rFonts w:ascii="Verdana" w:hAnsi="Verdana"/>
          <w:sz w:val="22"/>
        </w:rPr>
        <w:br/>
      </w:r>
      <w:r w:rsidR="00A10460" w:rsidRPr="00A10460">
        <w:rPr>
          <w:rFonts w:ascii="Verdana" w:hAnsi="Verdana"/>
          <w:sz w:val="22"/>
        </w:rPr>
        <w:br/>
      </w:r>
      <w:r w:rsidR="00A115C7" w:rsidRPr="00EA57D4">
        <w:rPr>
          <w:rFonts w:ascii="Verdana" w:hAnsi="Verdana"/>
          <w:bCs/>
          <w:sz w:val="22"/>
          <w:u w:val="single"/>
        </w:rPr>
        <w:t>Request and response:</w:t>
      </w:r>
    </w:p>
    <w:p w14:paraId="55A35EF3" w14:textId="2610ED8C" w:rsidR="00B027C3" w:rsidRPr="00B027C3" w:rsidRDefault="00B027C3" w:rsidP="00B027C3">
      <w:pPr>
        <w:rPr>
          <w:rFonts w:ascii="Verdana" w:hAnsi="Verdana"/>
          <w:b/>
          <w:bCs/>
          <w:noProof/>
          <w:sz w:val="22"/>
          <w:szCs w:val="22"/>
        </w:rPr>
      </w:pPr>
      <w:r w:rsidRPr="00B027C3">
        <w:rPr>
          <w:rFonts w:ascii="Verdana" w:hAnsi="Verdana"/>
          <w:b/>
          <w:bCs/>
          <w:noProof/>
          <w:sz w:val="22"/>
          <w:szCs w:val="22"/>
        </w:rPr>
        <w:t>Gastric and Gastro-oesophageal Junction (GOJ) Adenocarcinoma – Data Request (Last 12 Months)</w:t>
      </w:r>
    </w:p>
    <w:p w14:paraId="48636AF1" w14:textId="436FD2F0" w:rsidR="00B027C3" w:rsidRPr="00B027C3" w:rsidRDefault="00B027C3" w:rsidP="00B027C3">
      <w:pPr>
        <w:pStyle w:val="ListParagraph"/>
        <w:numPr>
          <w:ilvl w:val="0"/>
          <w:numId w:val="20"/>
        </w:numPr>
        <w:rPr>
          <w:rFonts w:ascii="Verdana" w:hAnsi="Verdana"/>
          <w:b/>
          <w:bCs/>
          <w:noProof/>
          <w:sz w:val="22"/>
          <w:szCs w:val="22"/>
        </w:rPr>
      </w:pPr>
      <w:r w:rsidRPr="00B027C3">
        <w:rPr>
          <w:rFonts w:ascii="Verdana" w:hAnsi="Verdana"/>
          <w:b/>
          <w:bCs/>
          <w:noProof/>
          <w:sz w:val="22"/>
          <w:szCs w:val="22"/>
        </w:rPr>
        <w:t xml:space="preserve">How many patients have been diagnosed with locally advanced unresectable or metastatic gastric adenocarcinoma in your </w:t>
      </w:r>
      <w:r>
        <w:rPr>
          <w:rFonts w:ascii="Verdana" w:hAnsi="Verdana"/>
          <w:b/>
          <w:bCs/>
          <w:noProof/>
          <w:sz w:val="22"/>
          <w:szCs w:val="22"/>
        </w:rPr>
        <w:t>Health Board</w:t>
      </w:r>
      <w:r w:rsidRPr="00B027C3">
        <w:rPr>
          <w:rFonts w:ascii="Verdana" w:hAnsi="Verdana"/>
          <w:b/>
          <w:bCs/>
          <w:noProof/>
          <w:sz w:val="22"/>
          <w:szCs w:val="22"/>
        </w:rPr>
        <w:t xml:space="preserve"> in the last 12 months?</w:t>
      </w:r>
      <w:r>
        <w:rPr>
          <w:rFonts w:ascii="Verdana" w:hAnsi="Verdana"/>
          <w:b/>
          <w:bCs/>
          <w:noProof/>
          <w:sz w:val="22"/>
          <w:szCs w:val="22"/>
        </w:rPr>
        <w:br/>
      </w:r>
      <w:r w:rsidRPr="00B027C3">
        <w:rPr>
          <w:rFonts w:ascii="Verdana" w:hAnsi="Verdana"/>
          <w:noProof/>
          <w:sz w:val="22"/>
          <w:szCs w:val="22"/>
        </w:rPr>
        <w:t>11 patients</w:t>
      </w:r>
      <w:r>
        <w:rPr>
          <w:rFonts w:ascii="Verdana" w:hAnsi="Verdana"/>
          <w:noProof/>
          <w:sz w:val="22"/>
          <w:szCs w:val="22"/>
        </w:rPr>
        <w:br/>
      </w:r>
    </w:p>
    <w:p w14:paraId="6183897A" w14:textId="32D02AF3" w:rsidR="00B027C3" w:rsidRPr="00B027C3" w:rsidRDefault="00B027C3" w:rsidP="00B027C3">
      <w:pPr>
        <w:pStyle w:val="ListParagraph"/>
        <w:numPr>
          <w:ilvl w:val="0"/>
          <w:numId w:val="20"/>
        </w:numPr>
        <w:rPr>
          <w:rFonts w:ascii="Verdana" w:hAnsi="Verdana"/>
          <w:noProof/>
          <w:sz w:val="22"/>
          <w:szCs w:val="22"/>
        </w:rPr>
      </w:pPr>
      <w:r w:rsidRPr="00B027C3">
        <w:rPr>
          <w:rFonts w:ascii="Verdana" w:hAnsi="Verdana"/>
          <w:b/>
          <w:bCs/>
          <w:noProof/>
          <w:sz w:val="22"/>
          <w:szCs w:val="22"/>
        </w:rPr>
        <w:t xml:space="preserve">How many patients have been diagnosed with locally advanced unresectable or metastatic gastroesophageal junction (GOJ) adenocarcinoma in your </w:t>
      </w:r>
      <w:r>
        <w:rPr>
          <w:rFonts w:ascii="Verdana" w:hAnsi="Verdana"/>
          <w:b/>
          <w:bCs/>
          <w:noProof/>
          <w:sz w:val="22"/>
          <w:szCs w:val="22"/>
        </w:rPr>
        <w:t>Health Board</w:t>
      </w:r>
      <w:r w:rsidRPr="00B027C3">
        <w:rPr>
          <w:rFonts w:ascii="Verdana" w:hAnsi="Verdana"/>
          <w:b/>
          <w:bCs/>
          <w:noProof/>
          <w:sz w:val="22"/>
          <w:szCs w:val="22"/>
        </w:rPr>
        <w:t xml:space="preserve"> in the last 12 months?</w:t>
      </w:r>
      <w:r>
        <w:rPr>
          <w:rFonts w:ascii="Verdana" w:hAnsi="Verdana"/>
          <w:b/>
          <w:bCs/>
          <w:noProof/>
          <w:sz w:val="22"/>
          <w:szCs w:val="22"/>
        </w:rPr>
        <w:br/>
      </w:r>
      <w:r>
        <w:rPr>
          <w:rFonts w:ascii="Verdana" w:hAnsi="Verdana"/>
          <w:noProof/>
          <w:sz w:val="22"/>
          <w:szCs w:val="22"/>
        </w:rPr>
        <w:t>&lt;5</w:t>
      </w:r>
    </w:p>
    <w:p w14:paraId="290A6C0E" w14:textId="460B386E" w:rsidR="00B027C3" w:rsidRPr="00B027C3" w:rsidRDefault="00B027C3" w:rsidP="00B027C3">
      <w:pPr>
        <w:pStyle w:val="ListParagraph"/>
        <w:ind w:left="865"/>
        <w:rPr>
          <w:rFonts w:ascii="Verdana" w:hAnsi="Verdana"/>
          <w:noProof/>
          <w:sz w:val="22"/>
          <w:szCs w:val="22"/>
        </w:rPr>
      </w:pPr>
      <w:r>
        <w:rPr>
          <w:rFonts w:ascii="Verdana" w:hAnsi="Verdana"/>
          <w:noProof/>
          <w:sz w:val="22"/>
          <w:szCs w:val="22"/>
        </w:rPr>
        <w:t>Please note that v</w:t>
      </w:r>
      <w:r w:rsidRPr="00B027C3">
        <w:rPr>
          <w:rFonts w:ascii="Verdana" w:hAnsi="Verdana"/>
          <w:noProof/>
          <w:sz w:val="22"/>
          <w:szCs w:val="22"/>
        </w:rPr>
        <w:t>alidation of data for the period in question is underway for national audit purposes</w:t>
      </w:r>
      <w:r w:rsidR="00950A45">
        <w:rPr>
          <w:rFonts w:ascii="Verdana" w:hAnsi="Verdana"/>
          <w:noProof/>
          <w:sz w:val="22"/>
          <w:szCs w:val="22"/>
        </w:rPr>
        <w:t>.</w:t>
      </w:r>
      <w:r w:rsidR="00950A45">
        <w:rPr>
          <w:rFonts w:ascii="Verdana" w:hAnsi="Verdana"/>
          <w:noProof/>
          <w:sz w:val="22"/>
          <w:szCs w:val="22"/>
        </w:rPr>
        <w:br/>
      </w:r>
      <w:r w:rsidR="00950A45">
        <w:rPr>
          <w:rFonts w:ascii="Verdana" w:hAnsi="Verdana"/>
          <w:noProof/>
          <w:sz w:val="22"/>
          <w:szCs w:val="22"/>
        </w:rPr>
        <w:br/>
      </w:r>
      <w:r w:rsidR="00950A45" w:rsidRPr="00FC3B42">
        <w:rPr>
          <w:rFonts w:ascii="Verdana" w:hAnsi="Verdana"/>
          <w:sz w:val="22"/>
          <w:szCs w:val="22"/>
        </w:rPr>
        <w:t xml:space="preserve">Where fewer than 5 has been indicated we are unable to provide you with the exact number of </w:t>
      </w:r>
      <w:r w:rsidR="00950A45" w:rsidRPr="00950A45">
        <w:rPr>
          <w:rFonts w:ascii="Verdana" w:hAnsi="Verdana"/>
          <w:sz w:val="22"/>
          <w:szCs w:val="22"/>
        </w:rPr>
        <w:t>patients</w:t>
      </w:r>
      <w:r w:rsidR="00950A45" w:rsidRPr="00FC3B42">
        <w:rPr>
          <w:rFonts w:ascii="Verdana" w:hAnsi="Verdana"/>
          <w:sz w:val="22"/>
          <w:szCs w:val="22"/>
        </w:rPr>
        <w:t xml:space="preserve"> as due to the low numbers, </w:t>
      </w:r>
      <w:bookmarkStart w:id="0" w:name="_Hlk222922831"/>
      <w:r w:rsidR="00950A45" w:rsidRPr="00FC3B42">
        <w:rPr>
          <w:rFonts w:ascii="Verdana" w:hAnsi="Verdana"/>
          <w:sz w:val="22"/>
          <w:szCs w:val="22"/>
        </w:rPr>
        <w:t xml:space="preserve">there is a potential risk of identifying individuals if this was disclosed.  We are therefore withholding this detail under Section 40(2) of the </w:t>
      </w:r>
      <w:smartTag w:uri="urn:schemas-microsoft-com:office:smarttags" w:element="address">
        <w:r w:rsidR="00950A45" w:rsidRPr="00FC3B42">
          <w:rPr>
            <w:rFonts w:ascii="Verdana" w:hAnsi="Verdana"/>
            <w:sz w:val="22"/>
            <w:szCs w:val="22"/>
          </w:rPr>
          <w:t>Freedom of Information</w:t>
        </w:r>
      </w:smartTag>
      <w:r w:rsidR="00950A45" w:rsidRPr="00FC3B42">
        <w:rPr>
          <w:rFonts w:ascii="Verdana" w:hAnsi="Verdana"/>
          <w:sz w:val="22"/>
          <w:szCs w:val="22"/>
        </w:rPr>
        <w:t xml:space="preserve"> Act 2000.  This information is protected by the </w:t>
      </w:r>
      <w:r w:rsidR="00950A45" w:rsidRPr="00FC3B42">
        <w:rPr>
          <w:rFonts w:ascii="Verdana" w:hAnsi="Verdana"/>
          <w:iCs/>
          <w:sz w:val="22"/>
          <w:szCs w:val="22"/>
        </w:rPr>
        <w:t xml:space="preserve">General Data Protection Regulation (GDPR) and Data Protection Act 2018 and its disclosure would be contrary to the data protection principles and constitute as unfair and unlawful processing </w:t>
      </w:r>
      <w:r w:rsidR="00950A45" w:rsidRPr="00FC3B42">
        <w:rPr>
          <w:rFonts w:ascii="Verdana" w:hAnsi="Verdana"/>
          <w:bCs/>
          <w:iCs/>
          <w:sz w:val="22"/>
          <w:szCs w:val="22"/>
        </w:rPr>
        <w:t>in regard to</w:t>
      </w:r>
      <w:r w:rsidR="00950A45" w:rsidRPr="00FC3B42">
        <w:rPr>
          <w:rFonts w:ascii="Verdana" w:hAnsi="Verdana"/>
          <w:iCs/>
          <w:sz w:val="22"/>
          <w:szCs w:val="22"/>
        </w:rPr>
        <w:t xml:space="preserve"> Articles 5, 6, and 9 of GDPR.  </w:t>
      </w:r>
      <w:r w:rsidR="00950A45" w:rsidRPr="00FC3B42">
        <w:rPr>
          <w:rFonts w:ascii="Verdana" w:hAnsi="Verdana"/>
          <w:sz w:val="22"/>
          <w:szCs w:val="22"/>
        </w:rPr>
        <w:t>This exemption is absolute and therefore there is no requirement to apply the public interest test.</w:t>
      </w:r>
      <w:bookmarkEnd w:id="0"/>
    </w:p>
    <w:p w14:paraId="0FE01A06" w14:textId="77777777" w:rsidR="00B027C3" w:rsidRPr="00B027C3" w:rsidRDefault="00B027C3" w:rsidP="00B027C3">
      <w:pPr>
        <w:rPr>
          <w:rFonts w:ascii="Verdana" w:hAnsi="Verdana"/>
          <w:b/>
          <w:bCs/>
          <w:noProof/>
          <w:sz w:val="22"/>
          <w:szCs w:val="22"/>
        </w:rPr>
      </w:pPr>
    </w:p>
    <w:p w14:paraId="4493F676" w14:textId="4969A477" w:rsidR="00B027C3" w:rsidRPr="00B027C3" w:rsidRDefault="00B027C3" w:rsidP="00B027C3">
      <w:pPr>
        <w:pStyle w:val="ListParagraph"/>
        <w:numPr>
          <w:ilvl w:val="0"/>
          <w:numId w:val="20"/>
        </w:numPr>
        <w:rPr>
          <w:rFonts w:ascii="Verdana" w:hAnsi="Verdana"/>
          <w:b/>
          <w:bCs/>
          <w:noProof/>
          <w:sz w:val="22"/>
          <w:szCs w:val="22"/>
        </w:rPr>
      </w:pPr>
      <w:r w:rsidRPr="00B027C3">
        <w:rPr>
          <w:rFonts w:ascii="Verdana" w:hAnsi="Verdana"/>
          <w:b/>
          <w:bCs/>
          <w:noProof/>
          <w:sz w:val="22"/>
          <w:szCs w:val="22"/>
        </w:rPr>
        <w:t xml:space="preserve">Of the patients from Questions 1 and 2 (locally advanced unresectable or metastatic gastric or gastro-oesophageal junction adenocarcinoma), how many have been treated with each of the following regimens in your </w:t>
      </w:r>
      <w:r>
        <w:rPr>
          <w:rFonts w:ascii="Verdana" w:hAnsi="Verdana"/>
          <w:b/>
          <w:bCs/>
          <w:noProof/>
          <w:sz w:val="22"/>
          <w:szCs w:val="22"/>
        </w:rPr>
        <w:t>Health Board</w:t>
      </w:r>
      <w:r w:rsidRPr="00B027C3">
        <w:rPr>
          <w:rFonts w:ascii="Verdana" w:hAnsi="Verdana"/>
          <w:b/>
          <w:bCs/>
          <w:noProof/>
          <w:sz w:val="22"/>
          <w:szCs w:val="22"/>
        </w:rPr>
        <w:t>?</w:t>
      </w:r>
      <w:r>
        <w:rPr>
          <w:rFonts w:ascii="Verdana" w:hAnsi="Verdana"/>
          <w:b/>
          <w:bCs/>
          <w:noProof/>
          <w:sz w:val="22"/>
          <w:szCs w:val="22"/>
        </w:rPr>
        <w:br/>
      </w:r>
    </w:p>
    <w:p w14:paraId="1C11413D" w14:textId="3963EC36" w:rsidR="00B027C3" w:rsidRPr="00B027C3" w:rsidRDefault="00B027C3" w:rsidP="00B027C3">
      <w:pPr>
        <w:pStyle w:val="ListParagraph"/>
        <w:numPr>
          <w:ilvl w:val="1"/>
          <w:numId w:val="20"/>
        </w:numPr>
        <w:rPr>
          <w:rFonts w:ascii="Verdana" w:hAnsi="Verdana"/>
          <w:b/>
          <w:bCs/>
          <w:noProof/>
          <w:sz w:val="22"/>
          <w:szCs w:val="22"/>
        </w:rPr>
      </w:pPr>
      <w:r w:rsidRPr="00B027C3">
        <w:rPr>
          <w:rFonts w:ascii="Verdana" w:hAnsi="Verdana"/>
          <w:b/>
          <w:bCs/>
          <w:noProof/>
          <w:sz w:val="22"/>
          <w:szCs w:val="22"/>
        </w:rPr>
        <w:t>Zolbetuximab + chemotherapy</w:t>
      </w:r>
    </w:p>
    <w:p w14:paraId="785BC24B" w14:textId="66CB1593" w:rsidR="00B027C3" w:rsidRPr="00B027C3" w:rsidRDefault="00B027C3" w:rsidP="00B027C3">
      <w:pPr>
        <w:pStyle w:val="ListParagraph"/>
        <w:numPr>
          <w:ilvl w:val="1"/>
          <w:numId w:val="20"/>
        </w:numPr>
        <w:rPr>
          <w:rFonts w:ascii="Verdana" w:hAnsi="Verdana"/>
          <w:b/>
          <w:bCs/>
          <w:noProof/>
          <w:sz w:val="22"/>
          <w:szCs w:val="22"/>
        </w:rPr>
      </w:pPr>
      <w:r w:rsidRPr="00B027C3">
        <w:rPr>
          <w:rFonts w:ascii="Verdana" w:hAnsi="Verdana"/>
          <w:b/>
          <w:bCs/>
          <w:noProof/>
          <w:sz w:val="22"/>
          <w:szCs w:val="22"/>
        </w:rPr>
        <w:t>Pembrolizumab + chemotherapy</w:t>
      </w:r>
    </w:p>
    <w:p w14:paraId="07C6CDF6" w14:textId="55AD6B22" w:rsidR="00B027C3" w:rsidRPr="00B027C3" w:rsidRDefault="00B027C3" w:rsidP="00B027C3">
      <w:pPr>
        <w:pStyle w:val="ListParagraph"/>
        <w:numPr>
          <w:ilvl w:val="1"/>
          <w:numId w:val="20"/>
        </w:numPr>
        <w:rPr>
          <w:rFonts w:ascii="Verdana" w:hAnsi="Verdana"/>
          <w:b/>
          <w:bCs/>
          <w:noProof/>
          <w:sz w:val="22"/>
          <w:szCs w:val="22"/>
        </w:rPr>
      </w:pPr>
      <w:r w:rsidRPr="00B027C3">
        <w:rPr>
          <w:rFonts w:ascii="Verdana" w:hAnsi="Verdana"/>
          <w:b/>
          <w:bCs/>
          <w:noProof/>
          <w:sz w:val="22"/>
          <w:szCs w:val="22"/>
        </w:rPr>
        <w:lastRenderedPageBreak/>
        <w:t>Nivolumab + chemotherapy</w:t>
      </w:r>
    </w:p>
    <w:p w14:paraId="292CCA18" w14:textId="28755684" w:rsidR="00B027C3" w:rsidRPr="00B027C3" w:rsidRDefault="00B027C3" w:rsidP="00B027C3">
      <w:pPr>
        <w:pStyle w:val="ListParagraph"/>
        <w:numPr>
          <w:ilvl w:val="1"/>
          <w:numId w:val="20"/>
        </w:numPr>
        <w:rPr>
          <w:rFonts w:ascii="Verdana" w:hAnsi="Verdana"/>
          <w:b/>
          <w:bCs/>
          <w:noProof/>
          <w:sz w:val="22"/>
          <w:szCs w:val="22"/>
        </w:rPr>
      </w:pPr>
      <w:r w:rsidRPr="00B027C3">
        <w:rPr>
          <w:rFonts w:ascii="Verdana" w:hAnsi="Verdana"/>
          <w:b/>
          <w:bCs/>
          <w:noProof/>
          <w:sz w:val="22"/>
          <w:szCs w:val="22"/>
        </w:rPr>
        <w:t>Paclitaxel + ramucirumab</w:t>
      </w:r>
    </w:p>
    <w:p w14:paraId="78D36BF8" w14:textId="4876EE8F" w:rsidR="00B027C3" w:rsidRPr="00B027C3" w:rsidRDefault="00B027C3" w:rsidP="00B027C3">
      <w:pPr>
        <w:pStyle w:val="ListParagraph"/>
        <w:numPr>
          <w:ilvl w:val="1"/>
          <w:numId w:val="20"/>
        </w:numPr>
        <w:rPr>
          <w:rFonts w:ascii="Verdana" w:hAnsi="Verdana"/>
          <w:b/>
          <w:bCs/>
          <w:noProof/>
          <w:sz w:val="22"/>
          <w:szCs w:val="22"/>
        </w:rPr>
      </w:pPr>
      <w:r w:rsidRPr="00B027C3">
        <w:rPr>
          <w:rFonts w:ascii="Verdana" w:hAnsi="Verdana"/>
          <w:b/>
          <w:bCs/>
          <w:noProof/>
          <w:sz w:val="22"/>
          <w:szCs w:val="22"/>
        </w:rPr>
        <w:t>Other chemotherapy (including but not limited to FLOT, FOLFOX, CAPOX, ECX, FOLFIRI</w:t>
      </w:r>
    </w:p>
    <w:p w14:paraId="23DF621B" w14:textId="6C188163" w:rsidR="00873328" w:rsidRPr="00B027C3" w:rsidRDefault="00B027C3" w:rsidP="00B027C3">
      <w:pPr>
        <w:pStyle w:val="ListParagraph"/>
        <w:numPr>
          <w:ilvl w:val="1"/>
          <w:numId w:val="20"/>
        </w:numPr>
        <w:rPr>
          <w:rFonts w:ascii="Verdana" w:hAnsi="Verdana"/>
          <w:b/>
          <w:bCs/>
          <w:noProof/>
          <w:sz w:val="22"/>
          <w:szCs w:val="22"/>
        </w:rPr>
      </w:pPr>
      <w:r w:rsidRPr="00B027C3">
        <w:rPr>
          <w:rFonts w:ascii="Verdana" w:hAnsi="Verdana"/>
          <w:b/>
          <w:bCs/>
          <w:noProof/>
          <w:sz w:val="22"/>
          <w:szCs w:val="22"/>
        </w:rPr>
        <w:t>Best supportive care</w:t>
      </w:r>
    </w:p>
    <w:p w14:paraId="6E0C7F35" w14:textId="77777777" w:rsidR="00B027C3" w:rsidRDefault="00B027C3" w:rsidP="00B027C3">
      <w:pPr>
        <w:rPr>
          <w:rFonts w:ascii="Verdana" w:hAnsi="Verdana"/>
          <w:sz w:val="22"/>
          <w:szCs w:val="22"/>
        </w:rPr>
      </w:pPr>
      <w:bookmarkStart w:id="1" w:name="_Hlk216440947"/>
      <w:r w:rsidRPr="003738EA">
        <w:rPr>
          <w:rFonts w:ascii="Verdana" w:hAnsi="Verdana"/>
          <w:noProof/>
          <w:sz w:val="22"/>
          <w:szCs w:val="22"/>
        </w:rPr>
        <w:t>This information is not held centrally.</w:t>
      </w:r>
      <w:r>
        <w:rPr>
          <w:rFonts w:ascii="Verdana" w:hAnsi="Verdana"/>
          <w:b/>
          <w:bCs/>
          <w:noProof/>
          <w:sz w:val="22"/>
          <w:szCs w:val="22"/>
        </w:rPr>
        <w:t xml:space="preserve"> </w:t>
      </w:r>
      <w:r>
        <w:rPr>
          <w:rFonts w:ascii="Verdana" w:hAnsi="Verdana"/>
          <w:noProof/>
          <w:sz w:val="22"/>
          <w:szCs w:val="22"/>
        </w:rPr>
        <w:t xml:space="preserve">The health board’s cancer medication system does not </w:t>
      </w:r>
      <w:r w:rsidRPr="00B027C3">
        <w:rPr>
          <w:rFonts w:ascii="Verdana" w:hAnsi="Verdana"/>
          <w:noProof/>
          <w:sz w:val="22"/>
          <w:szCs w:val="22"/>
        </w:rPr>
        <w:t>define GOJ &amp; Gastric cancers into Adenocarcinoma / Squamous Cell Carcinoma</w:t>
      </w:r>
      <w:r>
        <w:rPr>
          <w:rFonts w:ascii="Verdana" w:hAnsi="Verdana"/>
          <w:noProof/>
          <w:sz w:val="22"/>
          <w:szCs w:val="22"/>
        </w:rPr>
        <w:t>.</w:t>
      </w:r>
      <w:r w:rsidRPr="00FC3B42">
        <w:rPr>
          <w:rFonts w:ascii="Verdana" w:hAnsi="Verdana"/>
          <w:sz w:val="22"/>
          <w:szCs w:val="22"/>
        </w:rPr>
        <w:t xml:space="preserve"> </w:t>
      </w:r>
      <w:r w:rsidRPr="00FC3B42">
        <w:rPr>
          <w:rFonts w:ascii="Verdana" w:hAnsi="Verdana"/>
          <w:sz w:val="22"/>
          <w:szCs w:val="22"/>
        </w:rPr>
        <w:t xml:space="preserve">To obtain this information would involve a manual trawl and search of records which </w:t>
      </w:r>
      <w:r w:rsidRPr="00FC3B42">
        <w:rPr>
          <w:rFonts w:ascii="Verdana" w:hAnsi="Verdana" w:cs="Times New Roman"/>
          <w:sz w:val="22"/>
          <w:szCs w:val="22"/>
        </w:rPr>
        <w:t xml:space="preserve">we have estimated would significantly exceed the 18 hours limit set down by the FOI Act as the reasonable limit. </w:t>
      </w:r>
      <w:r w:rsidRPr="00FC3B42">
        <w:rPr>
          <w:rFonts w:ascii="Verdana" w:hAnsi="Verdana" w:cs="Tahoma"/>
          <w:sz w:val="22"/>
          <w:szCs w:val="22"/>
        </w:rPr>
        <w:t>Section 12 of the FOI Act and T</w:t>
      </w:r>
      <w:r w:rsidRPr="00FC3B42">
        <w:rPr>
          <w:rFonts w:ascii="Verdana" w:hAnsi="Verdana"/>
          <w:sz w:val="22"/>
          <w:szCs w:val="22"/>
        </w:rPr>
        <w:t xml:space="preserve">he Freedom of Information and Data Protection (Appropriate Limit and Fees) Regulation 2004 </w:t>
      </w:r>
      <w:r w:rsidRPr="00FC3B42">
        <w:rPr>
          <w:rFonts w:ascii="Verdana" w:hAnsi="Verdana" w:cs="Times New Roman"/>
          <w:sz w:val="22"/>
          <w:szCs w:val="22"/>
        </w:rPr>
        <w:t>provides that we are not obliged to spend in excess of 18 hours in any sixty day period locating, retrieving and identifying information in order to deal with a request for information and therefore we are withholding this information at this time.</w:t>
      </w:r>
      <w:bookmarkEnd w:id="1"/>
      <w:r w:rsidRPr="00FC3B42">
        <w:rPr>
          <w:rFonts w:ascii="Verdana" w:hAnsi="Verdana" w:cs="Times New Roman"/>
          <w:sz w:val="22"/>
          <w:szCs w:val="22"/>
        </w:rPr>
        <w:t xml:space="preserve"> </w:t>
      </w:r>
      <w:r>
        <w:rPr>
          <w:rFonts w:ascii="Verdana" w:hAnsi="Verdana"/>
          <w:b/>
          <w:bCs/>
          <w:noProof/>
          <w:sz w:val="22"/>
          <w:szCs w:val="22"/>
        </w:rPr>
        <w:br/>
      </w:r>
    </w:p>
    <w:p w14:paraId="7F202BA5" w14:textId="7CC26FA4" w:rsidR="00A115C7" w:rsidRDefault="00A115C7" w:rsidP="00B027C3">
      <w:pPr>
        <w:ind w:left="284"/>
        <w:rPr>
          <w:rFonts w:ascii="Verdana" w:hAnsi="Verdana"/>
          <w:sz w:val="22"/>
          <w:szCs w:val="22"/>
        </w:rPr>
      </w:pPr>
      <w:r w:rsidRPr="00304A21">
        <w:rPr>
          <w:rFonts w:ascii="Verdana" w:hAnsi="Verdana"/>
          <w:sz w:val="22"/>
          <w:szCs w:val="22"/>
        </w:rPr>
        <w:t xml:space="preserve">I hope this information is helpful. If you require anything further, please contact us at </w:t>
      </w:r>
      <w:hyperlink r:id="rId8" w:history="1">
        <w:r w:rsidR="00B027C3" w:rsidRPr="009044BE">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2C321B2C" w14:textId="0A870765" w:rsidR="004F001A" w:rsidRPr="00A10460" w:rsidRDefault="00A115C7" w:rsidP="006D3A93">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E5B7F" w14:textId="77777777" w:rsidR="005B1F71" w:rsidRDefault="005B1F71" w:rsidP="007D6A3E">
      <w:pPr>
        <w:spacing w:before="0" w:after="0" w:line="240" w:lineRule="auto"/>
      </w:pPr>
      <w:r>
        <w:separator/>
      </w:r>
    </w:p>
  </w:endnote>
  <w:endnote w:type="continuationSeparator" w:id="0">
    <w:p w14:paraId="490C6B0B" w14:textId="77777777" w:rsidR="005B1F71" w:rsidRDefault="005B1F71"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E1FED" w14:textId="77777777" w:rsidR="005B1F71" w:rsidRDefault="005B1F71" w:rsidP="007D6A3E">
      <w:pPr>
        <w:spacing w:before="0" w:after="0" w:line="240" w:lineRule="auto"/>
      </w:pPr>
      <w:r>
        <w:separator/>
      </w:r>
    </w:p>
  </w:footnote>
  <w:footnote w:type="continuationSeparator" w:id="0">
    <w:p w14:paraId="0041431A" w14:textId="77777777" w:rsidR="005B1F71" w:rsidRDefault="005B1F71"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8A303B2"/>
    <w:multiLevelType w:val="hybridMultilevel"/>
    <w:tmpl w:val="A6742066"/>
    <w:lvl w:ilvl="0" w:tplc="4740DD86">
      <w:start w:val="1"/>
      <w:numFmt w:val="decimal"/>
      <w:lvlText w:val="%1."/>
      <w:lvlJc w:val="left"/>
      <w:pPr>
        <w:ind w:left="865" w:hanging="360"/>
      </w:pPr>
      <w:rPr>
        <w:rFonts w:hint="default"/>
        <w:b/>
        <w:bCs/>
      </w:rPr>
    </w:lvl>
    <w:lvl w:ilvl="1" w:tplc="046AC9DE">
      <w:start w:val="1"/>
      <w:numFmt w:val="lowerLetter"/>
      <w:lvlText w:val="%2."/>
      <w:lvlJc w:val="left"/>
      <w:pPr>
        <w:ind w:left="1585" w:hanging="360"/>
      </w:pPr>
      <w:rPr>
        <w:rFonts w:hint="default"/>
      </w:r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5DD126D"/>
    <w:multiLevelType w:val="hybridMultilevel"/>
    <w:tmpl w:val="1A72D59A"/>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5"/>
  </w:num>
  <w:num w:numId="2" w16cid:durableId="828599020">
    <w:abstractNumId w:val="0"/>
  </w:num>
  <w:num w:numId="3" w16cid:durableId="1966037800">
    <w:abstractNumId w:val="10"/>
  </w:num>
  <w:num w:numId="4" w16cid:durableId="1125923312">
    <w:abstractNumId w:val="17"/>
  </w:num>
  <w:num w:numId="5" w16cid:durableId="1143425367">
    <w:abstractNumId w:val="5"/>
  </w:num>
  <w:num w:numId="6" w16cid:durableId="1293360629">
    <w:abstractNumId w:val="4"/>
  </w:num>
  <w:num w:numId="7" w16cid:durableId="479228409">
    <w:abstractNumId w:val="12"/>
  </w:num>
  <w:num w:numId="8" w16cid:durableId="1553300907">
    <w:abstractNumId w:val="16"/>
  </w:num>
  <w:num w:numId="9" w16cid:durableId="687946864">
    <w:abstractNumId w:val="19"/>
  </w:num>
  <w:num w:numId="10" w16cid:durableId="993416643">
    <w:abstractNumId w:val="1"/>
  </w:num>
  <w:num w:numId="11" w16cid:durableId="1541481371">
    <w:abstractNumId w:val="11"/>
  </w:num>
  <w:num w:numId="12" w16cid:durableId="1525171868">
    <w:abstractNumId w:val="14"/>
  </w:num>
  <w:num w:numId="13" w16cid:durableId="200629463">
    <w:abstractNumId w:val="18"/>
  </w:num>
  <w:num w:numId="14" w16cid:durableId="5438320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3"/>
  </w:num>
  <w:num w:numId="17" w16cid:durableId="1764229674">
    <w:abstractNumId w:val="6"/>
  </w:num>
  <w:num w:numId="18" w16cid:durableId="949163570">
    <w:abstractNumId w:val="2"/>
  </w:num>
  <w:num w:numId="19" w16cid:durableId="1907911391">
    <w:abstractNumId w:val="8"/>
  </w:num>
  <w:num w:numId="20" w16cid:durableId="12579059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C7288"/>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8724F"/>
    <w:rsid w:val="004A4367"/>
    <w:rsid w:val="004C59CA"/>
    <w:rsid w:val="004C7B47"/>
    <w:rsid w:val="004E1954"/>
    <w:rsid w:val="004F001A"/>
    <w:rsid w:val="004F1E5A"/>
    <w:rsid w:val="004F4D32"/>
    <w:rsid w:val="005029F2"/>
    <w:rsid w:val="005317D4"/>
    <w:rsid w:val="00534D7A"/>
    <w:rsid w:val="00553E1D"/>
    <w:rsid w:val="0059250D"/>
    <w:rsid w:val="005925B8"/>
    <w:rsid w:val="0059485C"/>
    <w:rsid w:val="005B1F71"/>
    <w:rsid w:val="005F0E79"/>
    <w:rsid w:val="00602EE5"/>
    <w:rsid w:val="006137E4"/>
    <w:rsid w:val="00635BDA"/>
    <w:rsid w:val="006564DF"/>
    <w:rsid w:val="00684641"/>
    <w:rsid w:val="006C4048"/>
    <w:rsid w:val="006D3A93"/>
    <w:rsid w:val="006D5578"/>
    <w:rsid w:val="006F4A69"/>
    <w:rsid w:val="006F5A5D"/>
    <w:rsid w:val="00705C52"/>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01716"/>
    <w:rsid w:val="00816437"/>
    <w:rsid w:val="00824D19"/>
    <w:rsid w:val="00846C1D"/>
    <w:rsid w:val="00873328"/>
    <w:rsid w:val="0089491A"/>
    <w:rsid w:val="008A2D60"/>
    <w:rsid w:val="0090178A"/>
    <w:rsid w:val="00912B14"/>
    <w:rsid w:val="009267EE"/>
    <w:rsid w:val="009269BD"/>
    <w:rsid w:val="00937E61"/>
    <w:rsid w:val="00950A45"/>
    <w:rsid w:val="009574AC"/>
    <w:rsid w:val="0097092D"/>
    <w:rsid w:val="00982170"/>
    <w:rsid w:val="009A0943"/>
    <w:rsid w:val="009A3272"/>
    <w:rsid w:val="009B087A"/>
    <w:rsid w:val="009B21AD"/>
    <w:rsid w:val="009B7CC6"/>
    <w:rsid w:val="009C5169"/>
    <w:rsid w:val="009D50E8"/>
    <w:rsid w:val="009F7815"/>
    <w:rsid w:val="00A10460"/>
    <w:rsid w:val="00A115C7"/>
    <w:rsid w:val="00A17614"/>
    <w:rsid w:val="00A56076"/>
    <w:rsid w:val="00A84640"/>
    <w:rsid w:val="00AB4D54"/>
    <w:rsid w:val="00AC7F3C"/>
    <w:rsid w:val="00AF0E8B"/>
    <w:rsid w:val="00AF1F1F"/>
    <w:rsid w:val="00AF691A"/>
    <w:rsid w:val="00B027C3"/>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D7F42"/>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2898"/>
    <w:rsid w:val="00EA57D4"/>
    <w:rsid w:val="00EE0615"/>
    <w:rsid w:val="00F26B29"/>
    <w:rsid w:val="00F91A7E"/>
    <w:rsid w:val="00F93E6C"/>
    <w:rsid w:val="00F96598"/>
    <w:rsid w:val="00FA0C91"/>
    <w:rsid w:val="00FA177F"/>
    <w:rsid w:val="00FB1E56"/>
    <w:rsid w:val="00FB2E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UnresolvedMention">
    <w:name w:val="Unresolved Mention"/>
    <w:basedOn w:val="DefaultParagraphFont"/>
    <w:uiPriority w:val="99"/>
    <w:semiHidden/>
    <w:unhideWhenUsed/>
    <w:rsid w:val="00B027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80</TotalTime>
  <Pages>2</Pages>
  <Words>528</Words>
  <Characters>3015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33</cp:revision>
  <cp:lastPrinted>2019-03-26T11:11:00Z</cp:lastPrinted>
  <dcterms:created xsi:type="dcterms:W3CDTF">2021-09-13T07:38:00Z</dcterms:created>
  <dcterms:modified xsi:type="dcterms:W3CDTF">2026-07-22T13:04:00Z</dcterms:modified>
</cp:coreProperties>
</file>