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A519E0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C75CE">
                              <w:rPr>
                                <w:rFonts w:ascii="Verdana" w:hAnsi="Verdana"/>
                                <w:b/>
                                <w:sz w:val="22"/>
                                <w:szCs w:val="22"/>
                              </w:rPr>
                              <w:t>26-A-069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A519E0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C75CE">
                        <w:rPr>
                          <w:rFonts w:ascii="Verdana" w:hAnsi="Verdana"/>
                          <w:b/>
                          <w:sz w:val="22"/>
                          <w:szCs w:val="22"/>
                        </w:rPr>
                        <w:t>26-A-069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D976DC" w14:textId="6DB2671F" w:rsidR="005C75CE" w:rsidRPr="005C75CE" w:rsidRDefault="005C75CE" w:rsidP="005C75CE">
      <w:pPr>
        <w:rPr>
          <w:rFonts w:ascii="Verdana" w:hAnsi="Verdana"/>
          <w:b/>
          <w:bCs/>
          <w:noProof/>
          <w:sz w:val="22"/>
          <w:szCs w:val="22"/>
        </w:rPr>
      </w:pPr>
      <w:r w:rsidRPr="005C75CE">
        <w:rPr>
          <w:rFonts w:ascii="Verdana" w:hAnsi="Verdana"/>
          <w:b/>
          <w:bCs/>
          <w:noProof/>
          <w:sz w:val="22"/>
          <w:szCs w:val="22"/>
        </w:rPr>
        <w:t>I request the following information for the financial years 2022/23, 2023/24 and 2024/25:</w:t>
      </w:r>
    </w:p>
    <w:p w14:paraId="353FCED2" w14:textId="48A352E3" w:rsidR="005C75CE" w:rsidRPr="005C75CE" w:rsidRDefault="005C75CE" w:rsidP="005C75CE">
      <w:pPr>
        <w:pStyle w:val="ListParagraph"/>
        <w:numPr>
          <w:ilvl w:val="0"/>
          <w:numId w:val="19"/>
        </w:numPr>
        <w:rPr>
          <w:rFonts w:ascii="Verdana" w:hAnsi="Verdana"/>
          <w:b/>
          <w:bCs/>
          <w:noProof/>
          <w:sz w:val="22"/>
          <w:szCs w:val="22"/>
        </w:rPr>
      </w:pPr>
      <w:r w:rsidRPr="005C75CE">
        <w:rPr>
          <w:rFonts w:ascii="Verdana" w:hAnsi="Verdana"/>
          <w:b/>
          <w:bCs/>
          <w:noProof/>
          <w:sz w:val="22"/>
          <w:szCs w:val="22"/>
        </w:rPr>
        <w:t xml:space="preserve">The total number of patient episodes (e.g. emergency, inpatient, outpatient) recorded in your health board’s systems where the patient was flagged as an asylum seeker or exempt from charging due to asylum/refugee status. </w:t>
      </w:r>
      <w:r>
        <w:rPr>
          <w:rFonts w:ascii="Verdana" w:hAnsi="Verdana"/>
          <w:b/>
          <w:bCs/>
          <w:noProof/>
          <w:sz w:val="22"/>
          <w:szCs w:val="22"/>
        </w:rPr>
        <w:br/>
      </w:r>
      <w:r w:rsidR="00441053" w:rsidRPr="00441053">
        <w:rPr>
          <w:rFonts w:ascii="Verdana" w:hAnsi="Verdana"/>
          <w:noProof/>
          <w:sz w:val="22"/>
          <w:szCs w:val="22"/>
        </w:rPr>
        <w:t>The Health Board only records the first attendance for Asylum Seekers. Please see the figures below:</w:t>
      </w:r>
    </w:p>
    <w:tbl>
      <w:tblPr>
        <w:tblW w:w="0" w:type="auto"/>
        <w:jc w:val="center"/>
        <w:tblCellMar>
          <w:left w:w="0" w:type="dxa"/>
          <w:right w:w="0" w:type="dxa"/>
        </w:tblCellMar>
        <w:tblLook w:val="04A0" w:firstRow="1" w:lastRow="0" w:firstColumn="1" w:lastColumn="0" w:noHBand="0" w:noVBand="1"/>
      </w:tblPr>
      <w:tblGrid>
        <w:gridCol w:w="1902"/>
        <w:gridCol w:w="1783"/>
        <w:gridCol w:w="1710"/>
        <w:gridCol w:w="1619"/>
      </w:tblGrid>
      <w:tr w:rsidR="005C75CE" w:rsidRPr="005C75CE" w14:paraId="2DFA4F12" w14:textId="77777777" w:rsidTr="005C75CE">
        <w:trPr>
          <w:jc w:val="center"/>
        </w:trPr>
        <w:tc>
          <w:tcPr>
            <w:tcW w:w="19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EE256E" w14:textId="77777777" w:rsidR="005C75CE" w:rsidRPr="005C75CE" w:rsidRDefault="005C75CE" w:rsidP="005C75CE">
            <w:pPr>
              <w:ind w:left="0" w:right="-54"/>
              <w:jc w:val="center"/>
              <w:rPr>
                <w:rFonts w:ascii="Verdana" w:hAnsi="Verdana"/>
                <w:b/>
                <w:bCs/>
                <w:sz w:val="22"/>
                <w:szCs w:val="22"/>
                <w:lang w:eastAsia="en-US"/>
                <w14:ligatures w14:val="standardContextual"/>
              </w:rPr>
            </w:pP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2A87DE" w14:textId="21D01252" w:rsidR="005C75CE" w:rsidRPr="005C75CE" w:rsidRDefault="005C75CE" w:rsidP="005C75CE">
            <w:pPr>
              <w:ind w:left="0" w:right="-100"/>
              <w:jc w:val="center"/>
              <w:rPr>
                <w:rFonts w:ascii="Verdana" w:hAnsi="Verdana"/>
                <w:b/>
                <w:bCs/>
                <w:sz w:val="22"/>
                <w:szCs w:val="22"/>
                <w:lang w:eastAsia="en-US"/>
                <w14:ligatures w14:val="standardContextual"/>
              </w:rPr>
            </w:pPr>
            <w:r w:rsidRPr="005C75CE">
              <w:rPr>
                <w:rFonts w:ascii="Verdana" w:hAnsi="Verdana"/>
                <w:b/>
                <w:bCs/>
                <w:sz w:val="22"/>
                <w:szCs w:val="22"/>
                <w:lang w:eastAsia="en-US"/>
                <w14:ligatures w14:val="standardContextual"/>
              </w:rPr>
              <w:t>2022/2023</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AB44B0" w14:textId="77777777" w:rsidR="005C75CE" w:rsidRPr="005C75CE" w:rsidRDefault="005C75CE" w:rsidP="005C75CE">
            <w:pPr>
              <w:ind w:left="0" w:right="91"/>
              <w:jc w:val="center"/>
              <w:rPr>
                <w:rFonts w:ascii="Verdana" w:hAnsi="Verdana"/>
                <w:b/>
                <w:bCs/>
                <w:sz w:val="22"/>
                <w:szCs w:val="22"/>
                <w:lang w:eastAsia="en-US"/>
                <w14:ligatures w14:val="standardContextual"/>
              </w:rPr>
            </w:pPr>
            <w:r w:rsidRPr="005C75CE">
              <w:rPr>
                <w:rFonts w:ascii="Verdana" w:hAnsi="Verdana"/>
                <w:b/>
                <w:bCs/>
                <w:sz w:val="22"/>
                <w:szCs w:val="22"/>
                <w:lang w:eastAsia="en-US"/>
                <w14:ligatures w14:val="standardContextual"/>
              </w:rPr>
              <w:t>2023/2024</w:t>
            </w:r>
          </w:p>
        </w:tc>
        <w:tc>
          <w:tcPr>
            <w:tcW w:w="16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6E34A" w14:textId="77777777" w:rsidR="005C75CE" w:rsidRPr="005C75CE" w:rsidRDefault="005C75CE" w:rsidP="005C75CE">
            <w:pPr>
              <w:ind w:left="0" w:right="0"/>
              <w:jc w:val="center"/>
              <w:rPr>
                <w:rFonts w:ascii="Verdana" w:hAnsi="Verdana"/>
                <w:b/>
                <w:bCs/>
                <w:sz w:val="22"/>
                <w:szCs w:val="22"/>
                <w:lang w:eastAsia="en-US"/>
                <w14:ligatures w14:val="standardContextual"/>
              </w:rPr>
            </w:pPr>
            <w:r w:rsidRPr="005C75CE">
              <w:rPr>
                <w:rFonts w:ascii="Verdana" w:hAnsi="Verdana"/>
                <w:b/>
                <w:bCs/>
                <w:sz w:val="22"/>
                <w:szCs w:val="22"/>
                <w:lang w:eastAsia="en-US"/>
                <w14:ligatures w14:val="standardContextual"/>
              </w:rPr>
              <w:t>2024/2025</w:t>
            </w:r>
          </w:p>
        </w:tc>
      </w:tr>
      <w:tr w:rsidR="005C75CE" w:rsidRPr="005C75CE" w14:paraId="5635F2F2" w14:textId="77777777" w:rsidTr="005C75CE">
        <w:trPr>
          <w:trHeight w:val="285"/>
          <w:jc w:val="center"/>
        </w:trPr>
        <w:tc>
          <w:tcPr>
            <w:tcW w:w="19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71B44" w14:textId="77777777" w:rsidR="005C75CE" w:rsidRPr="005C75CE" w:rsidRDefault="005C75CE" w:rsidP="005C75CE">
            <w:pPr>
              <w:ind w:left="0" w:right="-54"/>
              <w:jc w:val="center"/>
              <w:rPr>
                <w:rFonts w:ascii="Verdana" w:hAnsi="Verdana"/>
                <w:b/>
                <w:bCs/>
                <w:sz w:val="22"/>
                <w:szCs w:val="22"/>
                <w:lang w:eastAsia="en-US"/>
                <w14:ligatures w14:val="standardContextual"/>
              </w:rPr>
            </w:pPr>
            <w:r w:rsidRPr="005C75CE">
              <w:rPr>
                <w:rFonts w:ascii="Verdana" w:hAnsi="Verdana"/>
                <w:b/>
                <w:bCs/>
                <w:sz w:val="22"/>
                <w:szCs w:val="22"/>
                <w:lang w:eastAsia="en-US"/>
                <w14:ligatures w14:val="standardContextual"/>
              </w:rPr>
              <w:t>Total</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14:paraId="2F3DCD8E" w14:textId="77777777" w:rsidR="005C75CE" w:rsidRPr="005C75CE" w:rsidRDefault="005C75CE" w:rsidP="005C75CE">
            <w:pPr>
              <w:ind w:left="0" w:right="-100"/>
              <w:jc w:val="center"/>
              <w:rPr>
                <w:rFonts w:ascii="Verdana" w:hAnsi="Verdana"/>
                <w:sz w:val="22"/>
                <w:szCs w:val="22"/>
                <w:lang w:eastAsia="en-US"/>
                <w14:ligatures w14:val="standardContextual"/>
              </w:rPr>
            </w:pPr>
            <w:r w:rsidRPr="005C75CE">
              <w:rPr>
                <w:rFonts w:ascii="Verdana" w:hAnsi="Verdana"/>
                <w:sz w:val="22"/>
                <w:szCs w:val="22"/>
                <w:lang w:eastAsia="en-US"/>
                <w14:ligatures w14:val="standardContextual"/>
              </w:rPr>
              <w:t>5</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71038FDB" w14:textId="77777777" w:rsidR="005C75CE" w:rsidRPr="005C75CE" w:rsidRDefault="005C75CE" w:rsidP="005C75CE">
            <w:pPr>
              <w:ind w:left="0" w:right="-147"/>
              <w:jc w:val="center"/>
              <w:rPr>
                <w:rFonts w:ascii="Verdana" w:hAnsi="Verdana"/>
                <w:sz w:val="22"/>
                <w:szCs w:val="22"/>
                <w:lang w:eastAsia="en-US"/>
                <w14:ligatures w14:val="standardContextual"/>
              </w:rPr>
            </w:pPr>
            <w:r w:rsidRPr="005C75CE">
              <w:rPr>
                <w:rFonts w:ascii="Verdana" w:hAnsi="Verdana"/>
                <w:sz w:val="22"/>
                <w:szCs w:val="22"/>
                <w:lang w:eastAsia="en-US"/>
                <w14:ligatures w14:val="standardContextual"/>
              </w:rPr>
              <w:t>12</w:t>
            </w:r>
          </w:p>
        </w:tc>
        <w:tc>
          <w:tcPr>
            <w:tcW w:w="1619" w:type="dxa"/>
            <w:tcBorders>
              <w:top w:val="nil"/>
              <w:left w:val="nil"/>
              <w:bottom w:val="single" w:sz="8" w:space="0" w:color="auto"/>
              <w:right w:val="single" w:sz="8" w:space="0" w:color="auto"/>
            </w:tcBorders>
            <w:tcMar>
              <w:top w:w="0" w:type="dxa"/>
              <w:left w:w="108" w:type="dxa"/>
              <w:bottom w:w="0" w:type="dxa"/>
              <w:right w:w="108" w:type="dxa"/>
            </w:tcMar>
            <w:hideMark/>
          </w:tcPr>
          <w:p w14:paraId="30B2CB81" w14:textId="77777777" w:rsidR="005C75CE" w:rsidRPr="005C75CE" w:rsidRDefault="005C75CE" w:rsidP="005C75CE">
            <w:pPr>
              <w:ind w:left="0" w:right="0"/>
              <w:jc w:val="center"/>
              <w:rPr>
                <w:rFonts w:ascii="Verdana" w:hAnsi="Verdana"/>
                <w:sz w:val="22"/>
                <w:szCs w:val="22"/>
                <w:lang w:eastAsia="en-US"/>
                <w14:ligatures w14:val="standardContextual"/>
              </w:rPr>
            </w:pPr>
            <w:r w:rsidRPr="005C75CE">
              <w:rPr>
                <w:rFonts w:ascii="Verdana" w:hAnsi="Verdana"/>
                <w:sz w:val="22"/>
                <w:szCs w:val="22"/>
                <w:lang w:eastAsia="en-US"/>
                <w14:ligatures w14:val="standardContextual"/>
              </w:rPr>
              <w:t>9</w:t>
            </w:r>
          </w:p>
        </w:tc>
      </w:tr>
    </w:tbl>
    <w:p w14:paraId="38EF83A6" w14:textId="5ADB5586" w:rsidR="005C75CE" w:rsidRPr="005C75CE" w:rsidRDefault="005C75CE" w:rsidP="003F5CE2">
      <w:pPr>
        <w:ind w:left="0"/>
        <w:rPr>
          <w:rFonts w:ascii="Verdana" w:hAnsi="Verdana"/>
          <w:b/>
          <w:bCs/>
          <w:noProof/>
          <w:sz w:val="22"/>
          <w:szCs w:val="22"/>
        </w:rPr>
      </w:pPr>
    </w:p>
    <w:p w14:paraId="579A3E1C" w14:textId="0132145D" w:rsidR="005C75CE" w:rsidRPr="005C75CE" w:rsidRDefault="005C75CE" w:rsidP="005C75CE">
      <w:pPr>
        <w:pStyle w:val="ListParagraph"/>
        <w:numPr>
          <w:ilvl w:val="0"/>
          <w:numId w:val="19"/>
        </w:numPr>
        <w:rPr>
          <w:rFonts w:ascii="Verdana" w:hAnsi="Verdana"/>
          <w:b/>
          <w:bCs/>
          <w:noProof/>
          <w:sz w:val="22"/>
          <w:szCs w:val="22"/>
        </w:rPr>
      </w:pPr>
      <w:r w:rsidRPr="005C75CE">
        <w:rPr>
          <w:rFonts w:ascii="Verdana" w:hAnsi="Verdana"/>
          <w:b/>
          <w:bCs/>
          <w:noProof/>
          <w:sz w:val="22"/>
          <w:szCs w:val="22"/>
        </w:rPr>
        <w:t xml:space="preserve">Total NHS expenditure associated with those episodes, by category where available (e.g. by service type such as A&amp;E, inpatient, outpatient, prescriptions, maternity) </w:t>
      </w:r>
      <w:r w:rsidR="003F5CE2">
        <w:rPr>
          <w:rFonts w:ascii="Verdana" w:hAnsi="Verdana"/>
          <w:b/>
          <w:bCs/>
          <w:noProof/>
          <w:sz w:val="22"/>
          <w:szCs w:val="22"/>
        </w:rPr>
        <w:br/>
      </w:r>
      <w:r w:rsidR="003F5CE2" w:rsidRPr="003F5CE2">
        <w:rPr>
          <w:rFonts w:ascii="Verdana" w:hAnsi="Verdana"/>
          <w:noProof/>
          <w:sz w:val="22"/>
          <w:szCs w:val="22"/>
        </w:rPr>
        <w:t>I can confirm that this information is not recorded centrally. We estimate that to manually access each patient record, collate each patient episode and calculate the cost would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34DAAF6" w14:textId="77777777" w:rsidR="005C75CE" w:rsidRPr="005C75CE" w:rsidRDefault="005C75CE" w:rsidP="005C75CE">
      <w:pPr>
        <w:rPr>
          <w:rFonts w:ascii="Verdana" w:hAnsi="Verdana"/>
          <w:b/>
          <w:bCs/>
          <w:noProof/>
          <w:sz w:val="22"/>
          <w:szCs w:val="22"/>
        </w:rPr>
      </w:pPr>
    </w:p>
    <w:p w14:paraId="4E5F6FF4" w14:textId="77777777" w:rsidR="003F5CE2" w:rsidRDefault="005C75CE" w:rsidP="00194966">
      <w:pPr>
        <w:pStyle w:val="ListParagraph"/>
        <w:numPr>
          <w:ilvl w:val="0"/>
          <w:numId w:val="19"/>
        </w:numPr>
        <w:rPr>
          <w:rFonts w:ascii="Verdana" w:hAnsi="Verdana"/>
          <w:b/>
          <w:bCs/>
          <w:noProof/>
          <w:sz w:val="22"/>
          <w:szCs w:val="22"/>
        </w:rPr>
      </w:pPr>
      <w:r w:rsidRPr="003F5CE2">
        <w:rPr>
          <w:rFonts w:ascii="Verdana" w:hAnsi="Verdana"/>
          <w:b/>
          <w:bCs/>
          <w:noProof/>
          <w:sz w:val="22"/>
          <w:szCs w:val="22"/>
        </w:rPr>
        <w:t xml:space="preserve">Whether your health board records immigration status or charging exemption codes that can distinguish asylum seekers from other charging exemption categories. </w:t>
      </w:r>
      <w:r w:rsidR="003F5CE2" w:rsidRPr="003F5CE2">
        <w:rPr>
          <w:rFonts w:ascii="Verdana" w:hAnsi="Verdana"/>
          <w:b/>
          <w:bCs/>
          <w:noProof/>
          <w:sz w:val="22"/>
          <w:szCs w:val="22"/>
        </w:rPr>
        <w:br/>
      </w:r>
      <w:r w:rsidR="003F5CE2" w:rsidRPr="003F5CE2">
        <w:rPr>
          <w:rFonts w:ascii="Verdana" w:hAnsi="Verdana"/>
          <w:noProof/>
          <w:sz w:val="22"/>
          <w:szCs w:val="22"/>
        </w:rPr>
        <w:t>Within our Patient Administration System, Asylum Seekers are recorded as an “</w:t>
      </w:r>
      <w:r w:rsidR="003F5CE2" w:rsidRPr="003F5CE2">
        <w:rPr>
          <w:rFonts w:ascii="Verdana" w:hAnsi="Verdana"/>
          <w:i/>
          <w:iCs/>
          <w:noProof/>
          <w:sz w:val="22"/>
          <w:szCs w:val="22"/>
        </w:rPr>
        <w:t>Overseas Visitor – exempt from charge”</w:t>
      </w:r>
      <w:r w:rsidR="003F5CE2" w:rsidRPr="003F5CE2">
        <w:rPr>
          <w:rFonts w:ascii="Verdana" w:hAnsi="Verdana"/>
          <w:noProof/>
          <w:sz w:val="22"/>
          <w:szCs w:val="22"/>
        </w:rPr>
        <w:t xml:space="preserve"> so there is no indicator to distinguish them. However, on our Overseas Visitor database within the department they are recorded as Asylum Seekers.</w:t>
      </w:r>
    </w:p>
    <w:p w14:paraId="6644CEA6" w14:textId="02291119" w:rsidR="004F001A" w:rsidRPr="00A10460" w:rsidRDefault="00421E7F" w:rsidP="003F5CE2">
      <w:pPr>
        <w:rPr>
          <w:rFonts w:ascii="Verdana" w:hAnsi="Verdana"/>
          <w:b/>
          <w:bCs/>
          <w:noProof/>
          <w:sz w:val="22"/>
          <w:szCs w:val="22"/>
        </w:rPr>
      </w:pPr>
      <w:r w:rsidRPr="003F5CE2">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1B4057"/>
    <w:multiLevelType w:val="hybridMultilevel"/>
    <w:tmpl w:val="A7F863A8"/>
    <w:lvl w:ilvl="0" w:tplc="826A956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82906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613D"/>
    <w:rsid w:val="002B74C8"/>
    <w:rsid w:val="002C252B"/>
    <w:rsid w:val="002D32B6"/>
    <w:rsid w:val="002E02A9"/>
    <w:rsid w:val="00304A21"/>
    <w:rsid w:val="0035435D"/>
    <w:rsid w:val="00355B9A"/>
    <w:rsid w:val="003648A8"/>
    <w:rsid w:val="0039422D"/>
    <w:rsid w:val="003B09B5"/>
    <w:rsid w:val="003F2312"/>
    <w:rsid w:val="003F5CE2"/>
    <w:rsid w:val="004039EB"/>
    <w:rsid w:val="00421E7F"/>
    <w:rsid w:val="00441053"/>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75C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71D"/>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1</Pages>
  <Words>264</Words>
  <Characters>1489</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2026-02-17T13:22:00Z</dcterms:modified>
</cp:coreProperties>
</file>