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224D0B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3D7F">
                              <w:rPr>
                                <w:rFonts w:ascii="Verdana" w:hAnsi="Verdana"/>
                                <w:b/>
                                <w:sz w:val="22"/>
                                <w:szCs w:val="22"/>
                              </w:rPr>
                              <w:t>26-A-068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224D0B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3D7F">
                        <w:rPr>
                          <w:rFonts w:ascii="Verdana" w:hAnsi="Verdana"/>
                          <w:b/>
                          <w:sz w:val="22"/>
                          <w:szCs w:val="22"/>
                        </w:rPr>
                        <w:t>26-A-068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F0700D7" w14:textId="0B960133" w:rsidR="007B3D7F" w:rsidRPr="00B94513" w:rsidRDefault="007B3D7F" w:rsidP="00A5612C">
      <w:pPr>
        <w:pStyle w:val="ListParagraph"/>
        <w:numPr>
          <w:ilvl w:val="0"/>
          <w:numId w:val="19"/>
        </w:numPr>
        <w:rPr>
          <w:rFonts w:ascii="Verdana" w:hAnsi="Verdana"/>
          <w:b/>
          <w:bCs/>
          <w:noProof/>
          <w:sz w:val="22"/>
          <w:szCs w:val="22"/>
        </w:rPr>
      </w:pPr>
      <w:r w:rsidRPr="00B94513">
        <w:rPr>
          <w:rFonts w:ascii="Verdana" w:hAnsi="Verdana"/>
          <w:b/>
          <w:bCs/>
          <w:noProof/>
          <w:sz w:val="22"/>
          <w:szCs w:val="22"/>
        </w:rPr>
        <w:t>How many patients has your Health Board treated in the past 12 months (January - December 2025) for Chronic Lymphocytic Leukaemia (CLL)?  In case you do not treat CLL, which other Health Board do you refer patients needing treatment to?</w:t>
      </w:r>
      <w:r w:rsidR="00B94513" w:rsidRPr="00B94513">
        <w:rPr>
          <w:rFonts w:ascii="Verdana" w:hAnsi="Verdana"/>
          <w:b/>
          <w:bCs/>
          <w:noProof/>
          <w:sz w:val="22"/>
          <w:szCs w:val="22"/>
        </w:rPr>
        <w:br/>
      </w:r>
      <w:r w:rsidR="00B94513" w:rsidRPr="00B94513">
        <w:rPr>
          <w:rFonts w:ascii="Verdana" w:hAnsi="Verdana"/>
          <w:noProof/>
          <w:sz w:val="22"/>
          <w:szCs w:val="22"/>
        </w:rPr>
        <w:t>75 patients with systemic anti-cancer therapy</w:t>
      </w:r>
      <w:r w:rsidR="00B94513">
        <w:rPr>
          <w:rFonts w:ascii="Verdana" w:hAnsi="Verdana"/>
          <w:noProof/>
          <w:sz w:val="22"/>
          <w:szCs w:val="22"/>
        </w:rPr>
        <w:t xml:space="preserve"> in 2025.</w:t>
      </w:r>
      <w:r w:rsidR="00B94513" w:rsidRPr="00B94513">
        <w:rPr>
          <w:rFonts w:ascii="Verdana" w:hAnsi="Verdana"/>
          <w:noProof/>
          <w:sz w:val="22"/>
          <w:szCs w:val="22"/>
        </w:rPr>
        <w:br/>
      </w:r>
    </w:p>
    <w:p w14:paraId="1627CC7F" w14:textId="089CF182" w:rsidR="007B3D7F" w:rsidRPr="007B3D7F" w:rsidRDefault="007B3D7F" w:rsidP="007B3D7F">
      <w:pPr>
        <w:pStyle w:val="ListParagraph"/>
        <w:numPr>
          <w:ilvl w:val="0"/>
          <w:numId w:val="19"/>
        </w:numPr>
        <w:rPr>
          <w:rFonts w:ascii="Verdana" w:hAnsi="Verdana"/>
          <w:b/>
          <w:bCs/>
          <w:noProof/>
          <w:sz w:val="22"/>
          <w:szCs w:val="22"/>
        </w:rPr>
      </w:pPr>
      <w:r w:rsidRPr="007B3D7F">
        <w:rPr>
          <w:rFonts w:ascii="Verdana" w:hAnsi="Verdana"/>
          <w:b/>
          <w:bCs/>
          <w:noProof/>
          <w:sz w:val="22"/>
          <w:szCs w:val="22"/>
        </w:rPr>
        <w:t xml:space="preserve">How many Chronic Lymphocytic Leukaemia (CLL) patients have been treated by the </w:t>
      </w:r>
      <w:r>
        <w:rPr>
          <w:rFonts w:ascii="Verdana" w:hAnsi="Verdana"/>
          <w:b/>
          <w:bCs/>
          <w:noProof/>
          <w:sz w:val="22"/>
          <w:szCs w:val="22"/>
        </w:rPr>
        <w:t>Health Board</w:t>
      </w:r>
      <w:r w:rsidRPr="007B3D7F">
        <w:rPr>
          <w:rFonts w:ascii="Verdana" w:hAnsi="Verdana"/>
          <w:b/>
          <w:bCs/>
          <w:noProof/>
          <w:sz w:val="22"/>
          <w:szCs w:val="22"/>
        </w:rPr>
        <w:t xml:space="preserve"> in the past 6 months on the following treatments:</w:t>
      </w:r>
      <w:r w:rsidR="00B94513">
        <w:rPr>
          <w:rFonts w:ascii="Verdana" w:hAnsi="Verdana"/>
          <w:b/>
          <w:bCs/>
          <w:noProof/>
          <w:sz w:val="22"/>
          <w:szCs w:val="22"/>
        </w:rPr>
        <w:br/>
      </w:r>
      <w:r w:rsidR="00B94513" w:rsidRPr="00B94513">
        <w:rPr>
          <w:rFonts w:ascii="Verdana" w:hAnsi="Verdana"/>
          <w:noProof/>
          <w:sz w:val="22"/>
          <w:szCs w:val="22"/>
        </w:rPr>
        <w:t>For the period July to December 202</w:t>
      </w:r>
      <w:r w:rsidR="00B94513">
        <w:rPr>
          <w:rFonts w:ascii="Verdana" w:hAnsi="Verdana"/>
          <w:noProof/>
          <w:sz w:val="22"/>
          <w:szCs w:val="22"/>
        </w:rPr>
        <w:t>5</w:t>
      </w:r>
    </w:p>
    <w:tbl>
      <w:tblPr>
        <w:tblW w:w="7880" w:type="dxa"/>
        <w:jc w:val="center"/>
        <w:tblLook w:val="04A0" w:firstRow="1" w:lastRow="0" w:firstColumn="1" w:lastColumn="0" w:noHBand="0" w:noVBand="1"/>
      </w:tblPr>
      <w:tblGrid>
        <w:gridCol w:w="6260"/>
        <w:gridCol w:w="1620"/>
      </w:tblGrid>
      <w:tr w:rsidR="007B3D7F" w:rsidRPr="007B3D7F" w14:paraId="77744715" w14:textId="77777777" w:rsidTr="007B3D7F">
        <w:trPr>
          <w:trHeight w:val="285"/>
          <w:jc w:val="center"/>
        </w:trPr>
        <w:tc>
          <w:tcPr>
            <w:tcW w:w="6260" w:type="dxa"/>
            <w:tcBorders>
              <w:top w:val="nil"/>
              <w:left w:val="nil"/>
              <w:bottom w:val="nil"/>
              <w:right w:val="nil"/>
            </w:tcBorders>
            <w:noWrap/>
            <w:vAlign w:val="center"/>
            <w:hideMark/>
          </w:tcPr>
          <w:p w14:paraId="0FDCE34E"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r w:rsidRPr="007B3D7F">
              <w:rPr>
                <w:rFonts w:ascii="Verdana" w:eastAsia="Times New Roman" w:hAnsi="Verdana" w:cs="Calibri"/>
                <w:b/>
                <w:bCs/>
                <w:color w:val="000000"/>
                <w:sz w:val="22"/>
                <w:szCs w:val="22"/>
              </w:rPr>
              <w:t>BR (</w:t>
            </w:r>
            <w:proofErr w:type="spellStart"/>
            <w:r w:rsidRPr="007B3D7F">
              <w:rPr>
                <w:rFonts w:ascii="Verdana" w:eastAsia="Times New Roman" w:hAnsi="Verdana" w:cs="Calibri"/>
                <w:b/>
                <w:bCs/>
                <w:color w:val="000000"/>
                <w:sz w:val="22"/>
                <w:szCs w:val="22"/>
              </w:rPr>
              <w:t>bendamustine</w:t>
            </w:r>
            <w:proofErr w:type="spellEnd"/>
            <w:r w:rsidRPr="007B3D7F">
              <w:rPr>
                <w:rFonts w:ascii="Verdana" w:eastAsia="Times New Roman" w:hAnsi="Verdana" w:cs="Calibri"/>
                <w:b/>
                <w:bCs/>
                <w:color w:val="000000"/>
                <w:sz w:val="22"/>
                <w:szCs w:val="22"/>
              </w:rPr>
              <w:t xml:space="preserve"> + rituximab)</w:t>
            </w:r>
          </w:p>
        </w:tc>
        <w:tc>
          <w:tcPr>
            <w:tcW w:w="1620" w:type="dxa"/>
            <w:tcBorders>
              <w:top w:val="nil"/>
              <w:left w:val="nil"/>
              <w:bottom w:val="nil"/>
              <w:right w:val="nil"/>
            </w:tcBorders>
            <w:noWrap/>
            <w:vAlign w:val="bottom"/>
            <w:hideMark/>
          </w:tcPr>
          <w:p w14:paraId="2808DF89"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432DA2C2" w14:textId="77777777" w:rsidTr="007B3D7F">
        <w:trPr>
          <w:trHeight w:val="285"/>
          <w:jc w:val="center"/>
        </w:trPr>
        <w:tc>
          <w:tcPr>
            <w:tcW w:w="6260" w:type="dxa"/>
            <w:tcBorders>
              <w:top w:val="nil"/>
              <w:left w:val="nil"/>
              <w:bottom w:val="nil"/>
              <w:right w:val="nil"/>
            </w:tcBorders>
            <w:noWrap/>
            <w:vAlign w:val="center"/>
            <w:hideMark/>
          </w:tcPr>
          <w:p w14:paraId="42D7F94C"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Brukinsa</w:t>
            </w:r>
            <w:proofErr w:type="spellEnd"/>
            <w:r w:rsidRPr="007B3D7F">
              <w:rPr>
                <w:rFonts w:ascii="Verdana" w:eastAsia="Times New Roman" w:hAnsi="Verdana" w:cs="Calibri"/>
                <w:b/>
                <w:bCs/>
                <w:color w:val="000000"/>
                <w:sz w:val="22"/>
                <w:szCs w:val="22"/>
              </w:rPr>
              <w:t xml:space="preserve"> (</w:t>
            </w:r>
            <w:proofErr w:type="spellStart"/>
            <w:r w:rsidRPr="007B3D7F">
              <w:rPr>
                <w:rFonts w:ascii="Verdana" w:eastAsia="Times New Roman" w:hAnsi="Verdana" w:cs="Calibri"/>
                <w:b/>
                <w:bCs/>
                <w:color w:val="000000"/>
                <w:sz w:val="22"/>
                <w:szCs w:val="22"/>
              </w:rPr>
              <w:t>zanubrutinib</w:t>
            </w:r>
            <w:proofErr w:type="spellEnd"/>
            <w:r w:rsidRPr="007B3D7F">
              <w:rPr>
                <w:rFonts w:ascii="Verdana" w:eastAsia="Times New Roman" w:hAnsi="Verdana" w:cs="Calibri"/>
                <w:b/>
                <w:bCs/>
                <w:color w:val="000000"/>
                <w:sz w:val="22"/>
                <w:szCs w:val="22"/>
              </w:rPr>
              <w:t>)</w:t>
            </w:r>
          </w:p>
        </w:tc>
        <w:tc>
          <w:tcPr>
            <w:tcW w:w="1620" w:type="dxa"/>
            <w:tcBorders>
              <w:top w:val="nil"/>
              <w:left w:val="nil"/>
              <w:bottom w:val="nil"/>
              <w:right w:val="nil"/>
            </w:tcBorders>
            <w:noWrap/>
            <w:vAlign w:val="bottom"/>
            <w:hideMark/>
          </w:tcPr>
          <w:p w14:paraId="7283BE6F"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&lt;5*</w:t>
            </w:r>
          </w:p>
        </w:tc>
      </w:tr>
      <w:tr w:rsidR="007B3D7F" w:rsidRPr="007B3D7F" w14:paraId="6B98B267" w14:textId="77777777" w:rsidTr="007B3D7F">
        <w:trPr>
          <w:trHeight w:val="285"/>
          <w:jc w:val="center"/>
        </w:trPr>
        <w:tc>
          <w:tcPr>
            <w:tcW w:w="6260" w:type="dxa"/>
            <w:tcBorders>
              <w:top w:val="nil"/>
              <w:left w:val="nil"/>
              <w:bottom w:val="nil"/>
              <w:right w:val="nil"/>
            </w:tcBorders>
            <w:noWrap/>
            <w:vAlign w:val="center"/>
            <w:hideMark/>
          </w:tcPr>
          <w:p w14:paraId="48C9BED3"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Calquence</w:t>
            </w:r>
            <w:proofErr w:type="spellEnd"/>
            <w:r w:rsidRPr="007B3D7F">
              <w:rPr>
                <w:rFonts w:ascii="Verdana" w:eastAsia="Times New Roman" w:hAnsi="Verdana" w:cs="Calibri"/>
                <w:b/>
                <w:bCs/>
                <w:color w:val="000000"/>
                <w:sz w:val="22"/>
                <w:szCs w:val="22"/>
              </w:rPr>
              <w:t xml:space="preserve"> (acalabrutinib)</w:t>
            </w:r>
          </w:p>
        </w:tc>
        <w:tc>
          <w:tcPr>
            <w:tcW w:w="1620" w:type="dxa"/>
            <w:tcBorders>
              <w:top w:val="nil"/>
              <w:left w:val="nil"/>
              <w:bottom w:val="nil"/>
              <w:right w:val="nil"/>
            </w:tcBorders>
            <w:noWrap/>
            <w:vAlign w:val="bottom"/>
            <w:hideMark/>
          </w:tcPr>
          <w:p w14:paraId="7EAA7007"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23</w:t>
            </w:r>
          </w:p>
        </w:tc>
      </w:tr>
      <w:tr w:rsidR="007B3D7F" w:rsidRPr="007B3D7F" w14:paraId="7031311C" w14:textId="77777777" w:rsidTr="007B3D7F">
        <w:trPr>
          <w:trHeight w:val="285"/>
          <w:jc w:val="center"/>
        </w:trPr>
        <w:tc>
          <w:tcPr>
            <w:tcW w:w="6260" w:type="dxa"/>
            <w:tcBorders>
              <w:top w:val="nil"/>
              <w:left w:val="nil"/>
              <w:bottom w:val="nil"/>
              <w:right w:val="nil"/>
            </w:tcBorders>
            <w:noWrap/>
            <w:vAlign w:val="center"/>
            <w:hideMark/>
          </w:tcPr>
          <w:p w14:paraId="5C010EFB"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Calquence</w:t>
            </w:r>
            <w:proofErr w:type="spellEnd"/>
            <w:r w:rsidRPr="007B3D7F">
              <w:rPr>
                <w:rFonts w:ascii="Verdana" w:eastAsia="Times New Roman" w:hAnsi="Verdana" w:cs="Calibri"/>
                <w:b/>
                <w:bCs/>
                <w:color w:val="000000"/>
                <w:sz w:val="22"/>
                <w:szCs w:val="22"/>
              </w:rPr>
              <w:t xml:space="preserve"> (acalabrutinib) + </w:t>
            </w:r>
            <w:proofErr w:type="spellStart"/>
            <w:r w:rsidRPr="007B3D7F">
              <w:rPr>
                <w:rFonts w:ascii="Verdana" w:eastAsia="Times New Roman" w:hAnsi="Verdana" w:cs="Calibri"/>
                <w:b/>
                <w:bCs/>
                <w:color w:val="000000"/>
                <w:sz w:val="22"/>
                <w:szCs w:val="22"/>
              </w:rPr>
              <w:t>Gazyva</w:t>
            </w:r>
            <w:proofErr w:type="spellEnd"/>
            <w:r w:rsidRPr="007B3D7F">
              <w:rPr>
                <w:rFonts w:ascii="Verdana" w:eastAsia="Times New Roman" w:hAnsi="Verdana" w:cs="Calibri"/>
                <w:b/>
                <w:bCs/>
                <w:color w:val="000000"/>
                <w:sz w:val="22"/>
                <w:szCs w:val="22"/>
              </w:rPr>
              <w:t xml:space="preserve"> (obinutuzumab)</w:t>
            </w:r>
          </w:p>
        </w:tc>
        <w:tc>
          <w:tcPr>
            <w:tcW w:w="1620" w:type="dxa"/>
            <w:tcBorders>
              <w:top w:val="nil"/>
              <w:left w:val="nil"/>
              <w:bottom w:val="nil"/>
              <w:right w:val="nil"/>
            </w:tcBorders>
            <w:noWrap/>
            <w:vAlign w:val="bottom"/>
            <w:hideMark/>
          </w:tcPr>
          <w:p w14:paraId="2FA88CE0"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002E0BBC" w14:textId="77777777" w:rsidTr="007B3D7F">
        <w:trPr>
          <w:trHeight w:val="285"/>
          <w:jc w:val="center"/>
        </w:trPr>
        <w:tc>
          <w:tcPr>
            <w:tcW w:w="6260" w:type="dxa"/>
            <w:tcBorders>
              <w:top w:val="nil"/>
              <w:left w:val="nil"/>
              <w:bottom w:val="nil"/>
              <w:right w:val="nil"/>
            </w:tcBorders>
            <w:noWrap/>
            <w:vAlign w:val="center"/>
            <w:hideMark/>
          </w:tcPr>
          <w:p w14:paraId="2A35E0CE"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Calquence</w:t>
            </w:r>
            <w:proofErr w:type="spellEnd"/>
            <w:r w:rsidRPr="007B3D7F">
              <w:rPr>
                <w:rFonts w:ascii="Verdana" w:eastAsia="Times New Roman" w:hAnsi="Verdana" w:cs="Calibri"/>
                <w:b/>
                <w:bCs/>
                <w:color w:val="000000"/>
                <w:sz w:val="22"/>
                <w:szCs w:val="22"/>
              </w:rPr>
              <w:t xml:space="preserve"> (acalabrutinib) + Venclyxto (venetoclax)</w:t>
            </w:r>
          </w:p>
        </w:tc>
        <w:tc>
          <w:tcPr>
            <w:tcW w:w="1620" w:type="dxa"/>
            <w:tcBorders>
              <w:top w:val="nil"/>
              <w:left w:val="nil"/>
              <w:bottom w:val="nil"/>
              <w:right w:val="nil"/>
            </w:tcBorders>
            <w:noWrap/>
            <w:vAlign w:val="bottom"/>
            <w:hideMark/>
          </w:tcPr>
          <w:p w14:paraId="6FFE0C62"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0C56F894" w14:textId="77777777" w:rsidTr="007B3D7F">
        <w:trPr>
          <w:trHeight w:val="570"/>
          <w:jc w:val="center"/>
        </w:trPr>
        <w:tc>
          <w:tcPr>
            <w:tcW w:w="6260" w:type="dxa"/>
            <w:tcBorders>
              <w:top w:val="nil"/>
              <w:left w:val="nil"/>
              <w:bottom w:val="nil"/>
              <w:right w:val="nil"/>
            </w:tcBorders>
            <w:vAlign w:val="center"/>
            <w:hideMark/>
          </w:tcPr>
          <w:p w14:paraId="0184CFCB"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Calquence</w:t>
            </w:r>
            <w:proofErr w:type="spellEnd"/>
            <w:r w:rsidRPr="007B3D7F">
              <w:rPr>
                <w:rFonts w:ascii="Verdana" w:eastAsia="Times New Roman" w:hAnsi="Verdana" w:cs="Calibri"/>
                <w:b/>
                <w:bCs/>
                <w:color w:val="000000"/>
                <w:sz w:val="22"/>
                <w:szCs w:val="22"/>
              </w:rPr>
              <w:t xml:space="preserve"> (acalabrutinib) + Venclyxto (venetoclax) + </w:t>
            </w:r>
            <w:proofErr w:type="spellStart"/>
            <w:r w:rsidRPr="007B3D7F">
              <w:rPr>
                <w:rFonts w:ascii="Verdana" w:eastAsia="Times New Roman" w:hAnsi="Verdana" w:cs="Calibri"/>
                <w:b/>
                <w:bCs/>
                <w:color w:val="000000"/>
                <w:sz w:val="22"/>
                <w:szCs w:val="22"/>
              </w:rPr>
              <w:t>Gazyva</w:t>
            </w:r>
            <w:proofErr w:type="spellEnd"/>
            <w:r w:rsidRPr="007B3D7F">
              <w:rPr>
                <w:rFonts w:ascii="Verdana" w:eastAsia="Times New Roman" w:hAnsi="Verdana" w:cs="Calibri"/>
                <w:b/>
                <w:bCs/>
                <w:color w:val="000000"/>
                <w:sz w:val="22"/>
                <w:szCs w:val="22"/>
              </w:rPr>
              <w:t xml:space="preserve"> (obinutuzumab) </w:t>
            </w:r>
          </w:p>
        </w:tc>
        <w:tc>
          <w:tcPr>
            <w:tcW w:w="1620" w:type="dxa"/>
            <w:tcBorders>
              <w:top w:val="nil"/>
              <w:left w:val="nil"/>
              <w:bottom w:val="nil"/>
              <w:right w:val="nil"/>
            </w:tcBorders>
            <w:noWrap/>
            <w:vAlign w:val="bottom"/>
            <w:hideMark/>
          </w:tcPr>
          <w:p w14:paraId="5F243D77"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52994496" w14:textId="77777777" w:rsidTr="007B3D7F">
        <w:trPr>
          <w:trHeight w:val="285"/>
          <w:jc w:val="center"/>
        </w:trPr>
        <w:tc>
          <w:tcPr>
            <w:tcW w:w="6260" w:type="dxa"/>
            <w:tcBorders>
              <w:top w:val="nil"/>
              <w:left w:val="nil"/>
              <w:bottom w:val="nil"/>
              <w:right w:val="nil"/>
            </w:tcBorders>
            <w:noWrap/>
            <w:vAlign w:val="center"/>
            <w:hideMark/>
          </w:tcPr>
          <w:p w14:paraId="7F8B059A"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r w:rsidRPr="007B3D7F">
              <w:rPr>
                <w:rFonts w:ascii="Verdana" w:eastAsia="Times New Roman" w:hAnsi="Verdana" w:cs="Calibri"/>
                <w:b/>
                <w:bCs/>
                <w:color w:val="000000"/>
                <w:sz w:val="22"/>
                <w:szCs w:val="22"/>
              </w:rPr>
              <w:t>FCR (fludarabine + cyclophosphamide + rituximab)</w:t>
            </w:r>
          </w:p>
        </w:tc>
        <w:tc>
          <w:tcPr>
            <w:tcW w:w="1620" w:type="dxa"/>
            <w:tcBorders>
              <w:top w:val="nil"/>
              <w:left w:val="nil"/>
              <w:bottom w:val="nil"/>
              <w:right w:val="nil"/>
            </w:tcBorders>
            <w:noWrap/>
            <w:vAlign w:val="bottom"/>
            <w:hideMark/>
          </w:tcPr>
          <w:p w14:paraId="1362DBDC"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5367AB2B" w14:textId="77777777" w:rsidTr="007B3D7F">
        <w:trPr>
          <w:trHeight w:val="285"/>
          <w:jc w:val="center"/>
        </w:trPr>
        <w:tc>
          <w:tcPr>
            <w:tcW w:w="6260" w:type="dxa"/>
            <w:tcBorders>
              <w:top w:val="nil"/>
              <w:left w:val="nil"/>
              <w:bottom w:val="nil"/>
              <w:right w:val="nil"/>
            </w:tcBorders>
            <w:noWrap/>
            <w:vAlign w:val="center"/>
            <w:hideMark/>
          </w:tcPr>
          <w:p w14:paraId="5CE91B23"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r w:rsidRPr="007B3D7F">
              <w:rPr>
                <w:rFonts w:ascii="Verdana" w:eastAsia="Times New Roman" w:hAnsi="Verdana" w:cs="Calibri"/>
                <w:b/>
                <w:bCs/>
                <w:color w:val="000000"/>
                <w:sz w:val="22"/>
                <w:szCs w:val="22"/>
              </w:rPr>
              <w:t>Fludarabine Monotherapy</w:t>
            </w:r>
          </w:p>
        </w:tc>
        <w:tc>
          <w:tcPr>
            <w:tcW w:w="1620" w:type="dxa"/>
            <w:tcBorders>
              <w:top w:val="nil"/>
              <w:left w:val="nil"/>
              <w:bottom w:val="nil"/>
              <w:right w:val="nil"/>
            </w:tcBorders>
            <w:noWrap/>
            <w:vAlign w:val="bottom"/>
            <w:hideMark/>
          </w:tcPr>
          <w:p w14:paraId="75C2F616"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3E40B137" w14:textId="77777777" w:rsidTr="007B3D7F">
        <w:trPr>
          <w:trHeight w:val="285"/>
          <w:jc w:val="center"/>
        </w:trPr>
        <w:tc>
          <w:tcPr>
            <w:tcW w:w="6260" w:type="dxa"/>
            <w:tcBorders>
              <w:top w:val="nil"/>
              <w:left w:val="nil"/>
              <w:bottom w:val="nil"/>
              <w:right w:val="nil"/>
            </w:tcBorders>
            <w:noWrap/>
            <w:vAlign w:val="center"/>
            <w:hideMark/>
          </w:tcPr>
          <w:p w14:paraId="4B1E7028"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Gazyva</w:t>
            </w:r>
            <w:proofErr w:type="spellEnd"/>
            <w:r w:rsidRPr="007B3D7F">
              <w:rPr>
                <w:rFonts w:ascii="Verdana" w:eastAsia="Times New Roman" w:hAnsi="Verdana" w:cs="Calibri"/>
                <w:b/>
                <w:bCs/>
                <w:color w:val="000000"/>
                <w:sz w:val="22"/>
                <w:szCs w:val="22"/>
              </w:rPr>
              <w:t xml:space="preserve"> (obinutuzumab) + chlorambucil</w:t>
            </w:r>
          </w:p>
        </w:tc>
        <w:tc>
          <w:tcPr>
            <w:tcW w:w="1620" w:type="dxa"/>
            <w:tcBorders>
              <w:top w:val="nil"/>
              <w:left w:val="nil"/>
              <w:bottom w:val="nil"/>
              <w:right w:val="nil"/>
            </w:tcBorders>
            <w:noWrap/>
            <w:vAlign w:val="bottom"/>
            <w:hideMark/>
          </w:tcPr>
          <w:p w14:paraId="69C178B5"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0F430924" w14:textId="77777777" w:rsidTr="007B3D7F">
        <w:trPr>
          <w:trHeight w:val="285"/>
          <w:jc w:val="center"/>
        </w:trPr>
        <w:tc>
          <w:tcPr>
            <w:tcW w:w="6260" w:type="dxa"/>
            <w:tcBorders>
              <w:top w:val="nil"/>
              <w:left w:val="nil"/>
              <w:bottom w:val="nil"/>
              <w:right w:val="nil"/>
            </w:tcBorders>
            <w:noWrap/>
            <w:vAlign w:val="center"/>
            <w:hideMark/>
          </w:tcPr>
          <w:p w14:paraId="52DB4F50"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r w:rsidRPr="007B3D7F">
              <w:rPr>
                <w:rFonts w:ascii="Verdana" w:eastAsia="Times New Roman" w:hAnsi="Verdana" w:cs="Calibri"/>
                <w:b/>
                <w:bCs/>
                <w:color w:val="000000"/>
                <w:sz w:val="22"/>
                <w:szCs w:val="22"/>
              </w:rPr>
              <w:t>Imbruvica (ibrutinib)</w:t>
            </w:r>
          </w:p>
        </w:tc>
        <w:tc>
          <w:tcPr>
            <w:tcW w:w="1620" w:type="dxa"/>
            <w:tcBorders>
              <w:top w:val="nil"/>
              <w:left w:val="nil"/>
              <w:bottom w:val="nil"/>
              <w:right w:val="nil"/>
            </w:tcBorders>
            <w:noWrap/>
            <w:vAlign w:val="bottom"/>
            <w:hideMark/>
          </w:tcPr>
          <w:p w14:paraId="427EA314"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17</w:t>
            </w:r>
          </w:p>
        </w:tc>
      </w:tr>
      <w:tr w:rsidR="007B3D7F" w:rsidRPr="007B3D7F" w14:paraId="5E998145" w14:textId="77777777" w:rsidTr="007B3D7F">
        <w:trPr>
          <w:trHeight w:val="285"/>
          <w:jc w:val="center"/>
        </w:trPr>
        <w:tc>
          <w:tcPr>
            <w:tcW w:w="6260" w:type="dxa"/>
            <w:tcBorders>
              <w:top w:val="nil"/>
              <w:left w:val="nil"/>
              <w:bottom w:val="nil"/>
              <w:right w:val="nil"/>
            </w:tcBorders>
            <w:noWrap/>
            <w:vAlign w:val="center"/>
            <w:hideMark/>
          </w:tcPr>
          <w:p w14:paraId="19C25983"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Venclexta</w:t>
            </w:r>
            <w:proofErr w:type="spellEnd"/>
            <w:r w:rsidRPr="007B3D7F">
              <w:rPr>
                <w:rFonts w:ascii="Verdana" w:eastAsia="Times New Roman" w:hAnsi="Verdana" w:cs="Calibri"/>
                <w:b/>
                <w:bCs/>
                <w:color w:val="000000"/>
                <w:sz w:val="22"/>
                <w:szCs w:val="22"/>
              </w:rPr>
              <w:t xml:space="preserve"> (venetoclax) </w:t>
            </w:r>
          </w:p>
        </w:tc>
        <w:tc>
          <w:tcPr>
            <w:tcW w:w="1620" w:type="dxa"/>
            <w:tcBorders>
              <w:top w:val="nil"/>
              <w:left w:val="nil"/>
              <w:bottom w:val="nil"/>
              <w:right w:val="nil"/>
            </w:tcBorders>
            <w:noWrap/>
            <w:vAlign w:val="bottom"/>
            <w:hideMark/>
          </w:tcPr>
          <w:p w14:paraId="4FF0A93E"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10</w:t>
            </w:r>
          </w:p>
        </w:tc>
      </w:tr>
      <w:tr w:rsidR="007B3D7F" w:rsidRPr="007B3D7F" w14:paraId="51F2BC84" w14:textId="77777777" w:rsidTr="007B3D7F">
        <w:trPr>
          <w:trHeight w:val="285"/>
          <w:jc w:val="center"/>
        </w:trPr>
        <w:tc>
          <w:tcPr>
            <w:tcW w:w="6260" w:type="dxa"/>
            <w:tcBorders>
              <w:top w:val="nil"/>
              <w:left w:val="nil"/>
              <w:bottom w:val="nil"/>
              <w:right w:val="nil"/>
            </w:tcBorders>
            <w:noWrap/>
            <w:vAlign w:val="center"/>
            <w:hideMark/>
          </w:tcPr>
          <w:p w14:paraId="4201146D"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Venclexta</w:t>
            </w:r>
            <w:proofErr w:type="spellEnd"/>
            <w:r w:rsidRPr="007B3D7F">
              <w:rPr>
                <w:rFonts w:ascii="Verdana" w:eastAsia="Times New Roman" w:hAnsi="Verdana" w:cs="Calibri"/>
                <w:b/>
                <w:bCs/>
                <w:color w:val="000000"/>
                <w:sz w:val="22"/>
                <w:szCs w:val="22"/>
              </w:rPr>
              <w:t xml:space="preserve"> (venetoclax) + </w:t>
            </w:r>
            <w:proofErr w:type="spellStart"/>
            <w:r w:rsidRPr="007B3D7F">
              <w:rPr>
                <w:rFonts w:ascii="Verdana" w:eastAsia="Times New Roman" w:hAnsi="Verdana" w:cs="Calibri"/>
                <w:b/>
                <w:bCs/>
                <w:color w:val="000000"/>
                <w:sz w:val="22"/>
                <w:szCs w:val="22"/>
              </w:rPr>
              <w:t>Gazyva</w:t>
            </w:r>
            <w:proofErr w:type="spellEnd"/>
            <w:r w:rsidRPr="007B3D7F">
              <w:rPr>
                <w:rFonts w:ascii="Verdana" w:eastAsia="Times New Roman" w:hAnsi="Verdana" w:cs="Calibri"/>
                <w:b/>
                <w:bCs/>
                <w:color w:val="000000"/>
                <w:sz w:val="22"/>
                <w:szCs w:val="22"/>
              </w:rPr>
              <w:t xml:space="preserve"> (obinutuzumab)</w:t>
            </w:r>
          </w:p>
        </w:tc>
        <w:tc>
          <w:tcPr>
            <w:tcW w:w="1620" w:type="dxa"/>
            <w:tcBorders>
              <w:top w:val="nil"/>
              <w:left w:val="nil"/>
              <w:bottom w:val="nil"/>
              <w:right w:val="nil"/>
            </w:tcBorders>
            <w:noWrap/>
            <w:vAlign w:val="bottom"/>
            <w:hideMark/>
          </w:tcPr>
          <w:p w14:paraId="3E7963B4"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&lt;5*</w:t>
            </w:r>
          </w:p>
        </w:tc>
      </w:tr>
      <w:tr w:rsidR="007B3D7F" w:rsidRPr="007B3D7F" w14:paraId="34FCF1A6" w14:textId="77777777" w:rsidTr="007B3D7F">
        <w:trPr>
          <w:trHeight w:val="285"/>
          <w:jc w:val="center"/>
        </w:trPr>
        <w:tc>
          <w:tcPr>
            <w:tcW w:w="6260" w:type="dxa"/>
            <w:tcBorders>
              <w:top w:val="nil"/>
              <w:left w:val="nil"/>
              <w:bottom w:val="nil"/>
              <w:right w:val="nil"/>
            </w:tcBorders>
            <w:noWrap/>
            <w:vAlign w:val="center"/>
            <w:hideMark/>
          </w:tcPr>
          <w:p w14:paraId="683702C5"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Venclexta</w:t>
            </w:r>
            <w:proofErr w:type="spellEnd"/>
            <w:r w:rsidRPr="007B3D7F">
              <w:rPr>
                <w:rFonts w:ascii="Verdana" w:eastAsia="Times New Roman" w:hAnsi="Verdana" w:cs="Calibri"/>
                <w:b/>
                <w:bCs/>
                <w:color w:val="000000"/>
                <w:sz w:val="22"/>
                <w:szCs w:val="22"/>
              </w:rPr>
              <w:t xml:space="preserve"> (venetoclax) + rituximab</w:t>
            </w:r>
          </w:p>
        </w:tc>
        <w:tc>
          <w:tcPr>
            <w:tcW w:w="1620" w:type="dxa"/>
            <w:tcBorders>
              <w:top w:val="nil"/>
              <w:left w:val="nil"/>
              <w:bottom w:val="nil"/>
              <w:right w:val="nil"/>
            </w:tcBorders>
            <w:noWrap/>
            <w:vAlign w:val="bottom"/>
            <w:hideMark/>
          </w:tcPr>
          <w:p w14:paraId="21723235"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&lt;5*</w:t>
            </w:r>
          </w:p>
        </w:tc>
      </w:tr>
      <w:tr w:rsidR="007B3D7F" w:rsidRPr="007B3D7F" w14:paraId="09AA5BBF" w14:textId="77777777" w:rsidTr="007B3D7F">
        <w:trPr>
          <w:trHeight w:val="285"/>
          <w:jc w:val="center"/>
        </w:trPr>
        <w:tc>
          <w:tcPr>
            <w:tcW w:w="6260" w:type="dxa"/>
            <w:tcBorders>
              <w:top w:val="nil"/>
              <w:left w:val="nil"/>
              <w:bottom w:val="nil"/>
              <w:right w:val="nil"/>
            </w:tcBorders>
            <w:noWrap/>
            <w:vAlign w:val="center"/>
            <w:hideMark/>
          </w:tcPr>
          <w:p w14:paraId="66CF3156"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proofErr w:type="spellStart"/>
            <w:r w:rsidRPr="007B3D7F">
              <w:rPr>
                <w:rFonts w:ascii="Verdana" w:eastAsia="Times New Roman" w:hAnsi="Verdana" w:cs="Calibri"/>
                <w:b/>
                <w:bCs/>
                <w:color w:val="000000"/>
                <w:sz w:val="22"/>
                <w:szCs w:val="22"/>
              </w:rPr>
              <w:t>Zydelig</w:t>
            </w:r>
            <w:proofErr w:type="spellEnd"/>
            <w:r w:rsidRPr="007B3D7F">
              <w:rPr>
                <w:rFonts w:ascii="Verdana" w:eastAsia="Times New Roman" w:hAnsi="Verdana" w:cs="Calibri"/>
                <w:b/>
                <w:bCs/>
                <w:color w:val="000000"/>
                <w:sz w:val="22"/>
                <w:szCs w:val="22"/>
              </w:rPr>
              <w:t xml:space="preserve"> (</w:t>
            </w:r>
            <w:proofErr w:type="spellStart"/>
            <w:r w:rsidRPr="007B3D7F">
              <w:rPr>
                <w:rFonts w:ascii="Verdana" w:eastAsia="Times New Roman" w:hAnsi="Verdana" w:cs="Calibri"/>
                <w:b/>
                <w:bCs/>
                <w:color w:val="000000"/>
                <w:sz w:val="22"/>
                <w:szCs w:val="22"/>
              </w:rPr>
              <w:t>idelalisib</w:t>
            </w:r>
            <w:proofErr w:type="spellEnd"/>
            <w:r w:rsidRPr="007B3D7F">
              <w:rPr>
                <w:rFonts w:ascii="Verdana" w:eastAsia="Times New Roman" w:hAnsi="Verdana" w:cs="Calibri"/>
                <w:b/>
                <w:bCs/>
                <w:color w:val="000000"/>
                <w:sz w:val="22"/>
                <w:szCs w:val="22"/>
              </w:rPr>
              <w:t>) + rituximab</w:t>
            </w:r>
          </w:p>
        </w:tc>
        <w:tc>
          <w:tcPr>
            <w:tcW w:w="1620" w:type="dxa"/>
            <w:tcBorders>
              <w:top w:val="nil"/>
              <w:left w:val="nil"/>
              <w:bottom w:val="nil"/>
              <w:right w:val="nil"/>
            </w:tcBorders>
            <w:noWrap/>
            <w:vAlign w:val="bottom"/>
            <w:hideMark/>
          </w:tcPr>
          <w:p w14:paraId="35A4ADBF"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Nil</w:t>
            </w:r>
          </w:p>
        </w:tc>
      </w:tr>
      <w:tr w:rsidR="007B3D7F" w:rsidRPr="007B3D7F" w14:paraId="3767F07C" w14:textId="77777777" w:rsidTr="007B3D7F">
        <w:trPr>
          <w:trHeight w:val="285"/>
          <w:jc w:val="center"/>
        </w:trPr>
        <w:tc>
          <w:tcPr>
            <w:tcW w:w="6260" w:type="dxa"/>
            <w:tcBorders>
              <w:top w:val="nil"/>
              <w:left w:val="nil"/>
              <w:bottom w:val="nil"/>
              <w:right w:val="nil"/>
            </w:tcBorders>
            <w:noWrap/>
            <w:vAlign w:val="center"/>
            <w:hideMark/>
          </w:tcPr>
          <w:p w14:paraId="678E5C51"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r w:rsidRPr="007B3D7F">
              <w:rPr>
                <w:rFonts w:ascii="Verdana" w:eastAsia="Times New Roman" w:hAnsi="Verdana" w:cs="Calibri"/>
                <w:b/>
                <w:bCs/>
                <w:color w:val="000000"/>
                <w:sz w:val="22"/>
                <w:szCs w:val="22"/>
              </w:rPr>
              <w:t xml:space="preserve">Imbruvica (Ibrutinib) +Venclyxto (venetoclax) </w:t>
            </w:r>
          </w:p>
        </w:tc>
        <w:tc>
          <w:tcPr>
            <w:tcW w:w="1620" w:type="dxa"/>
            <w:tcBorders>
              <w:top w:val="nil"/>
              <w:left w:val="nil"/>
              <w:bottom w:val="nil"/>
              <w:right w:val="nil"/>
            </w:tcBorders>
            <w:noWrap/>
            <w:vAlign w:val="bottom"/>
            <w:hideMark/>
          </w:tcPr>
          <w:p w14:paraId="5B787687"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9</w:t>
            </w:r>
          </w:p>
        </w:tc>
      </w:tr>
      <w:tr w:rsidR="007B3D7F" w:rsidRPr="007B3D7F" w14:paraId="7FB18386" w14:textId="77777777" w:rsidTr="007B3D7F">
        <w:trPr>
          <w:trHeight w:val="285"/>
          <w:jc w:val="center"/>
        </w:trPr>
        <w:tc>
          <w:tcPr>
            <w:tcW w:w="6260" w:type="dxa"/>
            <w:tcBorders>
              <w:top w:val="nil"/>
              <w:left w:val="nil"/>
              <w:bottom w:val="nil"/>
              <w:right w:val="nil"/>
            </w:tcBorders>
            <w:noWrap/>
            <w:vAlign w:val="center"/>
            <w:hideMark/>
          </w:tcPr>
          <w:p w14:paraId="29819DEA" w14:textId="77777777" w:rsidR="007B3D7F" w:rsidRPr="007B3D7F" w:rsidRDefault="007B3D7F" w:rsidP="007B3D7F">
            <w:pPr>
              <w:spacing w:before="0" w:after="0" w:line="240" w:lineRule="auto"/>
              <w:ind w:left="0" w:right="0"/>
              <w:rPr>
                <w:rFonts w:ascii="Verdana" w:eastAsia="Times New Roman" w:hAnsi="Verdana" w:cs="Calibri"/>
                <w:b/>
                <w:bCs/>
                <w:color w:val="000000"/>
                <w:sz w:val="22"/>
                <w:szCs w:val="22"/>
              </w:rPr>
            </w:pPr>
            <w:r w:rsidRPr="007B3D7F">
              <w:rPr>
                <w:rFonts w:ascii="Verdana" w:eastAsia="Times New Roman" w:hAnsi="Verdana" w:cs="Calibri"/>
                <w:b/>
                <w:bCs/>
                <w:color w:val="000000"/>
                <w:sz w:val="22"/>
                <w:szCs w:val="22"/>
              </w:rPr>
              <w:t>Any other systemic anti-cancer therapy</w:t>
            </w:r>
          </w:p>
        </w:tc>
        <w:tc>
          <w:tcPr>
            <w:tcW w:w="1620" w:type="dxa"/>
            <w:tcBorders>
              <w:top w:val="nil"/>
              <w:left w:val="nil"/>
              <w:bottom w:val="nil"/>
              <w:right w:val="nil"/>
            </w:tcBorders>
            <w:noWrap/>
            <w:vAlign w:val="bottom"/>
            <w:hideMark/>
          </w:tcPr>
          <w:p w14:paraId="6C93DDD1" w14:textId="77777777" w:rsidR="007B3D7F" w:rsidRPr="007B3D7F" w:rsidRDefault="007B3D7F" w:rsidP="007B3D7F">
            <w:pPr>
              <w:spacing w:before="0" w:after="0" w:line="240" w:lineRule="auto"/>
              <w:ind w:left="0" w:right="0"/>
              <w:jc w:val="center"/>
              <w:rPr>
                <w:rFonts w:ascii="Verdana" w:eastAsia="Times New Roman" w:hAnsi="Verdana" w:cs="Calibri"/>
                <w:color w:val="000000"/>
                <w:sz w:val="22"/>
                <w:szCs w:val="22"/>
              </w:rPr>
            </w:pPr>
            <w:r w:rsidRPr="007B3D7F">
              <w:rPr>
                <w:rFonts w:ascii="Verdana" w:eastAsia="Times New Roman" w:hAnsi="Verdana" w:cs="Calibri"/>
                <w:color w:val="000000"/>
                <w:sz w:val="22"/>
                <w:szCs w:val="22"/>
              </w:rPr>
              <w:t>&lt;5*</w:t>
            </w:r>
          </w:p>
        </w:tc>
      </w:tr>
    </w:tbl>
    <w:p w14:paraId="46EB7D3B" w14:textId="77777777" w:rsidR="007B3D7F" w:rsidRDefault="007B3D7F" w:rsidP="007B3D7F">
      <w:pPr>
        <w:rPr>
          <w:rFonts w:ascii="Verdana" w:hAnsi="Verdana"/>
          <w:b/>
          <w:bCs/>
          <w:noProof/>
          <w:sz w:val="22"/>
          <w:szCs w:val="22"/>
        </w:rPr>
      </w:pPr>
    </w:p>
    <w:p w14:paraId="0EB1D9A4" w14:textId="480876AA" w:rsidR="00B94513" w:rsidRPr="007B3D7F" w:rsidRDefault="00B94513" w:rsidP="007B3D7F">
      <w:pPr>
        <w:rPr>
          <w:rFonts w:ascii="Verdana" w:hAnsi="Verdana"/>
          <w:b/>
          <w:bCs/>
          <w:noProof/>
          <w:sz w:val="22"/>
          <w:szCs w:val="22"/>
        </w:rPr>
      </w:pPr>
      <w:r>
        <w:rPr>
          <w:rFonts w:ascii="Verdana" w:hAnsi="Verdana"/>
          <w:b/>
          <w:bCs/>
          <w:noProof/>
          <w:sz w:val="22"/>
          <w:szCs w:val="22"/>
        </w:rPr>
        <w:t>*</w:t>
      </w:r>
      <w:r w:rsidRPr="00B94513">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B94513">
        <w:rPr>
          <w:rFonts w:ascii="Verdana" w:hAnsi="Verdana"/>
          <w:sz w:val="22"/>
          <w:szCs w:val="22"/>
        </w:rPr>
        <w:t>patients as</w:t>
      </w:r>
      <w:r w:rsidRPr="00FC3B42">
        <w:rPr>
          <w:rFonts w:ascii="Verdana" w:hAnsi="Verdana"/>
          <w:sz w:val="22"/>
          <w:szCs w:val="22"/>
        </w:rPr>
        <w:t xml:space="preserve">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w:t>
      </w:r>
      <w:r w:rsidRPr="00FC3B42">
        <w:rPr>
          <w:rFonts w:ascii="Verdana" w:hAnsi="Verdana"/>
          <w:sz w:val="22"/>
          <w:szCs w:val="22"/>
        </w:rPr>
        <w:lastRenderedPageBreak/>
        <w:t xml:space="preserve">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A4C9FFE" w14:textId="1E0800EB" w:rsidR="007B3D7F" w:rsidRPr="007B3D7F" w:rsidRDefault="007B3D7F" w:rsidP="007B3D7F">
      <w:pPr>
        <w:pStyle w:val="ListParagraph"/>
        <w:numPr>
          <w:ilvl w:val="0"/>
          <w:numId w:val="19"/>
        </w:numPr>
        <w:rPr>
          <w:rFonts w:ascii="Verdana" w:hAnsi="Verdana"/>
          <w:b/>
          <w:bCs/>
          <w:noProof/>
          <w:sz w:val="22"/>
          <w:szCs w:val="22"/>
        </w:rPr>
      </w:pPr>
      <w:r w:rsidRPr="007B3D7F">
        <w:rPr>
          <w:rFonts w:ascii="Verdana" w:hAnsi="Verdana"/>
          <w:b/>
          <w:bCs/>
          <w:noProof/>
          <w:sz w:val="22"/>
          <w:szCs w:val="22"/>
        </w:rPr>
        <w:t>How many Chronic Lymphocytic Leukaemia (CLL) patients have received treatment for relapsed/refractory CLL in the past 6 months with the following:</w:t>
      </w:r>
      <w:r>
        <w:rPr>
          <w:rFonts w:ascii="Verdana" w:hAnsi="Verdana"/>
          <w:b/>
          <w:bCs/>
          <w:noProof/>
          <w:sz w:val="22"/>
          <w:szCs w:val="22"/>
        </w:rPr>
        <w:br/>
      </w:r>
    </w:p>
    <w:p w14:paraId="68A2BFD8" w14:textId="13BF1227" w:rsidR="007B3D7F" w:rsidRPr="007B3D7F" w:rsidRDefault="007B3D7F" w:rsidP="007B3D7F">
      <w:pPr>
        <w:pStyle w:val="ListParagraph"/>
        <w:numPr>
          <w:ilvl w:val="0"/>
          <w:numId w:val="21"/>
        </w:numPr>
        <w:rPr>
          <w:rFonts w:ascii="Verdana" w:hAnsi="Verdana"/>
          <w:b/>
          <w:bCs/>
          <w:noProof/>
          <w:sz w:val="22"/>
          <w:szCs w:val="22"/>
        </w:rPr>
      </w:pPr>
      <w:r w:rsidRPr="007B3D7F">
        <w:rPr>
          <w:rFonts w:ascii="Verdana" w:hAnsi="Verdana"/>
          <w:b/>
          <w:bCs/>
          <w:noProof/>
          <w:sz w:val="22"/>
          <w:szCs w:val="22"/>
        </w:rPr>
        <w:t>Brukinsa (zanubrutinib)</w:t>
      </w:r>
    </w:p>
    <w:p w14:paraId="46A6A2F3" w14:textId="63AD1218" w:rsidR="007B3D7F" w:rsidRPr="007B3D7F" w:rsidRDefault="007B3D7F" w:rsidP="007B3D7F">
      <w:pPr>
        <w:pStyle w:val="ListParagraph"/>
        <w:numPr>
          <w:ilvl w:val="0"/>
          <w:numId w:val="21"/>
        </w:numPr>
        <w:rPr>
          <w:rFonts w:ascii="Verdana" w:hAnsi="Verdana"/>
          <w:b/>
          <w:bCs/>
          <w:noProof/>
          <w:sz w:val="22"/>
          <w:szCs w:val="22"/>
        </w:rPr>
      </w:pPr>
      <w:r w:rsidRPr="007B3D7F">
        <w:rPr>
          <w:rFonts w:ascii="Verdana" w:hAnsi="Verdana"/>
          <w:b/>
          <w:bCs/>
          <w:noProof/>
          <w:sz w:val="22"/>
          <w:szCs w:val="22"/>
        </w:rPr>
        <w:t>Calquence (acalabrutinib)</w:t>
      </w:r>
    </w:p>
    <w:p w14:paraId="01C62A2F" w14:textId="478DD465" w:rsidR="007B3D7F" w:rsidRPr="007B3D7F" w:rsidRDefault="007B3D7F" w:rsidP="007B3D7F">
      <w:pPr>
        <w:pStyle w:val="ListParagraph"/>
        <w:numPr>
          <w:ilvl w:val="0"/>
          <w:numId w:val="21"/>
        </w:numPr>
        <w:rPr>
          <w:rFonts w:ascii="Verdana" w:hAnsi="Verdana"/>
          <w:b/>
          <w:bCs/>
          <w:noProof/>
          <w:sz w:val="22"/>
          <w:szCs w:val="22"/>
        </w:rPr>
      </w:pPr>
      <w:r w:rsidRPr="007B3D7F">
        <w:rPr>
          <w:rFonts w:ascii="Verdana" w:hAnsi="Verdana"/>
          <w:b/>
          <w:bCs/>
          <w:noProof/>
          <w:sz w:val="22"/>
          <w:szCs w:val="22"/>
        </w:rPr>
        <w:t>Imbruvica (ibrutinib)</w:t>
      </w:r>
    </w:p>
    <w:p w14:paraId="2A4D01C0" w14:textId="21730C6E" w:rsidR="007B3D7F" w:rsidRPr="007B3D7F" w:rsidRDefault="007B3D7F" w:rsidP="007B3D7F">
      <w:pPr>
        <w:pStyle w:val="ListParagraph"/>
        <w:numPr>
          <w:ilvl w:val="0"/>
          <w:numId w:val="21"/>
        </w:numPr>
        <w:rPr>
          <w:rFonts w:ascii="Verdana" w:hAnsi="Verdana"/>
          <w:b/>
          <w:bCs/>
          <w:noProof/>
          <w:sz w:val="22"/>
          <w:szCs w:val="22"/>
        </w:rPr>
      </w:pPr>
      <w:r w:rsidRPr="007B3D7F">
        <w:rPr>
          <w:rFonts w:ascii="Verdana" w:hAnsi="Verdana"/>
          <w:b/>
          <w:bCs/>
          <w:noProof/>
          <w:sz w:val="22"/>
          <w:szCs w:val="22"/>
        </w:rPr>
        <w:t>Venclyxto (venetoclax)</w:t>
      </w:r>
    </w:p>
    <w:p w14:paraId="6748F0D3" w14:textId="63A727DA" w:rsidR="007B3D7F" w:rsidRPr="007B3D7F" w:rsidRDefault="007B3D7F" w:rsidP="007B3D7F">
      <w:pPr>
        <w:pStyle w:val="ListParagraph"/>
        <w:numPr>
          <w:ilvl w:val="0"/>
          <w:numId w:val="21"/>
        </w:numPr>
        <w:rPr>
          <w:rFonts w:ascii="Verdana" w:hAnsi="Verdana"/>
          <w:b/>
          <w:bCs/>
          <w:noProof/>
          <w:sz w:val="22"/>
          <w:szCs w:val="22"/>
        </w:rPr>
      </w:pPr>
      <w:r w:rsidRPr="007B3D7F">
        <w:rPr>
          <w:rFonts w:ascii="Verdana" w:hAnsi="Verdana"/>
          <w:b/>
          <w:bCs/>
          <w:noProof/>
          <w:sz w:val="22"/>
          <w:szCs w:val="22"/>
        </w:rPr>
        <w:t>Zydelig (idelalisib) + rituximab</w:t>
      </w:r>
    </w:p>
    <w:p w14:paraId="744BC9D5" w14:textId="7A6B6A41" w:rsidR="007B3D7F" w:rsidRPr="007B3D7F" w:rsidRDefault="007B3D7F" w:rsidP="007B3D7F">
      <w:pPr>
        <w:pStyle w:val="ListParagraph"/>
        <w:numPr>
          <w:ilvl w:val="0"/>
          <w:numId w:val="21"/>
        </w:numPr>
        <w:rPr>
          <w:rFonts w:ascii="Verdana" w:hAnsi="Verdana"/>
          <w:b/>
          <w:bCs/>
          <w:noProof/>
          <w:sz w:val="22"/>
          <w:szCs w:val="22"/>
        </w:rPr>
      </w:pPr>
      <w:r w:rsidRPr="007B3D7F">
        <w:rPr>
          <w:rFonts w:ascii="Verdana" w:hAnsi="Verdana"/>
          <w:b/>
          <w:bCs/>
          <w:noProof/>
          <w:sz w:val="22"/>
          <w:szCs w:val="22"/>
        </w:rPr>
        <w:t>Any other systemic anti-cancer therapy</w:t>
      </w:r>
    </w:p>
    <w:p w14:paraId="1A8AE1E6" w14:textId="3C002039" w:rsidR="007B3D7F" w:rsidRPr="00B94513" w:rsidRDefault="00B94513" w:rsidP="007B3D7F">
      <w:pPr>
        <w:rPr>
          <w:rFonts w:ascii="Verdana" w:hAnsi="Verdana"/>
          <w:noProof/>
          <w:sz w:val="22"/>
          <w:szCs w:val="22"/>
        </w:rPr>
      </w:pPr>
      <w:r w:rsidRPr="00B94513">
        <w:rPr>
          <w:rFonts w:ascii="Verdana" w:hAnsi="Verdana"/>
          <w:noProof/>
          <w:sz w:val="22"/>
          <w:szCs w:val="22"/>
        </w:rPr>
        <w:t>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noProof/>
          <w:sz w:val="22"/>
          <w:szCs w:val="22"/>
        </w:rPr>
        <w:br/>
      </w:r>
    </w:p>
    <w:p w14:paraId="2FF1B959" w14:textId="6B4ADE7B" w:rsidR="00B94513" w:rsidRPr="00B94513" w:rsidRDefault="007B3D7F" w:rsidP="00B94513">
      <w:pPr>
        <w:pStyle w:val="ListParagraph"/>
        <w:numPr>
          <w:ilvl w:val="0"/>
          <w:numId w:val="19"/>
        </w:numPr>
        <w:rPr>
          <w:rFonts w:ascii="Verdana" w:hAnsi="Verdana"/>
          <w:noProof/>
          <w:sz w:val="22"/>
          <w:szCs w:val="22"/>
        </w:rPr>
      </w:pPr>
      <w:r w:rsidRPr="007B3D7F">
        <w:rPr>
          <w:rFonts w:ascii="Verdana" w:hAnsi="Verdana"/>
          <w:b/>
          <w:bCs/>
          <w:noProof/>
          <w:sz w:val="22"/>
          <w:szCs w:val="22"/>
        </w:rPr>
        <w:t xml:space="preserve">If your </w:t>
      </w:r>
      <w:r>
        <w:rPr>
          <w:rFonts w:ascii="Verdana" w:hAnsi="Verdana"/>
          <w:b/>
          <w:bCs/>
          <w:noProof/>
          <w:sz w:val="22"/>
          <w:szCs w:val="22"/>
        </w:rPr>
        <w:t>Health Board</w:t>
      </w:r>
      <w:r w:rsidRPr="007B3D7F">
        <w:rPr>
          <w:rFonts w:ascii="Verdana" w:hAnsi="Verdana"/>
          <w:b/>
          <w:bCs/>
          <w:noProof/>
          <w:sz w:val="22"/>
          <w:szCs w:val="22"/>
        </w:rPr>
        <w:t xml:space="preserve"> does treat Chronic Lymphocytic Leukaemia patients, do you currently participate in any ongoing clinical trials for the treatment of CLL?  If yes, please can you provide details of the ongoing trials.</w:t>
      </w:r>
      <w:r w:rsidR="00B94513">
        <w:rPr>
          <w:rFonts w:ascii="Verdana" w:hAnsi="Verdana"/>
          <w:b/>
          <w:bCs/>
          <w:noProof/>
          <w:sz w:val="22"/>
          <w:szCs w:val="22"/>
        </w:rPr>
        <w:br/>
      </w:r>
      <w:r w:rsidR="00B94513" w:rsidRPr="00B94513">
        <w:rPr>
          <w:rFonts w:ascii="Verdana" w:hAnsi="Verdana"/>
          <w:noProof/>
          <w:sz w:val="22"/>
          <w:szCs w:val="22"/>
        </w:rPr>
        <w:t>Yes</w:t>
      </w:r>
      <w:r w:rsidR="00B94513" w:rsidRPr="00B94513">
        <w:rPr>
          <w:rFonts w:ascii="Verdana" w:hAnsi="Verdana"/>
          <w:noProof/>
          <w:sz w:val="22"/>
          <w:szCs w:val="22"/>
        </w:rPr>
        <w:br/>
      </w:r>
    </w:p>
    <w:p w14:paraId="2038D31E" w14:textId="15B20E3B" w:rsidR="00B94513" w:rsidRPr="00B94513" w:rsidRDefault="00B94513" w:rsidP="00B94513">
      <w:pPr>
        <w:pStyle w:val="ListParagraph"/>
        <w:numPr>
          <w:ilvl w:val="0"/>
          <w:numId w:val="24"/>
        </w:numPr>
        <w:rPr>
          <w:rFonts w:ascii="Verdana" w:hAnsi="Verdana"/>
          <w:noProof/>
          <w:sz w:val="22"/>
          <w:szCs w:val="22"/>
        </w:rPr>
      </w:pPr>
      <w:r w:rsidRPr="00B94513">
        <w:rPr>
          <w:rFonts w:ascii="Verdana" w:hAnsi="Verdana"/>
          <w:noProof/>
          <w:sz w:val="22"/>
          <w:szCs w:val="22"/>
        </w:rPr>
        <w:t xml:space="preserve">GLORA </w:t>
      </w:r>
      <w:r w:rsidRPr="00B94513">
        <w:rPr>
          <w:rFonts w:ascii="Verdana" w:hAnsi="Verdana"/>
          <w:noProof/>
          <w:sz w:val="22"/>
          <w:szCs w:val="22"/>
        </w:rPr>
        <w:br/>
        <w:t>A Global Multicenter, Open Label, Randomized Phase 3 Registrational Study of Lisaftoclax (APG-2575) in Previously Treated Patients with Chronic Lymphocytic Leukemia/Small Lymphocytic Lymphoma</w:t>
      </w:r>
      <w:r w:rsidRPr="00B94513">
        <w:rPr>
          <w:rFonts w:ascii="Verdana" w:hAnsi="Verdana"/>
          <w:noProof/>
          <w:sz w:val="22"/>
          <w:szCs w:val="22"/>
        </w:rPr>
        <w:br/>
      </w:r>
    </w:p>
    <w:p w14:paraId="6E7ABC8A" w14:textId="1777AD7C" w:rsidR="00B94513" w:rsidRPr="00B94513" w:rsidRDefault="00B94513" w:rsidP="00B94513">
      <w:pPr>
        <w:pStyle w:val="ListParagraph"/>
        <w:numPr>
          <w:ilvl w:val="0"/>
          <w:numId w:val="24"/>
        </w:numPr>
        <w:rPr>
          <w:rFonts w:ascii="Verdana" w:hAnsi="Verdana"/>
          <w:noProof/>
          <w:sz w:val="22"/>
          <w:szCs w:val="22"/>
        </w:rPr>
      </w:pPr>
      <w:r w:rsidRPr="00B94513">
        <w:rPr>
          <w:rFonts w:ascii="Verdana" w:hAnsi="Verdana"/>
          <w:noProof/>
          <w:sz w:val="22"/>
          <w:szCs w:val="22"/>
        </w:rPr>
        <w:t>Loxo20030</w:t>
      </w:r>
      <w:r w:rsidRPr="00B94513">
        <w:rPr>
          <w:rFonts w:ascii="Verdana" w:hAnsi="Verdana"/>
          <w:noProof/>
          <w:sz w:val="22"/>
          <w:szCs w:val="22"/>
        </w:rPr>
        <w:br/>
        <w:t xml:space="preserve">A Phase 3 Open-Label, Randomized Study of Pirtobrutinib (LOXO-305) versus Ibrutinib in Patients with Chronic Lymphocytic Leukaemia/Small Lymphocytic Lymphoma </w:t>
      </w:r>
      <w:r w:rsidRPr="00B94513">
        <w:rPr>
          <w:rFonts w:ascii="Verdana" w:hAnsi="Verdana"/>
          <w:noProof/>
          <w:sz w:val="22"/>
          <w:szCs w:val="22"/>
        </w:rPr>
        <w:br/>
      </w:r>
    </w:p>
    <w:p w14:paraId="13D81810" w14:textId="7B2D78C8" w:rsidR="00B94513" w:rsidRPr="00B94513" w:rsidRDefault="00B94513" w:rsidP="00B94513">
      <w:pPr>
        <w:pStyle w:val="ListParagraph"/>
        <w:numPr>
          <w:ilvl w:val="0"/>
          <w:numId w:val="24"/>
        </w:numPr>
        <w:rPr>
          <w:rFonts w:ascii="Verdana" w:hAnsi="Verdana"/>
          <w:noProof/>
          <w:sz w:val="22"/>
          <w:szCs w:val="22"/>
        </w:rPr>
      </w:pPr>
      <w:r w:rsidRPr="00B94513">
        <w:rPr>
          <w:rFonts w:ascii="Verdana" w:hAnsi="Verdana"/>
          <w:noProof/>
          <w:sz w:val="22"/>
          <w:szCs w:val="22"/>
        </w:rPr>
        <w:t>CLL-211</w:t>
      </w:r>
      <w:r w:rsidRPr="00B94513">
        <w:rPr>
          <w:rFonts w:ascii="Verdana" w:hAnsi="Verdana"/>
          <w:noProof/>
          <w:sz w:val="22"/>
          <w:szCs w:val="22"/>
        </w:rPr>
        <w:br/>
        <w:t>A Phase 2, Open-Label, Randomized Study Evaluating the Efficacy and Safety of 3 Doses of Pirtobrutinib in Participants with Relapsed or Refractory Chronic Lymphocytic Leukaemia/Small Lymphocytic Lymphoma Who Previously Received Treatment with a Covalent Bruton Tyrosine Kinase Inhibitor</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lastRenderedPageBreak/>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77777777" w:rsidR="00AC7F3C" w:rsidRDefault="00AC7F3C">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332A17"/>
    <w:multiLevelType w:val="hybridMultilevel"/>
    <w:tmpl w:val="DA3A6A5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1C43864"/>
    <w:multiLevelType w:val="hybridMultilevel"/>
    <w:tmpl w:val="E8C21C92"/>
    <w:lvl w:ilvl="0" w:tplc="B70C00B8">
      <w:start w:val="2"/>
      <w:numFmt w:val="bullet"/>
      <w:lvlText w:val="•"/>
      <w:lvlJc w:val="left"/>
      <w:pPr>
        <w:ind w:left="1440" w:hanging="360"/>
      </w:pPr>
      <w:rPr>
        <w:rFonts w:ascii="Verdana" w:eastAsia="Calibr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811BFE"/>
    <w:multiLevelType w:val="hybridMultilevel"/>
    <w:tmpl w:val="0AA25B2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3C34E28"/>
    <w:multiLevelType w:val="hybridMultilevel"/>
    <w:tmpl w:val="7102C5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A50E7B"/>
    <w:multiLevelType w:val="hybridMultilevel"/>
    <w:tmpl w:val="2E0AC0B6"/>
    <w:lvl w:ilvl="0" w:tplc="7738361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10806B3"/>
    <w:multiLevelType w:val="hybridMultilevel"/>
    <w:tmpl w:val="6D92170A"/>
    <w:lvl w:ilvl="0" w:tplc="B70C00B8">
      <w:start w:val="2"/>
      <w:numFmt w:val="bullet"/>
      <w:lvlText w:val="•"/>
      <w:lvlJc w:val="left"/>
      <w:pPr>
        <w:ind w:left="194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1"/>
  </w:num>
  <w:num w:numId="4" w16cid:durableId="1125923312">
    <w:abstractNumId w:val="20"/>
  </w:num>
  <w:num w:numId="5" w16cid:durableId="1143425367">
    <w:abstractNumId w:val="7"/>
  </w:num>
  <w:num w:numId="6" w16cid:durableId="1293360629">
    <w:abstractNumId w:val="6"/>
  </w:num>
  <w:num w:numId="7" w16cid:durableId="479228409">
    <w:abstractNumId w:val="15"/>
  </w:num>
  <w:num w:numId="8" w16cid:durableId="1553300907">
    <w:abstractNumId w:val="19"/>
  </w:num>
  <w:num w:numId="9" w16cid:durableId="687946864">
    <w:abstractNumId w:val="23"/>
  </w:num>
  <w:num w:numId="10" w16cid:durableId="993416643">
    <w:abstractNumId w:val="2"/>
  </w:num>
  <w:num w:numId="11" w16cid:durableId="1541481371">
    <w:abstractNumId w:val="12"/>
  </w:num>
  <w:num w:numId="12" w16cid:durableId="1525171868">
    <w:abstractNumId w:val="17"/>
  </w:num>
  <w:num w:numId="13" w16cid:durableId="200629463">
    <w:abstractNumId w:val="21"/>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8"/>
  </w:num>
  <w:num w:numId="18" w16cid:durableId="949163570">
    <w:abstractNumId w:val="3"/>
  </w:num>
  <w:num w:numId="19" w16cid:durableId="1808356669">
    <w:abstractNumId w:val="14"/>
  </w:num>
  <w:num w:numId="20" w16cid:durableId="1347635838">
    <w:abstractNumId w:val="5"/>
  </w:num>
  <w:num w:numId="21" w16cid:durableId="1915622162">
    <w:abstractNumId w:val="4"/>
  </w:num>
  <w:num w:numId="22" w16cid:durableId="163740216">
    <w:abstractNumId w:val="1"/>
  </w:num>
  <w:num w:numId="23" w16cid:durableId="361588692">
    <w:abstractNumId w:val="22"/>
  </w:num>
  <w:num w:numId="24" w16cid:durableId="18932256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4C3A"/>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85211"/>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3D7F"/>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76645"/>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58F"/>
    <w:rsid w:val="00B94513"/>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B2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4</Pages>
  <Words>538</Words>
  <Characters>3181</Characters>
  <Application>Microsoft Office Word</Application>
  <DocSecurity>0</DocSecurity>
  <Lines>105</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2026-03-17T06:50:00Z</cp:lastPrinted>
  <dcterms:created xsi:type="dcterms:W3CDTF">2021-09-13T07:38:00Z</dcterms:created>
  <dcterms:modified xsi:type="dcterms:W3CDTF">2026-03-17T06:52:00Z</dcterms:modified>
</cp:coreProperties>
</file>