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E6A7" w14:textId="77777777" w:rsidR="00D04E3C" w:rsidRPr="008E57A2" w:rsidRDefault="00D04E3C" w:rsidP="00D04E3C">
      <w:pPr>
        <w:jc w:val="center"/>
        <w:rPr>
          <w:sz w:val="24"/>
          <w:u w:val="single"/>
        </w:rPr>
      </w:pPr>
      <w:r>
        <w:rPr>
          <w:noProof/>
          <w:sz w:val="24"/>
          <w:u w:val="single"/>
          <w:lang w:eastAsia="en-GB"/>
        </w:rPr>
        <w:drawing>
          <wp:anchor distT="0" distB="0" distL="114300" distR="114300" simplePos="0" relativeHeight="251662336" behindDoc="1" locked="0" layoutInCell="1" allowOverlap="1" wp14:anchorId="3ADE1962" wp14:editId="75809958">
            <wp:simplePos x="0" y="0"/>
            <wp:positionH relativeFrom="column">
              <wp:posOffset>1452880</wp:posOffset>
            </wp:positionH>
            <wp:positionV relativeFrom="paragraph">
              <wp:posOffset>0</wp:posOffset>
            </wp:positionV>
            <wp:extent cx="3053080" cy="771525"/>
            <wp:effectExtent l="0" t="0" r="0" b="9525"/>
            <wp:wrapTight wrapText="bothSides">
              <wp:wrapPolygon edited="0">
                <wp:start x="0" y="0"/>
                <wp:lineTo x="0" y="21333"/>
                <wp:lineTo x="21429" y="21333"/>
                <wp:lineTo x="21429"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308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268EA7" w14:textId="77777777" w:rsidR="00D04E3C" w:rsidRPr="003073AF" w:rsidRDefault="00D04E3C" w:rsidP="00D04E3C"/>
    <w:p w14:paraId="513B6B6B" w14:textId="77777777" w:rsidR="00D04E3C" w:rsidRDefault="00D04E3C" w:rsidP="00D04E3C">
      <w:pPr>
        <w:pStyle w:val="Default"/>
        <w:rPr>
          <w:rFonts w:ascii="Calibri" w:hAnsi="Calibri" w:cs="Times New Roman"/>
          <w:color w:val="auto"/>
          <w:sz w:val="22"/>
          <w:szCs w:val="22"/>
        </w:rPr>
      </w:pPr>
      <w:r>
        <w:rPr>
          <w:rFonts w:ascii="Calibri" w:hAnsi="Calibri" w:cs="Times New Roman"/>
          <w:color w:val="auto"/>
          <w:sz w:val="22"/>
          <w:szCs w:val="22"/>
        </w:rPr>
        <w:t xml:space="preserve">                              </w:t>
      </w:r>
    </w:p>
    <w:p w14:paraId="6F94BE09" w14:textId="77777777" w:rsidR="00D04E3C" w:rsidRDefault="00D04E3C" w:rsidP="00D04E3C">
      <w:pPr>
        <w:pStyle w:val="Default"/>
        <w:rPr>
          <w:rFonts w:ascii="Calibri" w:hAnsi="Calibri" w:cs="Times New Roman"/>
          <w:color w:val="auto"/>
          <w:sz w:val="22"/>
          <w:szCs w:val="22"/>
        </w:rPr>
      </w:pPr>
    </w:p>
    <w:p w14:paraId="384B5B20" w14:textId="77777777" w:rsidR="00D04E3C" w:rsidRDefault="00D04E3C" w:rsidP="00D04E3C">
      <w:pPr>
        <w:pStyle w:val="Default"/>
      </w:pPr>
      <w:r>
        <w:rPr>
          <w:noProof/>
          <w:lang w:eastAsia="en-GB"/>
        </w:rPr>
        <mc:AlternateContent>
          <mc:Choice Requires="wps">
            <w:drawing>
              <wp:anchor distT="0" distB="0" distL="114300" distR="114300" simplePos="0" relativeHeight="251659264" behindDoc="0" locked="0" layoutInCell="1" allowOverlap="1" wp14:anchorId="6187AF84" wp14:editId="2D65402F">
                <wp:simplePos x="0" y="0"/>
                <wp:positionH relativeFrom="column">
                  <wp:posOffset>-47625</wp:posOffset>
                </wp:positionH>
                <wp:positionV relativeFrom="paragraph">
                  <wp:posOffset>306705</wp:posOffset>
                </wp:positionV>
                <wp:extent cx="6143625" cy="0"/>
                <wp:effectExtent l="9525" t="8255" r="9525"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7EA2D1" id="_x0000_t32" coordsize="21600,21600" o:spt="32" o:oned="t" path="m,l21600,21600e" filled="f">
                <v:path arrowok="t" fillok="f" o:connecttype="none"/>
                <o:lock v:ext="edit" shapetype="t"/>
              </v:shapetype>
              <v:shape id="Straight Arrow Connector 3" o:spid="_x0000_s1026" type="#_x0000_t32" style="position:absolute;margin-left:-3.75pt;margin-top:24.15pt;width:48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"/>
            </w:pict>
          </mc:Fallback>
        </mc:AlternateContent>
      </w:r>
      <w:r>
        <w:rPr>
          <w:b/>
          <w:bCs/>
          <w:i/>
          <w:iCs/>
          <w:sz w:val="28"/>
          <w:szCs w:val="28"/>
        </w:rPr>
        <w:t>PHARMACY-LED VENOUS THROMBOEMBOLISM (VTE) SERVICE</w:t>
      </w:r>
    </w:p>
    <w:p w14:paraId="3DF3BE35" w14:textId="77777777" w:rsidR="00D04E3C" w:rsidRDefault="00D04E3C" w:rsidP="00D04E3C"/>
    <w:p w14:paraId="4AD4BA17" w14:textId="77777777" w:rsidR="00D04E3C" w:rsidRDefault="00D04E3C" w:rsidP="00D04E3C">
      <w:pPr>
        <w:jc w:val="center"/>
        <w:rPr>
          <w:sz w:val="24"/>
        </w:rPr>
      </w:pPr>
      <w:r w:rsidRPr="004B3D1D">
        <w:rPr>
          <w:noProof/>
          <w:lang w:eastAsia="en-GB"/>
        </w:rPr>
        <mc:AlternateContent>
          <mc:Choice Requires="wps">
            <w:drawing>
              <wp:anchor distT="0" distB="0" distL="114300" distR="114300" simplePos="0" relativeHeight="251660288" behindDoc="0" locked="0" layoutInCell="1" allowOverlap="1" wp14:anchorId="205C0DC3" wp14:editId="0688BEA5">
                <wp:simplePos x="0" y="0"/>
                <wp:positionH relativeFrom="column">
                  <wp:posOffset>-47625</wp:posOffset>
                </wp:positionH>
                <wp:positionV relativeFrom="paragraph">
                  <wp:posOffset>360680</wp:posOffset>
                </wp:positionV>
                <wp:extent cx="6143625" cy="0"/>
                <wp:effectExtent l="9525" t="8255" r="952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25E68" id="Straight Arrow Connector 2" o:spid="_x0000_s1026" type="#_x0000_t32" style="position:absolute;margin-left:-3.75pt;margin-top:28.4pt;width:48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"/>
            </w:pict>
          </mc:Fallback>
        </mc:AlternateContent>
      </w:r>
      <w:r w:rsidRPr="003073AF">
        <w:rPr>
          <w:b/>
          <w:bCs/>
          <w:sz w:val="32"/>
          <w:szCs w:val="28"/>
        </w:rPr>
        <w:t>STANDARD OPERATING PROCEDURES</w:t>
      </w:r>
    </w:p>
    <w:p w14:paraId="5DF3DF18" w14:textId="77777777" w:rsidR="00D04E3C" w:rsidRDefault="00D04E3C" w:rsidP="00D04E3C">
      <w:pPr>
        <w:rPr>
          <w:sz w:val="24"/>
        </w:rPr>
      </w:pPr>
      <w:r w:rsidRPr="004B3D1D">
        <w:rPr>
          <w:noProof/>
          <w:lang w:eastAsia="en-GB"/>
        </w:rPr>
        <mc:AlternateContent>
          <mc:Choice Requires="wps">
            <w:drawing>
              <wp:anchor distT="0" distB="0" distL="114300" distR="114300" simplePos="0" relativeHeight="251661312" behindDoc="0" locked="0" layoutInCell="1" allowOverlap="1" wp14:anchorId="47067A63" wp14:editId="5E91F584">
                <wp:simplePos x="0" y="0"/>
                <wp:positionH relativeFrom="column">
                  <wp:posOffset>753110</wp:posOffset>
                </wp:positionH>
                <wp:positionV relativeFrom="paragraph">
                  <wp:posOffset>214630</wp:posOffset>
                </wp:positionV>
                <wp:extent cx="5261610" cy="685800"/>
                <wp:effectExtent l="10160" t="8255" r="5080"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1610" cy="685800"/>
                        </a:xfrm>
                        <a:prstGeom prst="rect">
                          <a:avLst/>
                        </a:prstGeom>
                        <a:solidFill>
                          <a:srgbClr val="FFFFFF"/>
                        </a:solidFill>
                        <a:ln w="9525">
                          <a:solidFill>
                            <a:srgbClr val="000000"/>
                          </a:solidFill>
                          <a:miter lim="800000"/>
                          <a:headEnd/>
                          <a:tailEnd/>
                        </a:ln>
                      </wps:spPr>
                      <wps:txbx>
                        <w:txbxContent>
                          <w:p w14:paraId="2084A2B8" w14:textId="09B87BFE" w:rsidR="00D04E3C" w:rsidRPr="001F127E" w:rsidRDefault="007237E2" w:rsidP="00D04E3C">
                            <w:pPr>
                              <w:pStyle w:val="Heading2"/>
                              <w:rPr>
                                <w:rFonts w:asciiTheme="minorHAnsi" w:hAnsiTheme="minorHAnsi" w:cstheme="minorHAnsi"/>
                              </w:rPr>
                            </w:pPr>
                            <w:bookmarkStart w:id="0" w:name="_Toc444782600"/>
                            <w:bookmarkStart w:id="1" w:name="_Toc444783260"/>
                            <w:bookmarkStart w:id="2" w:name="_Toc444783960"/>
                            <w:bookmarkStart w:id="3" w:name="_Toc450226526"/>
                            <w:bookmarkStart w:id="4" w:name="_Toc450226585"/>
                            <w:bookmarkStart w:id="5" w:name="_Toc481074911"/>
                            <w:bookmarkStart w:id="6" w:name="_Toc481075312"/>
                            <w:bookmarkStart w:id="7" w:name="_Toc481075382"/>
                            <w:bookmarkStart w:id="8" w:name="_Toc481075452"/>
                            <w:bookmarkStart w:id="9" w:name="_Toc481152812"/>
                            <w:bookmarkStart w:id="10" w:name="_Toc483235940"/>
                            <w:bookmarkStart w:id="11" w:name="_Toc483399866"/>
                            <w:bookmarkStart w:id="12" w:name="_Toc483399943"/>
                            <w:bookmarkStart w:id="13" w:name="_Toc483406846"/>
                            <w:bookmarkStart w:id="14" w:name="_Toc483406929"/>
                            <w:bookmarkStart w:id="15" w:name="_Toc494901636"/>
                            <w:bookmarkStart w:id="16" w:name="_Toc494901713"/>
                            <w:r>
                              <w:rPr>
                                <w:rFonts w:asciiTheme="minorHAnsi" w:hAnsiTheme="minorHAnsi" w:cstheme="minorHAnsi"/>
                              </w:rPr>
                              <w:t>Approach to counselling on LMWH in the clinic setting</w:t>
                            </w:r>
                            <w:r w:rsidR="00D04E3C" w:rsidRPr="001F127E">
                              <w:rPr>
                                <w:rFonts w:asciiTheme="minorHAnsi" w:hAnsiTheme="minorHAnsi" w:cstheme="minorHAnsi"/>
                              </w:rPr>
                              <w:t xml:space="preserve"> (SOP-VTE10</w:t>
                            </w:r>
                            <w:bookmarkEnd w:id="0"/>
                            <w:bookmarkEnd w:id="1"/>
                            <w:r>
                              <w:rPr>
                                <w:rFonts w:asciiTheme="minorHAnsi" w:hAnsiTheme="minorHAnsi" w:cstheme="minorHAnsi"/>
                              </w:rPr>
                              <w:t>8</w:t>
                            </w:r>
                            <w:r w:rsidR="00D04E3C" w:rsidRPr="001F127E">
                              <w:rPr>
                                <w:rFonts w:asciiTheme="minorHAnsi" w:hAnsiTheme="minorHAnsi" w:cstheme="minorHAnsi"/>
                              </w:rPr>
                              <w: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67A63" id="_x0000_t202" coordsize="21600,21600" o:spt="202" path="m,l,21600r21600,l21600,xe">
                <v:stroke joinstyle="miter"/>
                <v:path gradientshapeok="t" o:connecttype="rect"/>
              </v:shapetype>
              <v:shape id="Text Box 1" o:spid="_x0000_s1026" type="#_x0000_t202" style="position:absolute;margin-left:59.3pt;margin-top:16.9pt;width:414.3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">
                <v:textbox>
                  <w:txbxContent>
                    <w:p w14:paraId="2084A2B8" w14:textId="09B87BFE" w:rsidR="00D04E3C" w:rsidRPr="001F127E" w:rsidRDefault="007237E2" w:rsidP="00D04E3C">
                      <w:pPr>
                        <w:pStyle w:val="Heading2"/>
                        <w:rPr>
                          <w:rFonts w:asciiTheme="minorHAnsi" w:hAnsiTheme="minorHAnsi" w:cstheme="minorHAnsi"/>
                        </w:rPr>
                      </w:pPr>
                      <w:bookmarkStart w:id="17" w:name="_Toc444782600"/>
                      <w:bookmarkStart w:id="18" w:name="_Toc444783260"/>
                      <w:bookmarkStart w:id="19" w:name="_Toc444783960"/>
                      <w:bookmarkStart w:id="20" w:name="_Toc450226526"/>
                      <w:bookmarkStart w:id="21" w:name="_Toc450226585"/>
                      <w:bookmarkStart w:id="22" w:name="_Toc481074911"/>
                      <w:bookmarkStart w:id="23" w:name="_Toc481075312"/>
                      <w:bookmarkStart w:id="24" w:name="_Toc481075382"/>
                      <w:bookmarkStart w:id="25" w:name="_Toc481075452"/>
                      <w:bookmarkStart w:id="26" w:name="_Toc481152812"/>
                      <w:bookmarkStart w:id="27" w:name="_Toc483235940"/>
                      <w:bookmarkStart w:id="28" w:name="_Toc483399866"/>
                      <w:bookmarkStart w:id="29" w:name="_Toc483399943"/>
                      <w:bookmarkStart w:id="30" w:name="_Toc483406846"/>
                      <w:bookmarkStart w:id="31" w:name="_Toc483406929"/>
                      <w:bookmarkStart w:id="32" w:name="_Toc494901636"/>
                      <w:bookmarkStart w:id="33" w:name="_Toc494901713"/>
                      <w:r>
                        <w:rPr>
                          <w:rFonts w:asciiTheme="minorHAnsi" w:hAnsiTheme="minorHAnsi" w:cstheme="minorHAnsi"/>
                        </w:rPr>
                        <w:t>Approach to counselling on LMWH in the clinic setting</w:t>
                      </w:r>
                      <w:r w:rsidR="00D04E3C" w:rsidRPr="001F127E">
                        <w:rPr>
                          <w:rFonts w:asciiTheme="minorHAnsi" w:hAnsiTheme="minorHAnsi" w:cstheme="minorHAnsi"/>
                        </w:rPr>
                        <w:t xml:space="preserve"> (SOP-VTE10</w:t>
                      </w:r>
                      <w:bookmarkEnd w:id="17"/>
                      <w:bookmarkEnd w:id="18"/>
                      <w:r>
                        <w:rPr>
                          <w:rFonts w:asciiTheme="minorHAnsi" w:hAnsiTheme="minorHAnsi" w:cstheme="minorHAnsi"/>
                        </w:rPr>
                        <w:t>8</w:t>
                      </w:r>
                      <w:r w:rsidR="00D04E3C" w:rsidRPr="001F127E">
                        <w:rPr>
                          <w:rFonts w:asciiTheme="minorHAnsi" w:hAnsiTheme="minorHAnsi" w:cstheme="minorHAnsi"/>
                        </w:rPr>
                        <w:t>)</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txbxContent>
                </v:textbox>
              </v:shape>
            </w:pict>
          </mc:Fallback>
        </mc:AlternateContent>
      </w:r>
    </w:p>
    <w:p w14:paraId="6FC27448" w14:textId="77777777" w:rsidR="00D04E3C" w:rsidRPr="001F127E" w:rsidRDefault="00D04E3C" w:rsidP="00D04E3C">
      <w:pPr>
        <w:spacing w:line="240" w:lineRule="auto"/>
        <w:rPr>
          <w:rFonts w:asciiTheme="minorHAnsi" w:hAnsiTheme="minorHAnsi" w:cstheme="minorHAnsi"/>
          <w:sz w:val="24"/>
        </w:rPr>
      </w:pPr>
      <w:r w:rsidRPr="001F127E">
        <w:rPr>
          <w:rFonts w:asciiTheme="minorHAnsi" w:hAnsiTheme="minorHAnsi" w:cstheme="minorHAnsi"/>
          <w:sz w:val="24"/>
        </w:rPr>
        <w:t>Procedure</w:t>
      </w:r>
    </w:p>
    <w:p w14:paraId="11F3E2D3" w14:textId="77777777" w:rsidR="00D04E3C" w:rsidRPr="001F127E" w:rsidRDefault="00D04E3C" w:rsidP="00D04E3C">
      <w:pPr>
        <w:spacing w:line="240" w:lineRule="auto"/>
        <w:rPr>
          <w:rFonts w:asciiTheme="minorHAnsi" w:hAnsiTheme="minorHAnsi" w:cstheme="minorHAnsi"/>
          <w:sz w:val="24"/>
        </w:rPr>
      </w:pPr>
      <w:r w:rsidRPr="001F127E">
        <w:rPr>
          <w:rFonts w:asciiTheme="minorHAnsi" w:hAnsiTheme="minorHAnsi" w:cstheme="minorHAnsi"/>
          <w:sz w:val="24"/>
        </w:rPr>
        <w:t>Name:</w:t>
      </w:r>
    </w:p>
    <w:p w14:paraId="54516515" w14:textId="77777777" w:rsidR="00D04E3C" w:rsidRDefault="00D04E3C" w:rsidP="00D04E3C">
      <w:pPr>
        <w:rPr>
          <w:rFonts w:ascii="Times New Roman" w:hAnsi="Times New Roman"/>
          <w:sz w:val="24"/>
        </w:rPr>
      </w:pPr>
    </w:p>
    <w:p w14:paraId="519FCBD1" w14:textId="77777777" w:rsidR="00D04E3C" w:rsidRPr="001F127E" w:rsidRDefault="00D04E3C" w:rsidP="00D04E3C">
      <w:pPr>
        <w:rPr>
          <w:rFonts w:asciiTheme="minorHAnsi" w:hAnsiTheme="minorHAnsi" w:cstheme="minorHAnsi"/>
          <w:b/>
          <w:sz w:val="24"/>
        </w:rPr>
      </w:pPr>
      <w:r w:rsidRPr="001F127E">
        <w:rPr>
          <w:rFonts w:asciiTheme="minorHAnsi" w:hAnsiTheme="minorHAnsi" w:cstheme="minorHAnsi"/>
          <w:b/>
          <w:sz w:val="24"/>
        </w:rPr>
        <w:t>Objective</w:t>
      </w:r>
    </w:p>
    <w:p w14:paraId="7A5AEE0F" w14:textId="449CF672" w:rsidR="00D04E3C" w:rsidRDefault="00D04E3C" w:rsidP="00D04E3C">
      <w:pPr>
        <w:rPr>
          <w:rFonts w:asciiTheme="minorHAnsi" w:hAnsiTheme="minorHAnsi" w:cstheme="minorHAnsi"/>
          <w:sz w:val="24"/>
        </w:rPr>
      </w:pPr>
      <w:r w:rsidRPr="001F127E">
        <w:rPr>
          <w:rFonts w:asciiTheme="minorHAnsi" w:hAnsiTheme="minorHAnsi" w:cstheme="minorHAnsi"/>
          <w:sz w:val="24"/>
        </w:rPr>
        <w:t xml:space="preserve">To develop formal procedures for </w:t>
      </w:r>
      <w:r w:rsidR="00CD5F92">
        <w:rPr>
          <w:rFonts w:asciiTheme="minorHAnsi" w:hAnsiTheme="minorHAnsi" w:cstheme="minorHAnsi"/>
          <w:sz w:val="24"/>
        </w:rPr>
        <w:t xml:space="preserve">pharmacists </w:t>
      </w:r>
      <w:r w:rsidR="007237E2">
        <w:rPr>
          <w:rFonts w:asciiTheme="minorHAnsi" w:hAnsiTheme="minorHAnsi" w:cstheme="minorHAnsi"/>
          <w:sz w:val="24"/>
        </w:rPr>
        <w:t>or other clinical staff who are counselling patients on their ability to self-administer low molecular weight heparin (LMWH) in the clinic setting</w:t>
      </w:r>
    </w:p>
    <w:p w14:paraId="0D6BAD30" w14:textId="77777777" w:rsidR="00CD5F92" w:rsidRDefault="00CD5F92" w:rsidP="00D04E3C">
      <w:pPr>
        <w:rPr>
          <w:rFonts w:asciiTheme="minorHAnsi" w:hAnsiTheme="minorHAnsi" w:cstheme="minorHAnsi"/>
          <w:b/>
          <w:sz w:val="24"/>
        </w:rPr>
      </w:pPr>
      <w:r>
        <w:rPr>
          <w:rFonts w:asciiTheme="minorHAnsi" w:hAnsiTheme="minorHAnsi" w:cstheme="minorHAnsi"/>
          <w:b/>
          <w:sz w:val="24"/>
        </w:rPr>
        <w:t>This SOP should be used in combination with</w:t>
      </w:r>
    </w:p>
    <w:p w14:paraId="2BAECCCB" w14:textId="4F91E81A" w:rsidR="007237E2" w:rsidRPr="007237E2" w:rsidRDefault="007237E2" w:rsidP="007237E2">
      <w:pPr>
        <w:pStyle w:val="ListParagraph"/>
        <w:numPr>
          <w:ilvl w:val="0"/>
          <w:numId w:val="1"/>
        </w:numPr>
        <w:spacing w:line="360" w:lineRule="auto"/>
        <w:rPr>
          <w:rFonts w:asciiTheme="minorHAnsi" w:hAnsiTheme="minorHAnsi" w:cstheme="minorHAnsi"/>
          <w:b/>
          <w:color w:val="000000" w:themeColor="text1"/>
          <w:sz w:val="24"/>
        </w:rPr>
      </w:pPr>
      <w:r w:rsidRPr="007237E2">
        <w:rPr>
          <w:rFonts w:asciiTheme="minorHAnsi" w:hAnsiTheme="minorHAnsi" w:cstheme="minorHAnsi"/>
          <w:b/>
          <w:sz w:val="24"/>
        </w:rPr>
        <w:t>SOP_VTE102_ Medical PE Consultation</w:t>
      </w:r>
    </w:p>
    <w:p w14:paraId="2B820B1B" w14:textId="29D9F0C6" w:rsidR="007237E2" w:rsidRDefault="007237E2" w:rsidP="007237E2">
      <w:pPr>
        <w:pStyle w:val="ListParagraph"/>
        <w:numPr>
          <w:ilvl w:val="0"/>
          <w:numId w:val="1"/>
        </w:numPr>
        <w:spacing w:line="360" w:lineRule="auto"/>
        <w:rPr>
          <w:rFonts w:asciiTheme="minorHAnsi" w:hAnsiTheme="minorHAnsi" w:cstheme="minorHAnsi"/>
          <w:b/>
          <w:color w:val="000000" w:themeColor="text1"/>
          <w:sz w:val="24"/>
        </w:rPr>
      </w:pPr>
      <w:r>
        <w:rPr>
          <w:rFonts w:asciiTheme="minorHAnsi" w:hAnsiTheme="minorHAnsi" w:cstheme="minorHAnsi"/>
          <w:b/>
          <w:color w:val="000000" w:themeColor="text1"/>
          <w:sz w:val="24"/>
        </w:rPr>
        <w:t>SOP_VTE103_ Medical DVT</w:t>
      </w:r>
      <w:r w:rsidRPr="007237E2">
        <w:rPr>
          <w:rFonts w:asciiTheme="minorHAnsi" w:hAnsiTheme="minorHAnsi" w:cstheme="minorHAnsi"/>
          <w:b/>
          <w:color w:val="000000" w:themeColor="text1"/>
          <w:sz w:val="24"/>
        </w:rPr>
        <w:t xml:space="preserve"> Consultation</w:t>
      </w:r>
    </w:p>
    <w:p w14:paraId="28F6B3F9" w14:textId="47ADEC1A" w:rsidR="007237E2" w:rsidRDefault="0050033E" w:rsidP="007237E2">
      <w:pPr>
        <w:pStyle w:val="ListParagraph"/>
        <w:numPr>
          <w:ilvl w:val="0"/>
          <w:numId w:val="1"/>
        </w:numPr>
        <w:spacing w:line="360" w:lineRule="auto"/>
        <w:rPr>
          <w:rFonts w:asciiTheme="minorHAnsi" w:hAnsiTheme="minorHAnsi" w:cstheme="minorHAnsi"/>
          <w:b/>
          <w:color w:val="000000" w:themeColor="text1"/>
          <w:sz w:val="24"/>
        </w:rPr>
      </w:pPr>
      <w:r>
        <w:rPr>
          <w:rFonts w:asciiTheme="minorHAnsi" w:hAnsiTheme="minorHAnsi" w:cstheme="minorHAnsi"/>
          <w:b/>
          <w:color w:val="000000" w:themeColor="text1"/>
          <w:sz w:val="24"/>
        </w:rPr>
        <w:t>SOP_VTE104</w:t>
      </w:r>
      <w:r w:rsidR="007237E2">
        <w:rPr>
          <w:rFonts w:asciiTheme="minorHAnsi" w:hAnsiTheme="minorHAnsi" w:cstheme="minorHAnsi"/>
          <w:b/>
          <w:color w:val="000000" w:themeColor="text1"/>
          <w:sz w:val="24"/>
        </w:rPr>
        <w:t>_  Cancer Associated Thrombosis</w:t>
      </w:r>
      <w:r w:rsidR="007237E2" w:rsidRPr="007237E2">
        <w:rPr>
          <w:rFonts w:asciiTheme="minorHAnsi" w:hAnsiTheme="minorHAnsi" w:cstheme="minorHAnsi"/>
          <w:b/>
          <w:color w:val="000000" w:themeColor="text1"/>
          <w:sz w:val="24"/>
        </w:rPr>
        <w:t xml:space="preserve"> </w:t>
      </w:r>
      <w:r>
        <w:rPr>
          <w:rFonts w:asciiTheme="minorHAnsi" w:hAnsiTheme="minorHAnsi" w:cstheme="minorHAnsi"/>
          <w:b/>
          <w:color w:val="000000" w:themeColor="text1"/>
          <w:sz w:val="24"/>
        </w:rPr>
        <w:t xml:space="preserve">PE </w:t>
      </w:r>
      <w:r w:rsidR="007237E2" w:rsidRPr="007237E2">
        <w:rPr>
          <w:rFonts w:asciiTheme="minorHAnsi" w:hAnsiTheme="minorHAnsi" w:cstheme="minorHAnsi"/>
          <w:b/>
          <w:color w:val="000000" w:themeColor="text1"/>
          <w:sz w:val="24"/>
        </w:rPr>
        <w:t>Consultation</w:t>
      </w:r>
    </w:p>
    <w:p w14:paraId="2EAD9890" w14:textId="7A413B39" w:rsidR="0050033E" w:rsidRPr="007237E2" w:rsidRDefault="0050033E" w:rsidP="0050033E">
      <w:pPr>
        <w:pStyle w:val="ListParagraph"/>
        <w:numPr>
          <w:ilvl w:val="0"/>
          <w:numId w:val="1"/>
        </w:numPr>
        <w:spacing w:line="360" w:lineRule="auto"/>
        <w:rPr>
          <w:rFonts w:asciiTheme="minorHAnsi" w:hAnsiTheme="minorHAnsi" w:cstheme="minorHAnsi"/>
          <w:b/>
          <w:color w:val="000000" w:themeColor="text1"/>
          <w:sz w:val="24"/>
        </w:rPr>
      </w:pPr>
      <w:r>
        <w:rPr>
          <w:rFonts w:asciiTheme="minorHAnsi" w:hAnsiTheme="minorHAnsi" w:cstheme="minorHAnsi"/>
          <w:b/>
          <w:color w:val="000000" w:themeColor="text1"/>
          <w:sz w:val="24"/>
        </w:rPr>
        <w:t>SOP_VTE105_  Cancer Associated Thrombosis</w:t>
      </w:r>
      <w:r w:rsidRPr="007237E2">
        <w:rPr>
          <w:rFonts w:asciiTheme="minorHAnsi" w:hAnsiTheme="minorHAnsi" w:cstheme="minorHAnsi"/>
          <w:b/>
          <w:color w:val="000000" w:themeColor="text1"/>
          <w:sz w:val="24"/>
        </w:rPr>
        <w:t xml:space="preserve"> </w:t>
      </w:r>
      <w:r>
        <w:rPr>
          <w:rFonts w:asciiTheme="minorHAnsi" w:hAnsiTheme="minorHAnsi" w:cstheme="minorHAnsi"/>
          <w:b/>
          <w:color w:val="000000" w:themeColor="text1"/>
          <w:sz w:val="24"/>
        </w:rPr>
        <w:t xml:space="preserve">DVT </w:t>
      </w:r>
      <w:r w:rsidRPr="007237E2">
        <w:rPr>
          <w:rFonts w:asciiTheme="minorHAnsi" w:hAnsiTheme="minorHAnsi" w:cstheme="minorHAnsi"/>
          <w:b/>
          <w:color w:val="000000" w:themeColor="text1"/>
          <w:sz w:val="24"/>
        </w:rPr>
        <w:t>Consultation</w:t>
      </w:r>
    </w:p>
    <w:p w14:paraId="76477703" w14:textId="77777777" w:rsidR="0050033E" w:rsidRPr="0050033E" w:rsidRDefault="0050033E" w:rsidP="0050033E">
      <w:pPr>
        <w:spacing w:line="360" w:lineRule="auto"/>
        <w:ind w:left="360"/>
        <w:rPr>
          <w:rFonts w:asciiTheme="minorHAnsi" w:hAnsiTheme="minorHAnsi" w:cstheme="minorHAnsi"/>
          <w:b/>
          <w:color w:val="000000" w:themeColor="text1"/>
          <w:sz w:val="24"/>
        </w:rPr>
      </w:pPr>
    </w:p>
    <w:p w14:paraId="35591C7E" w14:textId="52C24479" w:rsidR="00D04E3C" w:rsidRDefault="003F251A" w:rsidP="00CD5F92">
      <w:pPr>
        <w:spacing w:line="360" w:lineRule="auto"/>
        <w:rPr>
          <w:rFonts w:asciiTheme="minorHAnsi" w:hAnsiTheme="minorHAnsi" w:cstheme="minorHAnsi"/>
          <w:b/>
          <w:sz w:val="24"/>
        </w:rPr>
      </w:pPr>
      <w:r>
        <w:rPr>
          <w:rFonts w:asciiTheme="minorHAnsi" w:hAnsiTheme="minorHAnsi" w:cstheme="minorHAnsi"/>
          <w:b/>
          <w:sz w:val="24"/>
        </w:rPr>
        <w:t>Process</w:t>
      </w:r>
    </w:p>
    <w:p w14:paraId="393054D9" w14:textId="4D45C0C7" w:rsidR="006E62F4" w:rsidRPr="004A63C1" w:rsidRDefault="00566609" w:rsidP="007237E2">
      <w:pPr>
        <w:pStyle w:val="ListParagraph"/>
        <w:numPr>
          <w:ilvl w:val="0"/>
          <w:numId w:val="1"/>
        </w:numPr>
        <w:spacing w:line="360" w:lineRule="auto"/>
      </w:pPr>
      <w:r>
        <w:rPr>
          <w:rFonts w:asciiTheme="minorHAnsi" w:hAnsiTheme="minorHAnsi" w:cstheme="minorHAnsi"/>
        </w:rPr>
        <w:t>Clinician</w:t>
      </w:r>
      <w:r w:rsidR="00CD5F92" w:rsidRPr="009764DB">
        <w:rPr>
          <w:rFonts w:asciiTheme="minorHAnsi" w:hAnsiTheme="minorHAnsi" w:cstheme="minorHAnsi"/>
        </w:rPr>
        <w:t xml:space="preserve">s </w:t>
      </w:r>
      <w:r w:rsidR="004A63C1">
        <w:rPr>
          <w:rFonts w:asciiTheme="minorHAnsi" w:hAnsiTheme="minorHAnsi" w:cstheme="minorHAnsi"/>
        </w:rPr>
        <w:t>should ensure the patient is to be seen in a suitable environment that adheres to the health board policies on infection control, information governance.</w:t>
      </w:r>
    </w:p>
    <w:p w14:paraId="27037555" w14:textId="46832AA4" w:rsidR="00566609" w:rsidRPr="00566609" w:rsidRDefault="004A63C1" w:rsidP="007237E2">
      <w:pPr>
        <w:pStyle w:val="ListParagraph"/>
        <w:numPr>
          <w:ilvl w:val="0"/>
          <w:numId w:val="1"/>
        </w:numPr>
        <w:spacing w:line="360" w:lineRule="auto"/>
      </w:pPr>
      <w:r>
        <w:rPr>
          <w:rFonts w:asciiTheme="minorHAnsi" w:hAnsiTheme="minorHAnsi" w:cstheme="minorHAnsi"/>
        </w:rPr>
        <w:t xml:space="preserve">The </w:t>
      </w:r>
      <w:r w:rsidR="00566609">
        <w:rPr>
          <w:rFonts w:asciiTheme="minorHAnsi" w:hAnsiTheme="minorHAnsi" w:cstheme="minorHAnsi"/>
        </w:rPr>
        <w:t>clinician</w:t>
      </w:r>
      <w:r>
        <w:rPr>
          <w:rFonts w:asciiTheme="minorHAnsi" w:hAnsiTheme="minorHAnsi" w:cstheme="minorHAnsi"/>
        </w:rPr>
        <w:t xml:space="preserve"> should first</w:t>
      </w:r>
      <w:r w:rsidR="00566609">
        <w:rPr>
          <w:rFonts w:asciiTheme="minorHAnsi" w:hAnsiTheme="minorHAnsi" w:cstheme="minorHAnsi"/>
        </w:rPr>
        <w:t xml:space="preserve"> evaluate any barriers towards self-administration including cognitive issues or physical disability, such as conditions affecting manual dexterity.</w:t>
      </w:r>
    </w:p>
    <w:p w14:paraId="3107A5D4" w14:textId="29D16B64" w:rsidR="00566609" w:rsidRPr="00566609" w:rsidRDefault="00566609" w:rsidP="00566609">
      <w:pPr>
        <w:pStyle w:val="ListParagraph"/>
        <w:numPr>
          <w:ilvl w:val="1"/>
          <w:numId w:val="1"/>
        </w:numPr>
        <w:spacing w:line="360" w:lineRule="auto"/>
      </w:pPr>
      <w:r>
        <w:rPr>
          <w:rFonts w:asciiTheme="minorHAnsi" w:hAnsiTheme="minorHAnsi" w:cstheme="minorHAnsi"/>
        </w:rPr>
        <w:t>If these are felt to be a barrier to self-administration, the clinician should make alternative arrangements for administration such as family support or district nurses</w:t>
      </w:r>
    </w:p>
    <w:p w14:paraId="692A88BA" w14:textId="6CE8F03D" w:rsidR="004A63C1" w:rsidRPr="004A63C1" w:rsidRDefault="00566609" w:rsidP="007237E2">
      <w:pPr>
        <w:pStyle w:val="ListParagraph"/>
        <w:numPr>
          <w:ilvl w:val="0"/>
          <w:numId w:val="1"/>
        </w:numPr>
        <w:spacing w:line="360" w:lineRule="auto"/>
      </w:pPr>
      <w:r>
        <w:rPr>
          <w:rFonts w:asciiTheme="minorHAnsi" w:hAnsiTheme="minorHAnsi" w:cstheme="minorHAnsi"/>
        </w:rPr>
        <w:lastRenderedPageBreak/>
        <w:t xml:space="preserve">The clinician should </w:t>
      </w:r>
      <w:r w:rsidR="004A63C1">
        <w:rPr>
          <w:rFonts w:asciiTheme="minorHAnsi" w:hAnsiTheme="minorHAnsi" w:cstheme="minorHAnsi"/>
        </w:rPr>
        <w:t>ensure that the patient understands that the purpose of the teaching is to allow the patient to self-administer, and the patient is happy to be shown how to administer</w:t>
      </w:r>
    </w:p>
    <w:p w14:paraId="6E62E1DF" w14:textId="0ABD396D" w:rsidR="004A63C1" w:rsidRPr="004A63C1" w:rsidRDefault="004A63C1" w:rsidP="007237E2">
      <w:pPr>
        <w:pStyle w:val="ListParagraph"/>
        <w:numPr>
          <w:ilvl w:val="0"/>
          <w:numId w:val="1"/>
        </w:numPr>
        <w:spacing w:line="360" w:lineRule="auto"/>
      </w:pPr>
      <w:r>
        <w:rPr>
          <w:rFonts w:asciiTheme="minorHAnsi" w:hAnsiTheme="minorHAnsi" w:cstheme="minorHAnsi"/>
        </w:rPr>
        <w:t xml:space="preserve">The </w:t>
      </w:r>
      <w:r w:rsidR="00566609">
        <w:rPr>
          <w:rFonts w:asciiTheme="minorHAnsi" w:hAnsiTheme="minorHAnsi" w:cstheme="minorHAnsi"/>
        </w:rPr>
        <w:t xml:space="preserve">clinician </w:t>
      </w:r>
      <w:r>
        <w:rPr>
          <w:rFonts w:asciiTheme="minorHAnsi" w:hAnsiTheme="minorHAnsi" w:cstheme="minorHAnsi"/>
        </w:rPr>
        <w:t>should ascertain if the patient has received any therapeutic anticoagulants in the past 24 hours</w:t>
      </w:r>
    </w:p>
    <w:p w14:paraId="0B87216C" w14:textId="5A19D572" w:rsidR="004A63C1" w:rsidRDefault="004A63C1" w:rsidP="004A63C1">
      <w:pPr>
        <w:pStyle w:val="ListParagraph"/>
        <w:spacing w:line="360" w:lineRule="auto"/>
      </w:pPr>
    </w:p>
    <w:p w14:paraId="2C1E4C82" w14:textId="0A9FCB94" w:rsidR="004A63C1" w:rsidRPr="004A63C1" w:rsidRDefault="004A63C1" w:rsidP="004A63C1">
      <w:pPr>
        <w:pStyle w:val="ListParagraph"/>
        <w:spacing w:line="360" w:lineRule="auto"/>
        <w:rPr>
          <w:i/>
        </w:rPr>
      </w:pPr>
      <w:r>
        <w:rPr>
          <w:i/>
        </w:rPr>
        <w:t xml:space="preserve">For patients who have not received therapeutic anticoagulants in the past 24 hours </w:t>
      </w:r>
    </w:p>
    <w:p w14:paraId="26FA8FDC" w14:textId="17F588C4" w:rsidR="004A63C1" w:rsidRPr="004A63C1" w:rsidRDefault="004A63C1" w:rsidP="007237E2">
      <w:pPr>
        <w:pStyle w:val="ListParagraph"/>
        <w:numPr>
          <w:ilvl w:val="0"/>
          <w:numId w:val="1"/>
        </w:numPr>
        <w:spacing w:line="360" w:lineRule="auto"/>
      </w:pPr>
      <w:r>
        <w:rPr>
          <w:rFonts w:asciiTheme="minorHAnsi" w:hAnsiTheme="minorHAnsi" w:cstheme="minorHAnsi"/>
        </w:rPr>
        <w:t>The concept of self-injection should be explained to the patient, explaining that the products are subcutaneous injections and as such do not require administration into a specific vein</w:t>
      </w:r>
    </w:p>
    <w:p w14:paraId="0BC8DA76" w14:textId="5CB2D71E" w:rsidR="004A63C1" w:rsidRDefault="004A63C1" w:rsidP="007237E2">
      <w:pPr>
        <w:pStyle w:val="ListParagraph"/>
        <w:numPr>
          <w:ilvl w:val="0"/>
          <w:numId w:val="1"/>
        </w:numPr>
        <w:spacing w:line="360" w:lineRule="auto"/>
      </w:pPr>
      <w:r>
        <w:t>The pharmacist should explain to the patient the primary sites for administering the drug including the abdomen or outer thigs</w:t>
      </w:r>
    </w:p>
    <w:p w14:paraId="53F37935" w14:textId="259C655B" w:rsidR="004A63C1" w:rsidRDefault="004A63C1" w:rsidP="007237E2">
      <w:pPr>
        <w:pStyle w:val="ListParagraph"/>
        <w:numPr>
          <w:ilvl w:val="0"/>
          <w:numId w:val="1"/>
        </w:numPr>
        <w:spacing w:line="360" w:lineRule="auto"/>
      </w:pPr>
      <w:r>
        <w:t>The patients should be advised to avoid the bally button or scar tissue</w:t>
      </w:r>
    </w:p>
    <w:p w14:paraId="34E85EF9" w14:textId="56800274" w:rsidR="004A63C1" w:rsidRDefault="004A63C1" w:rsidP="007237E2">
      <w:pPr>
        <w:pStyle w:val="ListParagraph"/>
        <w:numPr>
          <w:ilvl w:val="0"/>
          <w:numId w:val="1"/>
        </w:numPr>
        <w:spacing w:line="360" w:lineRule="auto"/>
      </w:pPr>
      <w:r>
        <w:t>The administration technique should be verbally explained to the patient, including the need to pinch an area of skin, and inject at a 90 degree angle slowly over a minimum of ten seconds</w:t>
      </w:r>
    </w:p>
    <w:p w14:paraId="07EB0079" w14:textId="4BCB111C" w:rsidR="004A63C1" w:rsidRDefault="004A63C1" w:rsidP="007237E2">
      <w:pPr>
        <w:pStyle w:val="ListParagraph"/>
        <w:numPr>
          <w:ilvl w:val="0"/>
          <w:numId w:val="1"/>
        </w:numPr>
        <w:spacing w:line="360" w:lineRule="auto"/>
      </w:pPr>
      <w:r>
        <w:t>The patient should then be made aware of the common side effects of the drug including injection site reactions, minor bleeding, bruising, and minor haematomas</w:t>
      </w:r>
    </w:p>
    <w:p w14:paraId="485C2A06" w14:textId="6BF73C4D" w:rsidR="004A63C1" w:rsidRDefault="004A63C1" w:rsidP="007237E2">
      <w:pPr>
        <w:pStyle w:val="ListParagraph"/>
        <w:numPr>
          <w:ilvl w:val="0"/>
          <w:numId w:val="1"/>
        </w:numPr>
        <w:spacing w:line="360" w:lineRule="auto"/>
      </w:pPr>
      <w:r>
        <w:t>The patient should be advised to be vigilant for signs of more significant bleeding and advise given on how to report</w:t>
      </w:r>
    </w:p>
    <w:p w14:paraId="06D13C41" w14:textId="79343ABB" w:rsidR="004A63C1" w:rsidRDefault="00566609" w:rsidP="007237E2">
      <w:pPr>
        <w:pStyle w:val="ListParagraph"/>
        <w:numPr>
          <w:ilvl w:val="0"/>
          <w:numId w:val="1"/>
        </w:numPr>
        <w:spacing w:line="360" w:lineRule="auto"/>
      </w:pPr>
      <w:r>
        <w:t>The patient should be shown an actual or dummy LMWH syringe</w:t>
      </w:r>
    </w:p>
    <w:p w14:paraId="63BE0673" w14:textId="417D453D" w:rsidR="00566609" w:rsidRDefault="00566609" w:rsidP="00566609">
      <w:pPr>
        <w:pStyle w:val="ListParagraph"/>
        <w:numPr>
          <w:ilvl w:val="1"/>
          <w:numId w:val="1"/>
        </w:numPr>
        <w:spacing w:line="360" w:lineRule="auto"/>
      </w:pPr>
      <w:r>
        <w:t>The patient should be shown how to remove the safety cap</w:t>
      </w:r>
    </w:p>
    <w:p w14:paraId="7DD61571" w14:textId="4FACEFC4" w:rsidR="00566609" w:rsidRDefault="00566609" w:rsidP="00566609">
      <w:pPr>
        <w:pStyle w:val="ListParagraph"/>
        <w:numPr>
          <w:ilvl w:val="1"/>
          <w:numId w:val="1"/>
        </w:numPr>
        <w:spacing w:line="360" w:lineRule="auto"/>
      </w:pPr>
      <w:r>
        <w:t>The patient should be shown how to deactivate the sharps guard</w:t>
      </w:r>
    </w:p>
    <w:p w14:paraId="38770885" w14:textId="160C830A" w:rsidR="00566609" w:rsidRDefault="00566609" w:rsidP="00566609">
      <w:pPr>
        <w:pStyle w:val="ListParagraph"/>
        <w:numPr>
          <w:ilvl w:val="1"/>
          <w:numId w:val="1"/>
        </w:numPr>
        <w:spacing w:line="360" w:lineRule="auto"/>
      </w:pPr>
      <w:r>
        <w:t>The patient should be shown how to measure out their required dose (if required)</w:t>
      </w:r>
    </w:p>
    <w:p w14:paraId="790BC4DC" w14:textId="04251990" w:rsidR="00566609" w:rsidRDefault="00566609" w:rsidP="00566609">
      <w:pPr>
        <w:pStyle w:val="ListParagraph"/>
        <w:numPr>
          <w:ilvl w:val="0"/>
          <w:numId w:val="1"/>
        </w:numPr>
        <w:spacing w:line="360" w:lineRule="auto"/>
      </w:pPr>
      <w:r>
        <w:t>The patient should then be given the opportunity to practice injecting using the syringe and a dummy administration device</w:t>
      </w:r>
    </w:p>
    <w:p w14:paraId="1E525632" w14:textId="1850CD83" w:rsidR="00566609" w:rsidRDefault="00566609" w:rsidP="00566609">
      <w:pPr>
        <w:pStyle w:val="ListParagraph"/>
        <w:numPr>
          <w:ilvl w:val="1"/>
          <w:numId w:val="1"/>
        </w:numPr>
        <w:spacing w:line="360" w:lineRule="auto"/>
      </w:pPr>
      <w:r>
        <w:t>The patient should be guided through the process by the clinician</w:t>
      </w:r>
    </w:p>
    <w:p w14:paraId="6EE8D5EE" w14:textId="7910E8A2" w:rsidR="00566609" w:rsidRDefault="00566609" w:rsidP="00566609">
      <w:pPr>
        <w:pStyle w:val="ListParagraph"/>
        <w:numPr>
          <w:ilvl w:val="1"/>
          <w:numId w:val="1"/>
        </w:numPr>
        <w:spacing w:line="360" w:lineRule="auto"/>
      </w:pPr>
      <w:r>
        <w:t>The clinician should make a judgement on the individual ability to self-inject</w:t>
      </w:r>
    </w:p>
    <w:p w14:paraId="18B9883D" w14:textId="4FAFF656" w:rsidR="00566609" w:rsidRDefault="00566609" w:rsidP="00566609">
      <w:pPr>
        <w:pStyle w:val="ListParagraph"/>
        <w:numPr>
          <w:ilvl w:val="0"/>
          <w:numId w:val="1"/>
        </w:numPr>
        <w:spacing w:line="360" w:lineRule="auto"/>
      </w:pPr>
      <w:r>
        <w:t>The clinician should advise on the safe destruction of the syringe post use</w:t>
      </w:r>
    </w:p>
    <w:p w14:paraId="71B40CED" w14:textId="30501CF3" w:rsidR="00566609" w:rsidRDefault="00566609" w:rsidP="00566609">
      <w:pPr>
        <w:pStyle w:val="ListParagraph"/>
        <w:numPr>
          <w:ilvl w:val="1"/>
          <w:numId w:val="1"/>
        </w:numPr>
        <w:spacing w:line="360" w:lineRule="auto"/>
      </w:pPr>
      <w:r>
        <w:t>The clinician should explain the use of the needle guard device</w:t>
      </w:r>
    </w:p>
    <w:p w14:paraId="3B82B3CC" w14:textId="18D79CF6" w:rsidR="00566609" w:rsidRDefault="00566609" w:rsidP="00566609">
      <w:pPr>
        <w:pStyle w:val="ListParagraph"/>
        <w:numPr>
          <w:ilvl w:val="1"/>
          <w:numId w:val="1"/>
        </w:numPr>
        <w:spacing w:line="360" w:lineRule="auto"/>
      </w:pPr>
      <w:r>
        <w:t>The clinician should explain that a yellow sharps box will be supplied with the medication</w:t>
      </w:r>
    </w:p>
    <w:p w14:paraId="22AD5A5E" w14:textId="36B40C67" w:rsidR="00566609" w:rsidRDefault="00566609" w:rsidP="00566609">
      <w:pPr>
        <w:pStyle w:val="ListParagraph"/>
        <w:numPr>
          <w:ilvl w:val="0"/>
          <w:numId w:val="1"/>
        </w:numPr>
        <w:spacing w:line="360" w:lineRule="auto"/>
      </w:pPr>
      <w:r>
        <w:t>If the clinician feels confident in the patients ability they should then be offered the opportunity to self-inject under direct supervision</w:t>
      </w:r>
    </w:p>
    <w:p w14:paraId="14AE2480" w14:textId="224A8396" w:rsidR="00566609" w:rsidRDefault="00566609" w:rsidP="00566609">
      <w:pPr>
        <w:pStyle w:val="ListParagraph"/>
        <w:numPr>
          <w:ilvl w:val="1"/>
          <w:numId w:val="1"/>
        </w:numPr>
        <w:spacing w:line="360" w:lineRule="auto"/>
      </w:pPr>
      <w:r>
        <w:lastRenderedPageBreak/>
        <w:t>If the patient feels that they would prefer further support, then the clinician may administer the drug with further explanation for the patient</w:t>
      </w:r>
    </w:p>
    <w:p w14:paraId="1FA6E6C3" w14:textId="645CA48F" w:rsidR="00566609" w:rsidRDefault="00566609" w:rsidP="00566609">
      <w:pPr>
        <w:pStyle w:val="ListParagraph"/>
        <w:numPr>
          <w:ilvl w:val="1"/>
          <w:numId w:val="1"/>
        </w:numPr>
        <w:spacing w:line="360" w:lineRule="auto"/>
      </w:pPr>
      <w:r>
        <w:t>The clinician should use this opportunity to ensure that the patient is confident and competent to self-inject</w:t>
      </w:r>
    </w:p>
    <w:p w14:paraId="5121F32A" w14:textId="7DBDBBC7" w:rsidR="00566609" w:rsidRDefault="00566609" w:rsidP="00566609">
      <w:pPr>
        <w:pStyle w:val="ListParagraph"/>
        <w:numPr>
          <w:ilvl w:val="0"/>
          <w:numId w:val="1"/>
        </w:numPr>
        <w:spacing w:line="360" w:lineRule="auto"/>
      </w:pPr>
      <w:r>
        <w:t>The clinician should confirm with the patient that they feel confident and competent to self-inject</w:t>
      </w:r>
    </w:p>
    <w:p w14:paraId="5BA9755D" w14:textId="584EBD42" w:rsidR="00566609" w:rsidRDefault="00566609" w:rsidP="00566609">
      <w:pPr>
        <w:pStyle w:val="ListParagraph"/>
        <w:numPr>
          <w:ilvl w:val="1"/>
          <w:numId w:val="1"/>
        </w:numPr>
        <w:spacing w:line="360" w:lineRule="auto"/>
      </w:pPr>
      <w:r>
        <w:t xml:space="preserve">If they do not then the clinician should consider alternative methods of administration such as family member support or district nurses </w:t>
      </w:r>
    </w:p>
    <w:p w14:paraId="5FBF7786" w14:textId="69AFB67B" w:rsidR="00566609" w:rsidRDefault="00566609" w:rsidP="00566609">
      <w:pPr>
        <w:pStyle w:val="ListParagraph"/>
        <w:numPr>
          <w:ilvl w:val="0"/>
          <w:numId w:val="1"/>
        </w:numPr>
        <w:spacing w:line="360" w:lineRule="auto"/>
      </w:pPr>
      <w:r>
        <w:t>For patients who proceed to self-administer the patient should be advised on the timing of their next dose</w:t>
      </w:r>
    </w:p>
    <w:p w14:paraId="541FBC4C" w14:textId="651ADFE4" w:rsidR="00566609" w:rsidRDefault="00566609" w:rsidP="00566609">
      <w:pPr>
        <w:pStyle w:val="ListParagraph"/>
        <w:numPr>
          <w:ilvl w:val="0"/>
          <w:numId w:val="1"/>
        </w:numPr>
        <w:spacing w:line="360" w:lineRule="auto"/>
      </w:pPr>
      <w:r>
        <w:t>The patient should be given safety net advice to re-attend in the event that they are unsure on the process to self-administer and should be given contact details for the service</w:t>
      </w:r>
    </w:p>
    <w:p w14:paraId="2F7248D5" w14:textId="77777777" w:rsidR="006816E8" w:rsidRDefault="006816E8" w:rsidP="006816E8">
      <w:pPr>
        <w:spacing w:line="360" w:lineRule="auto"/>
        <w:ind w:left="360"/>
        <w:rPr>
          <w:i/>
        </w:rPr>
      </w:pPr>
    </w:p>
    <w:p w14:paraId="629AD774" w14:textId="658B636D" w:rsidR="006816E8" w:rsidRPr="006816E8" w:rsidRDefault="006816E8" w:rsidP="006816E8">
      <w:pPr>
        <w:spacing w:line="360" w:lineRule="auto"/>
        <w:ind w:left="360"/>
        <w:rPr>
          <w:i/>
        </w:rPr>
      </w:pPr>
      <w:r w:rsidRPr="006816E8">
        <w:rPr>
          <w:i/>
        </w:rPr>
        <w:t xml:space="preserve">For patients who have not received therapeutic anticoagulants in the past 24 hours </w:t>
      </w:r>
    </w:p>
    <w:p w14:paraId="530C16F4" w14:textId="031FC4BE" w:rsidR="006816E8" w:rsidRDefault="006816E8" w:rsidP="006816E8">
      <w:pPr>
        <w:pStyle w:val="ListParagraph"/>
        <w:numPr>
          <w:ilvl w:val="0"/>
          <w:numId w:val="1"/>
        </w:numPr>
        <w:spacing w:line="360" w:lineRule="auto"/>
      </w:pPr>
      <w:r>
        <w:t xml:space="preserve">The above process should be followed with the exception of the patient administration </w:t>
      </w:r>
    </w:p>
    <w:p w14:paraId="74CB4D04" w14:textId="4F9AA59C" w:rsidR="006816E8" w:rsidRDefault="006816E8" w:rsidP="006816E8">
      <w:pPr>
        <w:pStyle w:val="ListParagraph"/>
        <w:numPr>
          <w:ilvl w:val="0"/>
          <w:numId w:val="1"/>
        </w:numPr>
        <w:spacing w:line="360" w:lineRule="auto"/>
      </w:pPr>
      <w:r>
        <w:t>Instead the clinician should rely on the dummy administration to assess</w:t>
      </w:r>
    </w:p>
    <w:p w14:paraId="572FA927" w14:textId="76A0F834" w:rsidR="006816E8" w:rsidRDefault="006816E8" w:rsidP="006816E8">
      <w:pPr>
        <w:pStyle w:val="ListParagraph"/>
        <w:numPr>
          <w:ilvl w:val="0"/>
          <w:numId w:val="1"/>
        </w:numPr>
        <w:spacing w:line="360" w:lineRule="auto"/>
      </w:pPr>
      <w:r>
        <w:t xml:space="preserve">If the clinician is not satisfied with the patients ability based upon this exercise, then the patient should be advised to attend the next day to administer an therapeutic dose to themselves under supervision. </w:t>
      </w:r>
    </w:p>
    <w:sectPr w:rsidR="006816E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B8716" w14:textId="77777777" w:rsidR="006F3C2A" w:rsidRDefault="006F3C2A" w:rsidP="006F3C2A">
      <w:pPr>
        <w:spacing w:after="0" w:line="240" w:lineRule="auto"/>
      </w:pPr>
      <w:r>
        <w:separator/>
      </w:r>
    </w:p>
  </w:endnote>
  <w:endnote w:type="continuationSeparator" w:id="0">
    <w:p w14:paraId="0AB6AB4E" w14:textId="77777777" w:rsidR="006F3C2A" w:rsidRDefault="006F3C2A" w:rsidP="006F3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10E6B" w14:textId="166D1053" w:rsidR="006F3C2A" w:rsidRDefault="00F650F5" w:rsidP="006F3C2A">
    <w:pPr>
      <w:pStyle w:val="Footer"/>
    </w:pPr>
    <w:r>
      <w:t>Produced: June 2022. Reviewed June 2024                Next Review: June 2026</w:t>
    </w:r>
  </w:p>
  <w:p w14:paraId="017C92EF" w14:textId="77777777" w:rsidR="006F3C2A" w:rsidRDefault="006F3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A591" w14:textId="77777777" w:rsidR="006F3C2A" w:rsidRDefault="006F3C2A" w:rsidP="006F3C2A">
      <w:pPr>
        <w:spacing w:after="0" w:line="240" w:lineRule="auto"/>
      </w:pPr>
      <w:r>
        <w:separator/>
      </w:r>
    </w:p>
  </w:footnote>
  <w:footnote w:type="continuationSeparator" w:id="0">
    <w:p w14:paraId="2E507C1F" w14:textId="77777777" w:rsidR="006F3C2A" w:rsidRDefault="006F3C2A" w:rsidP="006F3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413E" w14:textId="01DD82E2" w:rsidR="006F3C2A" w:rsidRDefault="006F3C2A" w:rsidP="006F3C2A">
    <w:pPr>
      <w:pStyle w:val="Header"/>
    </w:pPr>
    <w:r>
      <w:rPr>
        <w:b/>
      </w:rPr>
      <w:t xml:space="preserve">Pharmacy Led VTE Service: </w:t>
    </w:r>
    <w:r>
      <w:t>SOP_VTE108_Approach to counselling on LMWH in the clinic setting</w:t>
    </w:r>
  </w:p>
  <w:p w14:paraId="51623645" w14:textId="77777777" w:rsidR="006F3C2A" w:rsidRDefault="006F3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5C88"/>
    <w:multiLevelType w:val="hybridMultilevel"/>
    <w:tmpl w:val="17F42BB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5146514"/>
    <w:multiLevelType w:val="hybridMultilevel"/>
    <w:tmpl w:val="17F43C8E"/>
    <w:lvl w:ilvl="0" w:tplc="15C0C938">
      <w:numFmt w:val="bullet"/>
      <w:lvlText w:val="-"/>
      <w:lvlJc w:val="left"/>
      <w:pPr>
        <w:ind w:left="720" w:hanging="360"/>
      </w:pPr>
      <w:rPr>
        <w:rFonts w:ascii="Times New Roman" w:eastAsia="Calibri"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B41D95"/>
    <w:multiLevelType w:val="hybridMultilevel"/>
    <w:tmpl w:val="D1240EA0"/>
    <w:lvl w:ilvl="0" w:tplc="F404E8D4">
      <w:start w:val="2"/>
      <w:numFmt w:val="bullet"/>
      <w:lvlText w:val="-"/>
      <w:lvlJc w:val="left"/>
      <w:pPr>
        <w:ind w:left="720" w:hanging="360"/>
      </w:pPr>
      <w:rPr>
        <w:rFonts w:ascii="Calibri" w:eastAsia="Calibr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0A63F2"/>
    <w:multiLevelType w:val="hybridMultilevel"/>
    <w:tmpl w:val="2A1CDE94"/>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2142729468">
    <w:abstractNumId w:val="1"/>
  </w:num>
  <w:num w:numId="2" w16cid:durableId="857354327">
    <w:abstractNumId w:val="3"/>
  </w:num>
  <w:num w:numId="3" w16cid:durableId="1493138961">
    <w:abstractNumId w:val="0"/>
  </w:num>
  <w:num w:numId="4" w16cid:durableId="1849253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26F"/>
    <w:rsid w:val="00002A7F"/>
    <w:rsid w:val="0004458B"/>
    <w:rsid w:val="0005437B"/>
    <w:rsid w:val="00056A44"/>
    <w:rsid w:val="000732E0"/>
    <w:rsid w:val="00073CD5"/>
    <w:rsid w:val="00074B8A"/>
    <w:rsid w:val="000C65E9"/>
    <w:rsid w:val="000C764C"/>
    <w:rsid w:val="000E032B"/>
    <w:rsid w:val="000E27F7"/>
    <w:rsid w:val="000E47F8"/>
    <w:rsid w:val="00132BA5"/>
    <w:rsid w:val="00133D8A"/>
    <w:rsid w:val="001454B7"/>
    <w:rsid w:val="00165C6C"/>
    <w:rsid w:val="0017474B"/>
    <w:rsid w:val="0019157F"/>
    <w:rsid w:val="00193338"/>
    <w:rsid w:val="001A0F81"/>
    <w:rsid w:val="001D7A6A"/>
    <w:rsid w:val="001F127E"/>
    <w:rsid w:val="00202DE3"/>
    <w:rsid w:val="00243C42"/>
    <w:rsid w:val="002623AB"/>
    <w:rsid w:val="00286310"/>
    <w:rsid w:val="002E3670"/>
    <w:rsid w:val="003153F6"/>
    <w:rsid w:val="00322298"/>
    <w:rsid w:val="0032742C"/>
    <w:rsid w:val="0033133B"/>
    <w:rsid w:val="00342638"/>
    <w:rsid w:val="00351643"/>
    <w:rsid w:val="00354073"/>
    <w:rsid w:val="00357F9F"/>
    <w:rsid w:val="003830DD"/>
    <w:rsid w:val="003978E3"/>
    <w:rsid w:val="003A21F2"/>
    <w:rsid w:val="003B0FAA"/>
    <w:rsid w:val="003C4E31"/>
    <w:rsid w:val="003F251A"/>
    <w:rsid w:val="00402B2F"/>
    <w:rsid w:val="00417047"/>
    <w:rsid w:val="004A63C1"/>
    <w:rsid w:val="004D6BC3"/>
    <w:rsid w:val="0050033E"/>
    <w:rsid w:val="00510BA2"/>
    <w:rsid w:val="00517225"/>
    <w:rsid w:val="005215C4"/>
    <w:rsid w:val="00524406"/>
    <w:rsid w:val="005664A5"/>
    <w:rsid w:val="00566609"/>
    <w:rsid w:val="00571D47"/>
    <w:rsid w:val="00581A50"/>
    <w:rsid w:val="00597188"/>
    <w:rsid w:val="005F295E"/>
    <w:rsid w:val="005F6289"/>
    <w:rsid w:val="00615B4B"/>
    <w:rsid w:val="00625A52"/>
    <w:rsid w:val="0067526D"/>
    <w:rsid w:val="006816E8"/>
    <w:rsid w:val="006A649F"/>
    <w:rsid w:val="006E42F8"/>
    <w:rsid w:val="006E62F4"/>
    <w:rsid w:val="006E796A"/>
    <w:rsid w:val="006F3C2A"/>
    <w:rsid w:val="00715339"/>
    <w:rsid w:val="007237E2"/>
    <w:rsid w:val="00730278"/>
    <w:rsid w:val="007427A9"/>
    <w:rsid w:val="00761A90"/>
    <w:rsid w:val="007622F5"/>
    <w:rsid w:val="00762A8E"/>
    <w:rsid w:val="00780D76"/>
    <w:rsid w:val="00784E4B"/>
    <w:rsid w:val="007B57C1"/>
    <w:rsid w:val="007B6B4E"/>
    <w:rsid w:val="007E3648"/>
    <w:rsid w:val="007E625B"/>
    <w:rsid w:val="008061C4"/>
    <w:rsid w:val="00815177"/>
    <w:rsid w:val="00826728"/>
    <w:rsid w:val="008316A9"/>
    <w:rsid w:val="0085287A"/>
    <w:rsid w:val="00853AA7"/>
    <w:rsid w:val="0089326F"/>
    <w:rsid w:val="008C0CB6"/>
    <w:rsid w:val="008D0E61"/>
    <w:rsid w:val="008D4FB8"/>
    <w:rsid w:val="008D7DE7"/>
    <w:rsid w:val="008F0C6E"/>
    <w:rsid w:val="008F7A61"/>
    <w:rsid w:val="00933626"/>
    <w:rsid w:val="00942AE6"/>
    <w:rsid w:val="009764DB"/>
    <w:rsid w:val="009C5D06"/>
    <w:rsid w:val="009D008E"/>
    <w:rsid w:val="009E0306"/>
    <w:rsid w:val="00A00AAD"/>
    <w:rsid w:val="00A042BD"/>
    <w:rsid w:val="00A06BA6"/>
    <w:rsid w:val="00A87F88"/>
    <w:rsid w:val="00A95701"/>
    <w:rsid w:val="00A95E46"/>
    <w:rsid w:val="00AA2578"/>
    <w:rsid w:val="00AD59DF"/>
    <w:rsid w:val="00B210BA"/>
    <w:rsid w:val="00B2121D"/>
    <w:rsid w:val="00B511E9"/>
    <w:rsid w:val="00B51263"/>
    <w:rsid w:val="00B63BE4"/>
    <w:rsid w:val="00B85CAB"/>
    <w:rsid w:val="00BB62C7"/>
    <w:rsid w:val="00BC3572"/>
    <w:rsid w:val="00BE3649"/>
    <w:rsid w:val="00BE3E49"/>
    <w:rsid w:val="00BF71E3"/>
    <w:rsid w:val="00C00E86"/>
    <w:rsid w:val="00C1050E"/>
    <w:rsid w:val="00C14E28"/>
    <w:rsid w:val="00C3209F"/>
    <w:rsid w:val="00C3564A"/>
    <w:rsid w:val="00C4449F"/>
    <w:rsid w:val="00C61D96"/>
    <w:rsid w:val="00C917C8"/>
    <w:rsid w:val="00C952BB"/>
    <w:rsid w:val="00CD3240"/>
    <w:rsid w:val="00CD5F92"/>
    <w:rsid w:val="00CF1EAE"/>
    <w:rsid w:val="00D04E3C"/>
    <w:rsid w:val="00D26CF4"/>
    <w:rsid w:val="00D36851"/>
    <w:rsid w:val="00D479CC"/>
    <w:rsid w:val="00D63B7D"/>
    <w:rsid w:val="00D73EE8"/>
    <w:rsid w:val="00D75EE5"/>
    <w:rsid w:val="00DA1A5D"/>
    <w:rsid w:val="00DC39E6"/>
    <w:rsid w:val="00DC4DDD"/>
    <w:rsid w:val="00DC7931"/>
    <w:rsid w:val="00DD4191"/>
    <w:rsid w:val="00DF3A49"/>
    <w:rsid w:val="00DF61A7"/>
    <w:rsid w:val="00E10973"/>
    <w:rsid w:val="00E3537F"/>
    <w:rsid w:val="00E41E20"/>
    <w:rsid w:val="00E43C89"/>
    <w:rsid w:val="00E555A9"/>
    <w:rsid w:val="00E837EC"/>
    <w:rsid w:val="00EA1029"/>
    <w:rsid w:val="00EA3BD4"/>
    <w:rsid w:val="00EC2C76"/>
    <w:rsid w:val="00EC5A73"/>
    <w:rsid w:val="00F12A7B"/>
    <w:rsid w:val="00F1457D"/>
    <w:rsid w:val="00F44B5D"/>
    <w:rsid w:val="00F44B79"/>
    <w:rsid w:val="00F5583B"/>
    <w:rsid w:val="00F650F5"/>
    <w:rsid w:val="00F75D12"/>
    <w:rsid w:val="00F76FED"/>
    <w:rsid w:val="00F93640"/>
    <w:rsid w:val="00FC0228"/>
    <w:rsid w:val="00FE5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0C0F"/>
  <w15:chartTrackingRefBased/>
  <w15:docId w15:val="{9A50A8A3-CF8B-4488-B670-A90BDF35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E3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932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4E3C"/>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26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04E3C"/>
    <w:rPr>
      <w:rFonts w:ascii="Cambria" w:eastAsia="Times New Roman" w:hAnsi="Cambria" w:cs="Times New Roman"/>
      <w:b/>
      <w:bCs/>
      <w:color w:val="4F81BD"/>
      <w:sz w:val="26"/>
      <w:szCs w:val="26"/>
    </w:rPr>
  </w:style>
  <w:style w:type="paragraph" w:customStyle="1" w:styleId="Default">
    <w:name w:val="Default"/>
    <w:rsid w:val="00D04E3C"/>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99"/>
    <w:qFormat/>
    <w:rsid w:val="00D04E3C"/>
    <w:pPr>
      <w:ind w:left="720"/>
      <w:contextualSpacing/>
    </w:pPr>
  </w:style>
  <w:style w:type="character" w:styleId="Hyperlink">
    <w:name w:val="Hyperlink"/>
    <w:basedOn w:val="DefaultParagraphFont"/>
    <w:uiPriority w:val="99"/>
    <w:unhideWhenUsed/>
    <w:rsid w:val="001F127E"/>
    <w:rPr>
      <w:color w:val="0563C1" w:themeColor="hyperlink"/>
      <w:u w:val="single"/>
    </w:rPr>
  </w:style>
  <w:style w:type="table" w:styleId="TableGrid">
    <w:name w:val="Table Grid"/>
    <w:basedOn w:val="TableNormal"/>
    <w:uiPriority w:val="39"/>
    <w:rsid w:val="00D26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C2A"/>
    <w:rPr>
      <w:rFonts w:ascii="Calibri" w:eastAsia="Calibri" w:hAnsi="Calibri" w:cs="Times New Roman"/>
    </w:rPr>
  </w:style>
  <w:style w:type="paragraph" w:styleId="Footer">
    <w:name w:val="footer"/>
    <w:basedOn w:val="Normal"/>
    <w:link w:val="FooterChar"/>
    <w:uiPriority w:val="99"/>
    <w:unhideWhenUsed/>
    <w:rsid w:val="006F3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C2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2FA9E-B771-4791-90E1-1EE22B3A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Power (Swansea Bay UHB - AGPU)</dc:creator>
  <cp:keywords/>
  <dc:description/>
  <cp:lastModifiedBy>Katharine Thau (Swansea Bay UHB - Corporate Services)</cp:lastModifiedBy>
  <cp:revision>10</cp:revision>
  <dcterms:created xsi:type="dcterms:W3CDTF">2022-08-03T12:25:00Z</dcterms:created>
  <dcterms:modified xsi:type="dcterms:W3CDTF">2026-02-17T13:09:00Z</dcterms:modified>
</cp:coreProperties>
</file>