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0035E9" w:rsidRDefault="00A10460" w:rsidP="00D62A67">
      <w:pPr>
        <w:spacing w:before="280"/>
        <w:rPr>
          <w:rFonts w:ascii="Verdana" w:hAnsi="Verdana"/>
          <w:sz w:val="22"/>
          <w:szCs w:val="22"/>
        </w:rPr>
      </w:pPr>
      <w:r w:rsidRPr="000035E9">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87E0AF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22FD6">
                              <w:rPr>
                                <w:rFonts w:ascii="Verdana" w:hAnsi="Verdana"/>
                                <w:b/>
                                <w:sz w:val="22"/>
                                <w:szCs w:val="22"/>
                              </w:rPr>
                              <w:t>26-A-027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87E0AF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22FD6">
                        <w:rPr>
                          <w:rFonts w:ascii="Verdana" w:hAnsi="Verdana"/>
                          <w:b/>
                          <w:sz w:val="22"/>
                          <w:szCs w:val="22"/>
                        </w:rPr>
                        <w:t>26-A-027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0035E9" w:rsidRDefault="00DC7FA9" w:rsidP="00D62A67">
      <w:pPr>
        <w:spacing w:before="280"/>
        <w:rPr>
          <w:rFonts w:ascii="Verdana" w:hAnsi="Verdana"/>
          <w:sz w:val="22"/>
          <w:szCs w:val="22"/>
        </w:rPr>
      </w:pPr>
    </w:p>
    <w:p w14:paraId="635CAE49" w14:textId="6CA3FC80" w:rsidR="00DC0D5A" w:rsidRPr="000035E9" w:rsidRDefault="00A10460" w:rsidP="00DC0D5A">
      <w:pPr>
        <w:spacing w:before="280"/>
        <w:rPr>
          <w:rFonts w:ascii="Verdana" w:hAnsi="Verdana"/>
          <w:b/>
          <w:sz w:val="22"/>
          <w:szCs w:val="22"/>
        </w:rPr>
      </w:pPr>
      <w:r w:rsidRPr="000035E9">
        <w:rPr>
          <w:rFonts w:ascii="Verdana" w:hAnsi="Verdana"/>
          <w:b/>
          <w:sz w:val="22"/>
          <w:szCs w:val="22"/>
        </w:rPr>
        <w:t>You asked:</w:t>
      </w:r>
    </w:p>
    <w:p w14:paraId="05550B70" w14:textId="77777777" w:rsidR="00C22FD6" w:rsidRPr="000035E9" w:rsidRDefault="00C22FD6" w:rsidP="00A80CE6">
      <w:pPr>
        <w:pStyle w:val="ListParagraph"/>
        <w:numPr>
          <w:ilvl w:val="0"/>
          <w:numId w:val="19"/>
        </w:numPr>
        <w:ind w:left="851"/>
        <w:rPr>
          <w:rFonts w:ascii="Verdana" w:hAnsi="Verdana"/>
          <w:b/>
          <w:bCs/>
          <w:noProof/>
          <w:sz w:val="22"/>
          <w:szCs w:val="22"/>
        </w:rPr>
      </w:pPr>
      <w:r w:rsidRPr="000035E9">
        <w:rPr>
          <w:rFonts w:ascii="Verdana" w:hAnsi="Verdana"/>
          <w:b/>
          <w:bCs/>
          <w:noProof/>
          <w:sz w:val="22"/>
          <w:szCs w:val="22"/>
        </w:rPr>
        <w:t>I would like to know from 2015 to 2025, how many in patients on general medical wards required psychiatric input whilst an inpatient on general medicine wards. </w:t>
      </w:r>
    </w:p>
    <w:p w14:paraId="2E1FD921" w14:textId="77777777" w:rsidR="00C22FD6" w:rsidRPr="00A80CE6" w:rsidRDefault="00C22FD6" w:rsidP="00A80CE6">
      <w:pPr>
        <w:ind w:left="851"/>
        <w:rPr>
          <w:rFonts w:ascii="Verdana" w:hAnsi="Verdana"/>
          <w:sz w:val="22"/>
          <w:szCs w:val="22"/>
        </w:rPr>
      </w:pPr>
      <w:r w:rsidRPr="00A80CE6">
        <w:rPr>
          <w:rFonts w:ascii="Verdana" w:hAnsi="Verdana"/>
          <w:sz w:val="22"/>
          <w:szCs w:val="22"/>
        </w:rPr>
        <w:t>The table below provides the number of referrals made to the Psychiatric Liaison Service for assessment of inpatients on general medical wards for the period 2017 to 2025.</w:t>
      </w:r>
    </w:p>
    <w:p w14:paraId="3563DD11" w14:textId="1C1839B0" w:rsidR="00C52879" w:rsidRDefault="00C22FD6" w:rsidP="00A80CE6">
      <w:pPr>
        <w:ind w:left="851"/>
        <w:rPr>
          <w:rFonts w:ascii="Verdana" w:hAnsi="Verdana"/>
          <w:sz w:val="22"/>
          <w:szCs w:val="22"/>
        </w:rPr>
      </w:pPr>
      <w:r w:rsidRPr="000035E9">
        <w:rPr>
          <w:rFonts w:ascii="Verdana" w:hAnsi="Verdana"/>
          <w:i/>
          <w:iCs/>
          <w:sz w:val="22"/>
          <w:szCs w:val="22"/>
        </w:rPr>
        <w:t>Data for the years prior to 2017 is not held electronically.</w:t>
      </w:r>
      <w:r w:rsidRPr="000035E9">
        <w:rPr>
          <w:rFonts w:ascii="Verdana" w:hAnsi="Verdana"/>
          <w:sz w:val="22"/>
          <w:szCs w:val="22"/>
        </w:rPr>
        <w:t xml:space="preserve"> To obtain information for 2015 and 2016 would require a manual review of individual patient case notes which we have estimated would significantly exceed the 18 hours limit set down by the FOI Act as the reasonable limit. </w:t>
      </w:r>
      <w:r w:rsidRPr="000035E9">
        <w:rPr>
          <w:rFonts w:ascii="Verdana" w:hAnsi="Verdana" w:cs="Tahoma"/>
          <w:sz w:val="22"/>
          <w:szCs w:val="22"/>
        </w:rPr>
        <w:t>Section 12 of the FOI Act and T</w:t>
      </w:r>
      <w:r w:rsidRPr="000035E9">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tbl>
      <w:tblPr>
        <w:tblStyle w:val="GridTable4-Accent2"/>
        <w:tblW w:w="9276" w:type="dxa"/>
        <w:jc w:val="center"/>
        <w:tblLayout w:type="fixed"/>
        <w:tblLook w:val="06A0" w:firstRow="1" w:lastRow="0" w:firstColumn="1" w:lastColumn="0" w:noHBand="1" w:noVBand="1"/>
      </w:tblPr>
      <w:tblGrid>
        <w:gridCol w:w="1413"/>
        <w:gridCol w:w="850"/>
        <w:gridCol w:w="993"/>
        <w:gridCol w:w="872"/>
        <w:gridCol w:w="858"/>
        <w:gridCol w:w="858"/>
        <w:gridCol w:w="858"/>
        <w:gridCol w:w="858"/>
        <w:gridCol w:w="858"/>
        <w:gridCol w:w="858"/>
      </w:tblGrid>
      <w:tr w:rsidR="009C5E11" w:rsidRPr="00A80CE6" w14:paraId="53F0462D" w14:textId="77777777" w:rsidTr="00A80CE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Pr>
          <w:p w14:paraId="6A7640D5" w14:textId="43ACB4A6" w:rsidR="009C5E11" w:rsidRPr="00A80CE6" w:rsidRDefault="00A80CE6" w:rsidP="009C5E11">
            <w:pPr>
              <w:pStyle w:val="ListParagraph"/>
              <w:spacing w:before="0" w:after="0"/>
              <w:ind w:left="0" w:right="0"/>
              <w:rPr>
                <w:rFonts w:ascii="Verdana" w:hAnsi="Verdana"/>
                <w:sz w:val="22"/>
                <w:szCs w:val="22"/>
              </w:rPr>
            </w:pPr>
            <w:r w:rsidRPr="00A80CE6">
              <w:rPr>
                <w:rFonts w:ascii="Verdana" w:hAnsi="Verdana"/>
                <w:sz w:val="22"/>
                <w:szCs w:val="22"/>
              </w:rPr>
              <w:t>Hospital</w:t>
            </w:r>
          </w:p>
        </w:tc>
        <w:tc>
          <w:tcPr>
            <w:tcW w:w="850" w:type="dxa"/>
          </w:tcPr>
          <w:p w14:paraId="55A20AE9" w14:textId="3E880F03" w:rsidR="009C5E11" w:rsidRPr="00A80CE6"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A80CE6">
              <w:rPr>
                <w:rFonts w:ascii="Verdana" w:hAnsi="Verdana"/>
                <w:sz w:val="22"/>
                <w:szCs w:val="22"/>
              </w:rPr>
              <w:t>2017</w:t>
            </w:r>
          </w:p>
        </w:tc>
        <w:tc>
          <w:tcPr>
            <w:tcW w:w="993" w:type="dxa"/>
          </w:tcPr>
          <w:p w14:paraId="44897D30" w14:textId="378B2178" w:rsidR="009C5E11" w:rsidRPr="00A80CE6"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A80CE6">
              <w:rPr>
                <w:rFonts w:ascii="Verdana" w:hAnsi="Verdana"/>
                <w:sz w:val="22"/>
                <w:szCs w:val="22"/>
              </w:rPr>
              <w:t>2018</w:t>
            </w:r>
          </w:p>
        </w:tc>
        <w:tc>
          <w:tcPr>
            <w:tcW w:w="872" w:type="dxa"/>
          </w:tcPr>
          <w:p w14:paraId="69946D88" w14:textId="78B48EC5" w:rsidR="009C5E11" w:rsidRPr="00A80CE6"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A80CE6">
              <w:rPr>
                <w:rFonts w:ascii="Verdana" w:hAnsi="Verdana"/>
                <w:sz w:val="22"/>
                <w:szCs w:val="22"/>
              </w:rPr>
              <w:t>2019</w:t>
            </w:r>
          </w:p>
        </w:tc>
        <w:tc>
          <w:tcPr>
            <w:tcW w:w="858" w:type="dxa"/>
          </w:tcPr>
          <w:p w14:paraId="7E3AE51A" w14:textId="28E82EC9" w:rsidR="009C5E11" w:rsidRPr="00A80CE6"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A80CE6">
              <w:rPr>
                <w:rFonts w:ascii="Verdana" w:hAnsi="Verdana"/>
                <w:sz w:val="22"/>
                <w:szCs w:val="22"/>
              </w:rPr>
              <w:t>2020</w:t>
            </w:r>
          </w:p>
        </w:tc>
        <w:tc>
          <w:tcPr>
            <w:tcW w:w="858" w:type="dxa"/>
          </w:tcPr>
          <w:p w14:paraId="34740976" w14:textId="3CB4240E" w:rsidR="009C5E11" w:rsidRPr="00A80CE6"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A80CE6">
              <w:rPr>
                <w:rFonts w:ascii="Verdana" w:hAnsi="Verdana"/>
                <w:sz w:val="22"/>
                <w:szCs w:val="22"/>
              </w:rPr>
              <w:t>2021</w:t>
            </w:r>
          </w:p>
        </w:tc>
        <w:tc>
          <w:tcPr>
            <w:tcW w:w="858" w:type="dxa"/>
          </w:tcPr>
          <w:p w14:paraId="629BC6D0" w14:textId="3ED07459" w:rsidR="009C5E11" w:rsidRPr="00A80CE6"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A80CE6">
              <w:rPr>
                <w:rFonts w:ascii="Verdana" w:hAnsi="Verdana"/>
                <w:sz w:val="22"/>
                <w:szCs w:val="22"/>
              </w:rPr>
              <w:t>2022</w:t>
            </w:r>
          </w:p>
        </w:tc>
        <w:tc>
          <w:tcPr>
            <w:tcW w:w="858" w:type="dxa"/>
          </w:tcPr>
          <w:p w14:paraId="0D26F654" w14:textId="293BB6C4" w:rsidR="009C5E11" w:rsidRPr="00A80CE6"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A80CE6">
              <w:rPr>
                <w:rFonts w:ascii="Verdana" w:hAnsi="Verdana"/>
                <w:sz w:val="22"/>
                <w:szCs w:val="22"/>
              </w:rPr>
              <w:t>2023</w:t>
            </w:r>
          </w:p>
        </w:tc>
        <w:tc>
          <w:tcPr>
            <w:tcW w:w="858" w:type="dxa"/>
          </w:tcPr>
          <w:p w14:paraId="2AC4A30C" w14:textId="41A8F6A2" w:rsidR="009C5E11" w:rsidRPr="00A80CE6"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A80CE6">
              <w:rPr>
                <w:rFonts w:ascii="Verdana" w:hAnsi="Verdana"/>
                <w:sz w:val="22"/>
                <w:szCs w:val="22"/>
              </w:rPr>
              <w:t>2024</w:t>
            </w:r>
          </w:p>
        </w:tc>
        <w:tc>
          <w:tcPr>
            <w:tcW w:w="858" w:type="dxa"/>
          </w:tcPr>
          <w:p w14:paraId="54AFD57B" w14:textId="38ACC9FB" w:rsidR="009C5E11" w:rsidRPr="00A80CE6"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A80CE6">
              <w:rPr>
                <w:rFonts w:ascii="Verdana" w:hAnsi="Verdana"/>
                <w:sz w:val="22"/>
                <w:szCs w:val="22"/>
              </w:rPr>
              <w:t>2025</w:t>
            </w:r>
          </w:p>
        </w:tc>
      </w:tr>
      <w:tr w:rsidR="009C5E11" w14:paraId="1EF15D3D" w14:textId="77777777" w:rsidTr="00A80CE6">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43C120DC" w14:textId="51CDF0DE" w:rsidR="009C5E11" w:rsidRPr="00A80CE6" w:rsidRDefault="009C5E11" w:rsidP="009C5E11">
            <w:pPr>
              <w:pStyle w:val="ListParagraph"/>
              <w:spacing w:before="0" w:after="0"/>
              <w:ind w:left="0" w:right="0"/>
              <w:rPr>
                <w:rFonts w:ascii="Verdana" w:hAnsi="Verdana"/>
                <w:b w:val="0"/>
                <w:bCs w:val="0"/>
                <w:sz w:val="22"/>
                <w:szCs w:val="22"/>
              </w:rPr>
            </w:pPr>
            <w:r w:rsidRPr="00A80CE6">
              <w:rPr>
                <w:rFonts w:ascii="Verdana" w:hAnsi="Verdana"/>
                <w:b w:val="0"/>
                <w:bCs w:val="0"/>
                <w:sz w:val="22"/>
                <w:szCs w:val="22"/>
              </w:rPr>
              <w:t>Gorseinon</w:t>
            </w:r>
          </w:p>
        </w:tc>
        <w:tc>
          <w:tcPr>
            <w:tcW w:w="850" w:type="dxa"/>
          </w:tcPr>
          <w:p w14:paraId="63168311" w14:textId="29783662"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16</w:t>
            </w:r>
          </w:p>
        </w:tc>
        <w:tc>
          <w:tcPr>
            <w:tcW w:w="993" w:type="dxa"/>
          </w:tcPr>
          <w:p w14:paraId="71AF19A2" w14:textId="03CB0C52"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8</w:t>
            </w:r>
          </w:p>
        </w:tc>
        <w:tc>
          <w:tcPr>
            <w:tcW w:w="872" w:type="dxa"/>
          </w:tcPr>
          <w:p w14:paraId="657762B8" w14:textId="1FA45A8A"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8</w:t>
            </w:r>
          </w:p>
        </w:tc>
        <w:tc>
          <w:tcPr>
            <w:tcW w:w="858" w:type="dxa"/>
          </w:tcPr>
          <w:p w14:paraId="30132B40" w14:textId="442EDF68"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12</w:t>
            </w:r>
          </w:p>
        </w:tc>
        <w:tc>
          <w:tcPr>
            <w:tcW w:w="858" w:type="dxa"/>
          </w:tcPr>
          <w:p w14:paraId="6A6EFA22" w14:textId="553D6D86"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9</w:t>
            </w:r>
          </w:p>
        </w:tc>
        <w:tc>
          <w:tcPr>
            <w:tcW w:w="858" w:type="dxa"/>
          </w:tcPr>
          <w:p w14:paraId="3E7ED9EC" w14:textId="309F983B"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9</w:t>
            </w:r>
          </w:p>
        </w:tc>
        <w:tc>
          <w:tcPr>
            <w:tcW w:w="858" w:type="dxa"/>
          </w:tcPr>
          <w:p w14:paraId="237AF7F8" w14:textId="0EB462EC"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15</w:t>
            </w:r>
          </w:p>
        </w:tc>
        <w:tc>
          <w:tcPr>
            <w:tcW w:w="858" w:type="dxa"/>
          </w:tcPr>
          <w:p w14:paraId="3F87B8A4" w14:textId="73541090"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13</w:t>
            </w:r>
          </w:p>
        </w:tc>
        <w:tc>
          <w:tcPr>
            <w:tcW w:w="858" w:type="dxa"/>
          </w:tcPr>
          <w:p w14:paraId="54C3335C" w14:textId="24AFB6C1"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11</w:t>
            </w:r>
          </w:p>
        </w:tc>
      </w:tr>
      <w:tr w:rsidR="009C5E11" w14:paraId="2437F2C1" w14:textId="77777777" w:rsidTr="00A80CE6">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2C92ADD3" w14:textId="649E5B13" w:rsidR="009C5E11" w:rsidRPr="00A80CE6" w:rsidRDefault="009C5E11" w:rsidP="009C5E11">
            <w:pPr>
              <w:pStyle w:val="ListParagraph"/>
              <w:spacing w:before="0" w:after="0"/>
              <w:ind w:left="0" w:right="0"/>
              <w:rPr>
                <w:rFonts w:ascii="Verdana" w:hAnsi="Verdana"/>
                <w:b w:val="0"/>
                <w:bCs w:val="0"/>
                <w:sz w:val="22"/>
                <w:szCs w:val="22"/>
              </w:rPr>
            </w:pPr>
            <w:r w:rsidRPr="00A80CE6">
              <w:rPr>
                <w:rFonts w:ascii="Verdana" w:hAnsi="Verdana"/>
                <w:b w:val="0"/>
                <w:bCs w:val="0"/>
                <w:sz w:val="22"/>
                <w:szCs w:val="22"/>
              </w:rPr>
              <w:t>Morriston</w:t>
            </w:r>
          </w:p>
        </w:tc>
        <w:tc>
          <w:tcPr>
            <w:tcW w:w="850" w:type="dxa"/>
          </w:tcPr>
          <w:p w14:paraId="12234821" w14:textId="453FE76E"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957</w:t>
            </w:r>
          </w:p>
        </w:tc>
        <w:tc>
          <w:tcPr>
            <w:tcW w:w="993" w:type="dxa"/>
          </w:tcPr>
          <w:p w14:paraId="6E92D09C" w14:textId="6F62A35E"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1,524</w:t>
            </w:r>
          </w:p>
        </w:tc>
        <w:tc>
          <w:tcPr>
            <w:tcW w:w="872" w:type="dxa"/>
          </w:tcPr>
          <w:p w14:paraId="1159DA79" w14:textId="362240C4"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1,668</w:t>
            </w:r>
          </w:p>
        </w:tc>
        <w:tc>
          <w:tcPr>
            <w:tcW w:w="858" w:type="dxa"/>
          </w:tcPr>
          <w:p w14:paraId="3F1F19B7" w14:textId="5B1B5D2B"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1,787</w:t>
            </w:r>
          </w:p>
        </w:tc>
        <w:tc>
          <w:tcPr>
            <w:tcW w:w="858" w:type="dxa"/>
          </w:tcPr>
          <w:p w14:paraId="272A5F71" w14:textId="43D21CC7"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2,122</w:t>
            </w:r>
          </w:p>
        </w:tc>
        <w:tc>
          <w:tcPr>
            <w:tcW w:w="858" w:type="dxa"/>
          </w:tcPr>
          <w:p w14:paraId="1F9C435A" w14:textId="6EA6D62E"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1,928</w:t>
            </w:r>
          </w:p>
        </w:tc>
        <w:tc>
          <w:tcPr>
            <w:tcW w:w="858" w:type="dxa"/>
          </w:tcPr>
          <w:p w14:paraId="48D08A3E" w14:textId="1173A564"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2,395</w:t>
            </w:r>
          </w:p>
        </w:tc>
        <w:tc>
          <w:tcPr>
            <w:tcW w:w="858" w:type="dxa"/>
          </w:tcPr>
          <w:p w14:paraId="03544F5C" w14:textId="1C9C986A"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2,236</w:t>
            </w:r>
          </w:p>
        </w:tc>
        <w:tc>
          <w:tcPr>
            <w:tcW w:w="858" w:type="dxa"/>
          </w:tcPr>
          <w:p w14:paraId="54751FF0" w14:textId="3E8FDEFE"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2,363</w:t>
            </w:r>
          </w:p>
        </w:tc>
      </w:tr>
      <w:tr w:rsidR="009C5E11" w14:paraId="4EF72C0B" w14:textId="77777777" w:rsidTr="00A80CE6">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11689834" w14:textId="5CF20E7F" w:rsidR="009C5E11" w:rsidRPr="00A80CE6" w:rsidRDefault="009C5E11" w:rsidP="009C5E11">
            <w:pPr>
              <w:pStyle w:val="ListParagraph"/>
              <w:spacing w:before="0" w:after="0"/>
              <w:ind w:left="0" w:right="0"/>
              <w:rPr>
                <w:rFonts w:ascii="Verdana" w:hAnsi="Verdana"/>
                <w:b w:val="0"/>
                <w:bCs w:val="0"/>
                <w:sz w:val="22"/>
                <w:szCs w:val="22"/>
              </w:rPr>
            </w:pPr>
            <w:r w:rsidRPr="00A80CE6">
              <w:rPr>
                <w:rFonts w:ascii="Verdana" w:hAnsi="Verdana"/>
                <w:b w:val="0"/>
                <w:bCs w:val="0"/>
                <w:sz w:val="22"/>
                <w:szCs w:val="22"/>
              </w:rPr>
              <w:t>Neath Port Talbot</w:t>
            </w:r>
          </w:p>
        </w:tc>
        <w:tc>
          <w:tcPr>
            <w:tcW w:w="850" w:type="dxa"/>
          </w:tcPr>
          <w:p w14:paraId="74A3BE4E" w14:textId="123771AE"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113</w:t>
            </w:r>
          </w:p>
        </w:tc>
        <w:tc>
          <w:tcPr>
            <w:tcW w:w="993" w:type="dxa"/>
          </w:tcPr>
          <w:p w14:paraId="48C8B81D" w14:textId="55B7F547"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139</w:t>
            </w:r>
          </w:p>
        </w:tc>
        <w:tc>
          <w:tcPr>
            <w:tcW w:w="872" w:type="dxa"/>
          </w:tcPr>
          <w:p w14:paraId="574BFB16" w14:textId="027E8173"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148</w:t>
            </w:r>
          </w:p>
        </w:tc>
        <w:tc>
          <w:tcPr>
            <w:tcW w:w="858" w:type="dxa"/>
          </w:tcPr>
          <w:p w14:paraId="18EC70EF" w14:textId="211785BE"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110</w:t>
            </w:r>
          </w:p>
        </w:tc>
        <w:tc>
          <w:tcPr>
            <w:tcW w:w="858" w:type="dxa"/>
          </w:tcPr>
          <w:p w14:paraId="41B5308E" w14:textId="1BEE3B99"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102</w:t>
            </w:r>
          </w:p>
        </w:tc>
        <w:tc>
          <w:tcPr>
            <w:tcW w:w="858" w:type="dxa"/>
          </w:tcPr>
          <w:p w14:paraId="5F14861C" w14:textId="2D7FD353"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86</w:t>
            </w:r>
          </w:p>
        </w:tc>
        <w:tc>
          <w:tcPr>
            <w:tcW w:w="858" w:type="dxa"/>
          </w:tcPr>
          <w:p w14:paraId="3169C7CD" w14:textId="35F23943"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83</w:t>
            </w:r>
          </w:p>
        </w:tc>
        <w:tc>
          <w:tcPr>
            <w:tcW w:w="858" w:type="dxa"/>
          </w:tcPr>
          <w:p w14:paraId="4222BEF7" w14:textId="04C97FE5"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135</w:t>
            </w:r>
          </w:p>
        </w:tc>
        <w:tc>
          <w:tcPr>
            <w:tcW w:w="858" w:type="dxa"/>
          </w:tcPr>
          <w:p w14:paraId="4A04EC1C" w14:textId="3DA6FB9E"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114</w:t>
            </w:r>
          </w:p>
        </w:tc>
      </w:tr>
      <w:tr w:rsidR="009C5E11" w14:paraId="5C857DCB" w14:textId="77777777" w:rsidTr="00A80CE6">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7B617490" w14:textId="2A18CD5B" w:rsidR="009C5E11" w:rsidRPr="00A80CE6" w:rsidRDefault="009C5E11" w:rsidP="009C5E11">
            <w:pPr>
              <w:pStyle w:val="ListParagraph"/>
              <w:spacing w:before="0" w:after="0"/>
              <w:ind w:left="0" w:right="0"/>
              <w:rPr>
                <w:rFonts w:ascii="Verdana" w:hAnsi="Verdana"/>
                <w:b w:val="0"/>
                <w:bCs w:val="0"/>
                <w:sz w:val="22"/>
                <w:szCs w:val="22"/>
              </w:rPr>
            </w:pPr>
            <w:r w:rsidRPr="00A80CE6">
              <w:rPr>
                <w:rFonts w:ascii="Verdana" w:hAnsi="Verdana"/>
                <w:b w:val="0"/>
                <w:bCs w:val="0"/>
                <w:sz w:val="22"/>
                <w:szCs w:val="22"/>
              </w:rPr>
              <w:t>Singleton</w:t>
            </w:r>
          </w:p>
        </w:tc>
        <w:tc>
          <w:tcPr>
            <w:tcW w:w="850" w:type="dxa"/>
          </w:tcPr>
          <w:p w14:paraId="64C1BEF5" w14:textId="70C46C6F"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207</w:t>
            </w:r>
          </w:p>
        </w:tc>
        <w:tc>
          <w:tcPr>
            <w:tcW w:w="993" w:type="dxa"/>
          </w:tcPr>
          <w:p w14:paraId="77C7A693" w14:textId="352DC98F"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250</w:t>
            </w:r>
          </w:p>
        </w:tc>
        <w:tc>
          <w:tcPr>
            <w:tcW w:w="872" w:type="dxa"/>
          </w:tcPr>
          <w:p w14:paraId="414E52FB" w14:textId="646310BA"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240</w:t>
            </w:r>
          </w:p>
        </w:tc>
        <w:tc>
          <w:tcPr>
            <w:tcW w:w="858" w:type="dxa"/>
          </w:tcPr>
          <w:p w14:paraId="74D25181" w14:textId="2FDA4C87"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229</w:t>
            </w:r>
          </w:p>
        </w:tc>
        <w:tc>
          <w:tcPr>
            <w:tcW w:w="858" w:type="dxa"/>
          </w:tcPr>
          <w:p w14:paraId="438DB866" w14:textId="59AE2312"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271</w:t>
            </w:r>
          </w:p>
        </w:tc>
        <w:tc>
          <w:tcPr>
            <w:tcW w:w="858" w:type="dxa"/>
          </w:tcPr>
          <w:p w14:paraId="2EE808AF" w14:textId="732C39BD"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280</w:t>
            </w:r>
          </w:p>
        </w:tc>
        <w:tc>
          <w:tcPr>
            <w:tcW w:w="858" w:type="dxa"/>
          </w:tcPr>
          <w:p w14:paraId="16A1DD12" w14:textId="3372DA54"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78</w:t>
            </w:r>
          </w:p>
        </w:tc>
        <w:tc>
          <w:tcPr>
            <w:tcW w:w="858" w:type="dxa"/>
          </w:tcPr>
          <w:p w14:paraId="5AAAB78E" w14:textId="110BBABE"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57</w:t>
            </w:r>
          </w:p>
        </w:tc>
        <w:tc>
          <w:tcPr>
            <w:tcW w:w="858" w:type="dxa"/>
          </w:tcPr>
          <w:p w14:paraId="6250AF61" w14:textId="69B61D0B"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42</w:t>
            </w:r>
          </w:p>
        </w:tc>
      </w:tr>
    </w:tbl>
    <w:p w14:paraId="3E921E33" w14:textId="77777777" w:rsidR="00C52879" w:rsidRPr="000035E9" w:rsidRDefault="00C52879" w:rsidP="00C22FD6">
      <w:pPr>
        <w:pStyle w:val="ListParagraph"/>
        <w:ind w:left="1225"/>
        <w:rPr>
          <w:rFonts w:ascii="Verdana" w:hAnsi="Verdana"/>
          <w:sz w:val="22"/>
          <w:szCs w:val="22"/>
        </w:rPr>
      </w:pPr>
    </w:p>
    <w:p w14:paraId="0052ABBF" w14:textId="77777777" w:rsidR="00C22FD6" w:rsidRPr="000035E9" w:rsidRDefault="00C22FD6" w:rsidP="00A80CE6">
      <w:pPr>
        <w:pStyle w:val="ListParagraph"/>
        <w:numPr>
          <w:ilvl w:val="0"/>
          <w:numId w:val="19"/>
        </w:numPr>
        <w:ind w:left="851"/>
        <w:rPr>
          <w:rFonts w:ascii="Verdana" w:hAnsi="Verdana"/>
          <w:b/>
          <w:bCs/>
          <w:noProof/>
          <w:sz w:val="22"/>
          <w:szCs w:val="22"/>
        </w:rPr>
      </w:pPr>
      <w:r w:rsidRPr="000035E9">
        <w:rPr>
          <w:rFonts w:ascii="Verdana" w:hAnsi="Verdana"/>
          <w:b/>
          <w:bCs/>
          <w:noProof/>
          <w:sz w:val="22"/>
          <w:szCs w:val="22"/>
        </w:rPr>
        <w:t>And out of those patients that required psychiatric input how many required a mental health act assessment. </w:t>
      </w:r>
    </w:p>
    <w:p w14:paraId="75F72EAE" w14:textId="7B5660E0" w:rsidR="000035E9" w:rsidRPr="000035E9" w:rsidRDefault="00787E86" w:rsidP="00A80CE6">
      <w:pPr>
        <w:ind w:left="851"/>
        <w:rPr>
          <w:rFonts w:ascii="Verdana" w:hAnsi="Verdana"/>
          <w:sz w:val="22"/>
          <w:szCs w:val="22"/>
        </w:rPr>
      </w:pPr>
      <w:r>
        <w:rPr>
          <w:rFonts w:ascii="Verdana" w:hAnsi="Verdana"/>
          <w:noProof/>
          <w:sz w:val="22"/>
          <w:szCs w:val="22"/>
          <w:lang w:val="en-US"/>
        </w:rPr>
        <w:t xml:space="preserve">I can confirm that this information is not held by the Health Board.  </w:t>
      </w:r>
      <w:r w:rsidR="000035E9" w:rsidRPr="000035E9">
        <w:rPr>
          <w:rFonts w:ascii="Verdana" w:hAnsi="Verdana"/>
          <w:sz w:val="22"/>
          <w:szCs w:val="22"/>
        </w:rPr>
        <w:t xml:space="preserve">The Mental Health Act Department is only concerned with the legal administration of patients who are detained under the Mental Health Act. Therefore, we do not hold any data relating to patients who had </w:t>
      </w:r>
      <w:proofErr w:type="gramStart"/>
      <w:r w:rsidR="000035E9" w:rsidRPr="000035E9">
        <w:rPr>
          <w:rFonts w:ascii="Verdana" w:hAnsi="Verdana"/>
          <w:sz w:val="22"/>
          <w:szCs w:val="22"/>
        </w:rPr>
        <w:t>a</w:t>
      </w:r>
      <w:proofErr w:type="gramEnd"/>
      <w:r w:rsidR="000035E9" w:rsidRPr="000035E9">
        <w:rPr>
          <w:rFonts w:ascii="Verdana" w:hAnsi="Verdana"/>
          <w:sz w:val="22"/>
          <w:szCs w:val="22"/>
        </w:rPr>
        <w:t xml:space="preserve"> MHA assessment and were </w:t>
      </w:r>
      <w:r>
        <w:rPr>
          <w:rFonts w:ascii="Verdana" w:hAnsi="Verdana"/>
          <w:sz w:val="22"/>
          <w:szCs w:val="22"/>
        </w:rPr>
        <w:t>n</w:t>
      </w:r>
      <w:r w:rsidRPr="000035E9">
        <w:rPr>
          <w:rFonts w:ascii="Verdana" w:hAnsi="Verdana"/>
          <w:sz w:val="22"/>
          <w:szCs w:val="22"/>
        </w:rPr>
        <w:t>ot</w:t>
      </w:r>
      <w:r w:rsidR="000035E9" w:rsidRPr="000035E9">
        <w:rPr>
          <w:rFonts w:ascii="Verdana" w:hAnsi="Verdana"/>
          <w:sz w:val="22"/>
          <w:szCs w:val="22"/>
        </w:rPr>
        <w:t xml:space="preserve"> subsequently detained</w:t>
      </w:r>
      <w:r w:rsidR="000035E9">
        <w:rPr>
          <w:rFonts w:ascii="Verdana" w:hAnsi="Verdana"/>
          <w:sz w:val="22"/>
          <w:szCs w:val="22"/>
        </w:rPr>
        <w:t>.</w:t>
      </w:r>
    </w:p>
    <w:p w14:paraId="360F6CB2" w14:textId="77777777" w:rsidR="000035E9" w:rsidRPr="000035E9" w:rsidRDefault="000035E9" w:rsidP="000035E9">
      <w:pPr>
        <w:ind w:left="1225"/>
        <w:rPr>
          <w:rFonts w:ascii="Verdana" w:hAnsi="Verdana"/>
          <w:sz w:val="22"/>
          <w:szCs w:val="22"/>
        </w:rPr>
      </w:pPr>
    </w:p>
    <w:p w14:paraId="7BE5618A" w14:textId="77777777" w:rsidR="00C22FD6" w:rsidRPr="000035E9" w:rsidRDefault="00C22FD6" w:rsidP="00A80CE6">
      <w:pPr>
        <w:pStyle w:val="ListParagraph"/>
        <w:numPr>
          <w:ilvl w:val="0"/>
          <w:numId w:val="19"/>
        </w:numPr>
        <w:ind w:left="851"/>
        <w:rPr>
          <w:rFonts w:ascii="Verdana" w:hAnsi="Verdana"/>
          <w:b/>
          <w:bCs/>
          <w:noProof/>
          <w:sz w:val="22"/>
          <w:szCs w:val="22"/>
        </w:rPr>
      </w:pPr>
      <w:r w:rsidRPr="000035E9">
        <w:rPr>
          <w:rFonts w:ascii="Verdana" w:hAnsi="Verdana"/>
          <w:b/>
          <w:bCs/>
          <w:noProof/>
          <w:sz w:val="22"/>
          <w:szCs w:val="22"/>
        </w:rPr>
        <w:t>And out of those patients how many were sectioned under the mental health act assessment. </w:t>
      </w:r>
    </w:p>
    <w:p w14:paraId="20465EEA" w14:textId="6EA727A9" w:rsidR="00C22FD6" w:rsidRPr="00A80CE6" w:rsidRDefault="00C22FD6" w:rsidP="00A80CE6">
      <w:pPr>
        <w:ind w:left="851"/>
        <w:rPr>
          <w:rFonts w:ascii="Verdana" w:hAnsi="Verdana"/>
          <w:sz w:val="22"/>
          <w:szCs w:val="22"/>
        </w:rPr>
      </w:pPr>
      <w:r w:rsidRPr="00A80CE6">
        <w:rPr>
          <w:rFonts w:ascii="Verdana" w:hAnsi="Verdana"/>
          <w:sz w:val="22"/>
          <w:szCs w:val="22"/>
        </w:rPr>
        <w:t>The table below provides the number of patients who were subsequently detained (“sectioned”) under the Mental Health Act.</w:t>
      </w:r>
    </w:p>
    <w:p w14:paraId="576C1E64" w14:textId="69D6C096" w:rsidR="00C22FD6" w:rsidRPr="00A80CE6" w:rsidRDefault="00C22FD6" w:rsidP="00A80CE6">
      <w:pPr>
        <w:ind w:left="851"/>
        <w:rPr>
          <w:rFonts w:ascii="Verdana" w:hAnsi="Verdana"/>
          <w:sz w:val="22"/>
          <w:szCs w:val="22"/>
        </w:rPr>
      </w:pPr>
      <w:r w:rsidRPr="00A80CE6">
        <w:rPr>
          <w:rFonts w:ascii="Verdana" w:hAnsi="Verdana"/>
          <w:i/>
          <w:iCs/>
          <w:sz w:val="22"/>
          <w:szCs w:val="22"/>
        </w:rPr>
        <w:lastRenderedPageBreak/>
        <w:t>Data for the years prior to 2017 is not held electronically.</w:t>
      </w:r>
      <w:r w:rsidRPr="00A80CE6">
        <w:rPr>
          <w:rFonts w:ascii="Verdana" w:hAnsi="Verdana"/>
          <w:sz w:val="22"/>
          <w:szCs w:val="22"/>
        </w:rPr>
        <w:t xml:space="preserve"> To obtain information for 2015 and 2016 would require a manual review of individual patient case notes which we have estimated would significantly exceed the 18 hours limit set down by the FOI Act as the reasonable limit. </w:t>
      </w:r>
      <w:r w:rsidRPr="00A80CE6">
        <w:rPr>
          <w:rFonts w:ascii="Verdana" w:hAnsi="Verdana" w:cs="Tahoma"/>
          <w:sz w:val="22"/>
          <w:szCs w:val="22"/>
        </w:rPr>
        <w:t>Section 12 of the FOI Act and T</w:t>
      </w:r>
      <w:r w:rsidRPr="00A80CE6">
        <w:rPr>
          <w:rFonts w:ascii="Verdana" w:hAnsi="Verdana"/>
          <w:sz w:val="22"/>
          <w:szCs w:val="22"/>
        </w:rPr>
        <w: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4983DF6D" w14:textId="77777777" w:rsidR="00A80CE6" w:rsidRPr="000035E9" w:rsidRDefault="00A80CE6" w:rsidP="00C22FD6">
      <w:pPr>
        <w:pStyle w:val="ListParagraph"/>
        <w:ind w:left="1225"/>
        <w:rPr>
          <w:rFonts w:ascii="Verdana" w:hAnsi="Verdana"/>
          <w:sz w:val="22"/>
          <w:szCs w:val="22"/>
        </w:rPr>
      </w:pPr>
    </w:p>
    <w:tbl>
      <w:tblPr>
        <w:tblStyle w:val="GridTable4-Accent2"/>
        <w:tblW w:w="9486" w:type="dxa"/>
        <w:tblInd w:w="421" w:type="dxa"/>
        <w:tblLook w:val="06A0" w:firstRow="1" w:lastRow="0" w:firstColumn="1" w:lastColumn="0" w:noHBand="1" w:noVBand="1"/>
      </w:tblPr>
      <w:tblGrid>
        <w:gridCol w:w="1559"/>
        <w:gridCol w:w="999"/>
        <w:gridCol w:w="866"/>
        <w:gridCol w:w="866"/>
        <w:gridCol w:w="866"/>
        <w:gridCol w:w="866"/>
        <w:gridCol w:w="866"/>
        <w:gridCol w:w="866"/>
        <w:gridCol w:w="866"/>
        <w:gridCol w:w="866"/>
      </w:tblGrid>
      <w:tr w:rsidR="009C5E11" w14:paraId="24706B7C" w14:textId="77777777" w:rsidTr="00A80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Pr>
          <w:p w14:paraId="46B16C78" w14:textId="2498BF76" w:rsidR="009C5E11" w:rsidRDefault="00A80CE6" w:rsidP="00910504">
            <w:pPr>
              <w:pStyle w:val="ListParagraph"/>
              <w:spacing w:before="0" w:after="0"/>
              <w:ind w:left="0" w:right="0"/>
              <w:rPr>
                <w:rFonts w:ascii="Verdana" w:hAnsi="Verdana"/>
                <w:sz w:val="22"/>
                <w:szCs w:val="22"/>
              </w:rPr>
            </w:pPr>
            <w:r>
              <w:rPr>
                <w:rFonts w:ascii="Verdana" w:hAnsi="Verdana"/>
                <w:sz w:val="22"/>
                <w:szCs w:val="22"/>
              </w:rPr>
              <w:t>Hospital</w:t>
            </w:r>
          </w:p>
        </w:tc>
        <w:tc>
          <w:tcPr>
            <w:tcW w:w="999" w:type="dxa"/>
          </w:tcPr>
          <w:p w14:paraId="1F9B24EB" w14:textId="77777777" w:rsidR="009C5E11"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2017</w:t>
            </w:r>
          </w:p>
        </w:tc>
        <w:tc>
          <w:tcPr>
            <w:tcW w:w="866" w:type="dxa"/>
          </w:tcPr>
          <w:p w14:paraId="1DE3FF60" w14:textId="77777777" w:rsidR="009C5E11"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2018</w:t>
            </w:r>
          </w:p>
        </w:tc>
        <w:tc>
          <w:tcPr>
            <w:tcW w:w="866" w:type="dxa"/>
          </w:tcPr>
          <w:p w14:paraId="4EC8BB99" w14:textId="77777777" w:rsidR="009C5E11"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2019</w:t>
            </w:r>
          </w:p>
        </w:tc>
        <w:tc>
          <w:tcPr>
            <w:tcW w:w="866" w:type="dxa"/>
          </w:tcPr>
          <w:p w14:paraId="05D1BF7E" w14:textId="77777777" w:rsidR="009C5E11"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2020</w:t>
            </w:r>
          </w:p>
        </w:tc>
        <w:tc>
          <w:tcPr>
            <w:tcW w:w="866" w:type="dxa"/>
          </w:tcPr>
          <w:p w14:paraId="5AABEF42" w14:textId="77777777" w:rsidR="009C5E11"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2021</w:t>
            </w:r>
          </w:p>
        </w:tc>
        <w:tc>
          <w:tcPr>
            <w:tcW w:w="866" w:type="dxa"/>
          </w:tcPr>
          <w:p w14:paraId="11069072" w14:textId="77777777" w:rsidR="009C5E11"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2022</w:t>
            </w:r>
          </w:p>
        </w:tc>
        <w:tc>
          <w:tcPr>
            <w:tcW w:w="866" w:type="dxa"/>
          </w:tcPr>
          <w:p w14:paraId="43E0143F" w14:textId="77777777" w:rsidR="009C5E11"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2023</w:t>
            </w:r>
          </w:p>
        </w:tc>
        <w:tc>
          <w:tcPr>
            <w:tcW w:w="866" w:type="dxa"/>
          </w:tcPr>
          <w:p w14:paraId="06757C86" w14:textId="77777777" w:rsidR="009C5E11"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2024</w:t>
            </w:r>
          </w:p>
        </w:tc>
        <w:tc>
          <w:tcPr>
            <w:tcW w:w="866" w:type="dxa"/>
          </w:tcPr>
          <w:p w14:paraId="6436C6AB" w14:textId="77777777" w:rsidR="009C5E11" w:rsidRDefault="009C5E11" w:rsidP="00A80CE6">
            <w:pPr>
              <w:pStyle w:val="ListParagraph"/>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2025</w:t>
            </w:r>
          </w:p>
        </w:tc>
      </w:tr>
      <w:tr w:rsidR="009C5E11" w14:paraId="6EAB69D1" w14:textId="77777777" w:rsidTr="00A80CE6">
        <w:tc>
          <w:tcPr>
            <w:cnfStyle w:val="001000000000" w:firstRow="0" w:lastRow="0" w:firstColumn="1" w:lastColumn="0" w:oddVBand="0" w:evenVBand="0" w:oddHBand="0" w:evenHBand="0" w:firstRowFirstColumn="0" w:firstRowLastColumn="0" w:lastRowFirstColumn="0" w:lastRowLastColumn="0"/>
            <w:tcW w:w="1559" w:type="dxa"/>
          </w:tcPr>
          <w:p w14:paraId="07D833F7" w14:textId="72BE0565" w:rsidR="009C5E11" w:rsidRPr="00A80CE6" w:rsidRDefault="009C5E11" w:rsidP="00910504">
            <w:pPr>
              <w:pStyle w:val="ListParagraph"/>
              <w:spacing w:before="0" w:after="0"/>
              <w:ind w:left="0" w:right="0"/>
              <w:rPr>
                <w:rFonts w:ascii="Verdana" w:hAnsi="Verdana"/>
                <w:b w:val="0"/>
                <w:bCs w:val="0"/>
                <w:sz w:val="22"/>
                <w:szCs w:val="22"/>
              </w:rPr>
            </w:pPr>
            <w:r w:rsidRPr="00A80CE6">
              <w:rPr>
                <w:rFonts w:ascii="Verdana" w:hAnsi="Verdana"/>
                <w:b w:val="0"/>
                <w:bCs w:val="0"/>
                <w:sz w:val="22"/>
                <w:szCs w:val="22"/>
              </w:rPr>
              <w:t xml:space="preserve">Gorseinon </w:t>
            </w:r>
          </w:p>
        </w:tc>
        <w:tc>
          <w:tcPr>
            <w:tcW w:w="999" w:type="dxa"/>
          </w:tcPr>
          <w:p w14:paraId="0C4E3BE3" w14:textId="3E079E5F"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305C2CF0" w14:textId="455364F9"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5B34B2E0" w14:textId="2B5582B8"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0FBF245A" w14:textId="0A8493A8"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32E25688" w14:textId="1B213A19"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301E5DF9" w14:textId="64BE8F0C"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1807E6A3" w14:textId="7D82A183"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0227B224" w14:textId="177B1CD9"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47E9C806" w14:textId="690E66DA"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r>
      <w:tr w:rsidR="009C5E11" w14:paraId="5EE98100" w14:textId="77777777" w:rsidTr="00A80CE6">
        <w:tc>
          <w:tcPr>
            <w:cnfStyle w:val="001000000000" w:firstRow="0" w:lastRow="0" w:firstColumn="1" w:lastColumn="0" w:oddVBand="0" w:evenVBand="0" w:oddHBand="0" w:evenHBand="0" w:firstRowFirstColumn="0" w:firstRowLastColumn="0" w:lastRowFirstColumn="0" w:lastRowLastColumn="0"/>
            <w:tcW w:w="1559" w:type="dxa"/>
          </w:tcPr>
          <w:p w14:paraId="41076D63" w14:textId="008112E1" w:rsidR="009C5E11" w:rsidRPr="00A80CE6" w:rsidRDefault="009C5E11" w:rsidP="00910504">
            <w:pPr>
              <w:pStyle w:val="ListParagraph"/>
              <w:spacing w:before="0" w:after="0"/>
              <w:ind w:left="0" w:right="0"/>
              <w:rPr>
                <w:rFonts w:ascii="Verdana" w:hAnsi="Verdana"/>
                <w:b w:val="0"/>
                <w:bCs w:val="0"/>
                <w:sz w:val="22"/>
                <w:szCs w:val="22"/>
              </w:rPr>
            </w:pPr>
            <w:r w:rsidRPr="00A80CE6">
              <w:rPr>
                <w:rFonts w:ascii="Verdana" w:hAnsi="Verdana"/>
                <w:b w:val="0"/>
                <w:bCs w:val="0"/>
                <w:sz w:val="22"/>
                <w:szCs w:val="22"/>
              </w:rPr>
              <w:t xml:space="preserve">Morriston </w:t>
            </w:r>
          </w:p>
        </w:tc>
        <w:tc>
          <w:tcPr>
            <w:tcW w:w="999" w:type="dxa"/>
          </w:tcPr>
          <w:p w14:paraId="54FC4F8C" w14:textId="73129009"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6</w:t>
            </w:r>
          </w:p>
        </w:tc>
        <w:tc>
          <w:tcPr>
            <w:tcW w:w="866" w:type="dxa"/>
          </w:tcPr>
          <w:p w14:paraId="6E848CDE" w14:textId="2A2C96E4"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6</w:t>
            </w:r>
          </w:p>
        </w:tc>
        <w:tc>
          <w:tcPr>
            <w:tcW w:w="866" w:type="dxa"/>
          </w:tcPr>
          <w:p w14:paraId="6E1D06C6" w14:textId="2486CA92"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&lt;5*</w:t>
            </w:r>
          </w:p>
        </w:tc>
        <w:tc>
          <w:tcPr>
            <w:tcW w:w="866" w:type="dxa"/>
          </w:tcPr>
          <w:p w14:paraId="6A99C9F2" w14:textId="01F7BC9A"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8</w:t>
            </w:r>
          </w:p>
        </w:tc>
        <w:tc>
          <w:tcPr>
            <w:tcW w:w="866" w:type="dxa"/>
          </w:tcPr>
          <w:p w14:paraId="28E53809" w14:textId="794BA68E"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16</w:t>
            </w:r>
          </w:p>
        </w:tc>
        <w:tc>
          <w:tcPr>
            <w:tcW w:w="866" w:type="dxa"/>
          </w:tcPr>
          <w:p w14:paraId="7CA3730E" w14:textId="66419796"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9</w:t>
            </w:r>
          </w:p>
        </w:tc>
        <w:tc>
          <w:tcPr>
            <w:tcW w:w="866" w:type="dxa"/>
          </w:tcPr>
          <w:p w14:paraId="2581CC5C" w14:textId="153C17BA"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10</w:t>
            </w:r>
          </w:p>
        </w:tc>
        <w:tc>
          <w:tcPr>
            <w:tcW w:w="866" w:type="dxa"/>
          </w:tcPr>
          <w:p w14:paraId="7F89AB07" w14:textId="2FCA1F6A"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17</w:t>
            </w:r>
          </w:p>
        </w:tc>
        <w:tc>
          <w:tcPr>
            <w:tcW w:w="866" w:type="dxa"/>
          </w:tcPr>
          <w:p w14:paraId="5F7321EE" w14:textId="797AB22E"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28</w:t>
            </w:r>
          </w:p>
        </w:tc>
      </w:tr>
      <w:tr w:rsidR="009C5E11" w14:paraId="2856773D" w14:textId="77777777" w:rsidTr="00A80CE6">
        <w:tc>
          <w:tcPr>
            <w:cnfStyle w:val="001000000000" w:firstRow="0" w:lastRow="0" w:firstColumn="1" w:lastColumn="0" w:oddVBand="0" w:evenVBand="0" w:oddHBand="0" w:evenHBand="0" w:firstRowFirstColumn="0" w:firstRowLastColumn="0" w:lastRowFirstColumn="0" w:lastRowLastColumn="0"/>
            <w:tcW w:w="1559" w:type="dxa"/>
          </w:tcPr>
          <w:p w14:paraId="3F06B92A" w14:textId="12F5CAE4" w:rsidR="009C5E11" w:rsidRPr="00A80CE6" w:rsidRDefault="009C5E11" w:rsidP="00910504">
            <w:pPr>
              <w:pStyle w:val="ListParagraph"/>
              <w:spacing w:before="0" w:after="0"/>
              <w:ind w:left="0" w:right="0"/>
              <w:rPr>
                <w:rFonts w:ascii="Verdana" w:hAnsi="Verdana"/>
                <w:b w:val="0"/>
                <w:bCs w:val="0"/>
                <w:sz w:val="22"/>
                <w:szCs w:val="22"/>
              </w:rPr>
            </w:pPr>
            <w:r w:rsidRPr="00A80CE6">
              <w:rPr>
                <w:rFonts w:ascii="Verdana" w:hAnsi="Verdana"/>
                <w:b w:val="0"/>
                <w:bCs w:val="0"/>
                <w:sz w:val="22"/>
                <w:szCs w:val="22"/>
              </w:rPr>
              <w:t xml:space="preserve">Neath Port Talbot </w:t>
            </w:r>
          </w:p>
        </w:tc>
        <w:tc>
          <w:tcPr>
            <w:tcW w:w="999" w:type="dxa"/>
          </w:tcPr>
          <w:p w14:paraId="7FFA43C4" w14:textId="7823E9EA"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3F06A94B" w14:textId="14D1AFFE"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&lt;5*</w:t>
            </w:r>
          </w:p>
        </w:tc>
        <w:tc>
          <w:tcPr>
            <w:tcW w:w="866" w:type="dxa"/>
          </w:tcPr>
          <w:p w14:paraId="7D997C15" w14:textId="4B597206"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043A29AB" w14:textId="41782659"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465D384C" w14:textId="3963F9D3"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&lt;5*</w:t>
            </w:r>
          </w:p>
        </w:tc>
        <w:tc>
          <w:tcPr>
            <w:tcW w:w="866" w:type="dxa"/>
          </w:tcPr>
          <w:p w14:paraId="014597C6" w14:textId="4B73F728"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6</w:t>
            </w:r>
          </w:p>
        </w:tc>
        <w:tc>
          <w:tcPr>
            <w:tcW w:w="866" w:type="dxa"/>
          </w:tcPr>
          <w:p w14:paraId="65DC4A70" w14:textId="3ADD9BC3"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&lt;5*</w:t>
            </w:r>
          </w:p>
        </w:tc>
        <w:tc>
          <w:tcPr>
            <w:tcW w:w="866" w:type="dxa"/>
          </w:tcPr>
          <w:p w14:paraId="4F209DC7" w14:textId="62AD66B3"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&lt;5*</w:t>
            </w:r>
          </w:p>
        </w:tc>
        <w:tc>
          <w:tcPr>
            <w:tcW w:w="866" w:type="dxa"/>
          </w:tcPr>
          <w:p w14:paraId="3151C099" w14:textId="3149B938"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6</w:t>
            </w:r>
          </w:p>
        </w:tc>
      </w:tr>
      <w:tr w:rsidR="009C5E11" w14:paraId="2DB80D82" w14:textId="77777777" w:rsidTr="00A80CE6">
        <w:tc>
          <w:tcPr>
            <w:cnfStyle w:val="001000000000" w:firstRow="0" w:lastRow="0" w:firstColumn="1" w:lastColumn="0" w:oddVBand="0" w:evenVBand="0" w:oddHBand="0" w:evenHBand="0" w:firstRowFirstColumn="0" w:firstRowLastColumn="0" w:lastRowFirstColumn="0" w:lastRowLastColumn="0"/>
            <w:tcW w:w="1559" w:type="dxa"/>
          </w:tcPr>
          <w:p w14:paraId="182927D8" w14:textId="7A754911" w:rsidR="009C5E11" w:rsidRPr="00A80CE6" w:rsidRDefault="009C5E11" w:rsidP="00910504">
            <w:pPr>
              <w:pStyle w:val="ListParagraph"/>
              <w:spacing w:before="0" w:after="0"/>
              <w:ind w:left="0" w:right="0"/>
              <w:rPr>
                <w:rFonts w:ascii="Verdana" w:hAnsi="Verdana"/>
                <w:b w:val="0"/>
                <w:bCs w:val="0"/>
                <w:sz w:val="22"/>
                <w:szCs w:val="22"/>
              </w:rPr>
            </w:pPr>
            <w:r w:rsidRPr="00A80CE6">
              <w:rPr>
                <w:rFonts w:ascii="Verdana" w:hAnsi="Verdana"/>
                <w:b w:val="0"/>
                <w:bCs w:val="0"/>
                <w:sz w:val="22"/>
                <w:szCs w:val="22"/>
              </w:rPr>
              <w:t xml:space="preserve">Singleton </w:t>
            </w:r>
          </w:p>
        </w:tc>
        <w:tc>
          <w:tcPr>
            <w:tcW w:w="999" w:type="dxa"/>
          </w:tcPr>
          <w:p w14:paraId="7DEA4449" w14:textId="74536B2A"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&lt;5*</w:t>
            </w:r>
          </w:p>
        </w:tc>
        <w:tc>
          <w:tcPr>
            <w:tcW w:w="866" w:type="dxa"/>
          </w:tcPr>
          <w:p w14:paraId="1F4A94EA" w14:textId="3F431196"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0B3F9A2C" w14:textId="0B066D8E"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&lt;5*</w:t>
            </w:r>
          </w:p>
        </w:tc>
        <w:tc>
          <w:tcPr>
            <w:tcW w:w="866" w:type="dxa"/>
          </w:tcPr>
          <w:p w14:paraId="220A3033" w14:textId="10A58DB2"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&lt;5*</w:t>
            </w:r>
          </w:p>
        </w:tc>
        <w:tc>
          <w:tcPr>
            <w:tcW w:w="866" w:type="dxa"/>
          </w:tcPr>
          <w:p w14:paraId="7BE7E06D" w14:textId="3A39A67A"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0999B5E1" w14:textId="50B474BB"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68E32B03" w14:textId="35EEFEAE"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6DF60DB8" w14:textId="2CAD1D66"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0</w:t>
            </w:r>
          </w:p>
        </w:tc>
        <w:tc>
          <w:tcPr>
            <w:tcW w:w="866" w:type="dxa"/>
          </w:tcPr>
          <w:p w14:paraId="137940CF" w14:textId="084D90C6" w:rsidR="009C5E11" w:rsidRDefault="009C5E11" w:rsidP="00A80CE6">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&lt;5*</w:t>
            </w:r>
          </w:p>
        </w:tc>
      </w:tr>
    </w:tbl>
    <w:p w14:paraId="0867FC68" w14:textId="77777777" w:rsidR="00C22FD6" w:rsidRDefault="00C22FD6" w:rsidP="00C22FD6">
      <w:pPr>
        <w:pStyle w:val="ListParagraph"/>
        <w:ind w:left="1225"/>
        <w:rPr>
          <w:rFonts w:ascii="Verdana" w:hAnsi="Verdana"/>
          <w:sz w:val="22"/>
          <w:szCs w:val="22"/>
        </w:rPr>
      </w:pPr>
    </w:p>
    <w:p w14:paraId="72846F25" w14:textId="77777777" w:rsidR="00C22FD6" w:rsidRPr="000035E9" w:rsidRDefault="00C22FD6" w:rsidP="00A80CE6">
      <w:pPr>
        <w:pStyle w:val="ListParagraph"/>
        <w:numPr>
          <w:ilvl w:val="0"/>
          <w:numId w:val="19"/>
        </w:numPr>
        <w:ind w:left="851"/>
        <w:rPr>
          <w:rFonts w:ascii="Verdana" w:hAnsi="Verdana"/>
          <w:b/>
          <w:bCs/>
          <w:noProof/>
          <w:sz w:val="22"/>
          <w:szCs w:val="22"/>
        </w:rPr>
      </w:pPr>
      <w:r w:rsidRPr="000035E9">
        <w:rPr>
          <w:rFonts w:ascii="Verdana" w:hAnsi="Verdana"/>
          <w:b/>
          <w:bCs/>
          <w:noProof/>
          <w:sz w:val="22"/>
          <w:szCs w:val="22"/>
        </w:rPr>
        <w:t>And out of those that needed psychiatric input how many required outside mental health trained staff to provide level 1 observations. </w:t>
      </w:r>
    </w:p>
    <w:p w14:paraId="1CBE9A07" w14:textId="762177A9" w:rsidR="003E3BF5" w:rsidRPr="00A80CE6" w:rsidRDefault="003E3BF5" w:rsidP="00A80CE6">
      <w:pPr>
        <w:ind w:left="851"/>
        <w:rPr>
          <w:rFonts w:ascii="Verdana" w:hAnsi="Verdana"/>
          <w:b/>
          <w:bCs/>
          <w:noProof/>
          <w:sz w:val="22"/>
          <w:szCs w:val="22"/>
        </w:rPr>
      </w:pPr>
      <w:r w:rsidRPr="00A80CE6">
        <w:rPr>
          <w:rFonts w:ascii="Verdana" w:hAnsi="Verdana"/>
          <w:b/>
          <w:bCs/>
          <w:noProof/>
          <w:sz w:val="22"/>
          <w:szCs w:val="22"/>
        </w:rPr>
        <w:t>You clarified on 23</w:t>
      </w:r>
      <w:r w:rsidRPr="00A80CE6">
        <w:rPr>
          <w:rFonts w:ascii="Verdana" w:hAnsi="Verdana"/>
          <w:b/>
          <w:bCs/>
          <w:noProof/>
          <w:sz w:val="22"/>
          <w:szCs w:val="22"/>
          <w:vertAlign w:val="superscript"/>
        </w:rPr>
        <w:t>rd</w:t>
      </w:r>
      <w:r w:rsidRPr="00A80CE6">
        <w:rPr>
          <w:rFonts w:ascii="Verdana" w:hAnsi="Verdana"/>
          <w:b/>
          <w:bCs/>
          <w:noProof/>
          <w:sz w:val="22"/>
          <w:szCs w:val="22"/>
        </w:rPr>
        <w:t xml:space="preserve"> January 2026 that you wanted to k</w:t>
      </w:r>
      <w:r w:rsidR="009C5E11" w:rsidRPr="00A80CE6">
        <w:rPr>
          <w:rFonts w:ascii="Verdana" w:hAnsi="Verdana"/>
          <w:b/>
          <w:bCs/>
          <w:noProof/>
          <w:sz w:val="22"/>
          <w:szCs w:val="22"/>
        </w:rPr>
        <w:t>n</w:t>
      </w:r>
      <w:r w:rsidRPr="00A80CE6">
        <w:rPr>
          <w:rFonts w:ascii="Verdana" w:hAnsi="Verdana"/>
          <w:b/>
          <w:bCs/>
          <w:noProof/>
          <w:sz w:val="22"/>
          <w:szCs w:val="22"/>
        </w:rPr>
        <w:t>ow if we had to send a mental health nurse to an acute site to provide level 1 observations.</w:t>
      </w:r>
    </w:p>
    <w:p w14:paraId="5DA8D43A" w14:textId="3954C6F6" w:rsidR="00C22FD6" w:rsidRPr="000035E9" w:rsidRDefault="000035E9" w:rsidP="00A80CE6">
      <w:pPr>
        <w:ind w:left="851"/>
        <w:rPr>
          <w:rFonts w:ascii="Verdana" w:hAnsi="Verdana"/>
          <w:b/>
          <w:bCs/>
          <w:noProof/>
          <w:sz w:val="22"/>
          <w:szCs w:val="22"/>
        </w:rPr>
      </w:pPr>
      <w:r w:rsidRPr="000035E9">
        <w:rPr>
          <w:rFonts w:ascii="Verdana" w:hAnsi="Verdana"/>
          <w:noProof/>
          <w:sz w:val="22"/>
          <w:szCs w:val="22"/>
        </w:rPr>
        <w:t xml:space="preserve">This information is not held centrally. </w:t>
      </w:r>
      <w:r w:rsidRPr="000035E9">
        <w:rPr>
          <w:rFonts w:ascii="Verdana" w:hAnsi="Verdana"/>
          <w:i/>
          <w:iCs/>
          <w:noProof/>
          <w:sz w:val="22"/>
          <w:szCs w:val="22"/>
        </w:rPr>
        <w:t>Although instances of staff deployment, including cross</w:t>
      </w:r>
      <w:r w:rsidRPr="000035E9">
        <w:rPr>
          <w:rFonts w:ascii="Verdana" w:hAnsi="Verdana"/>
          <w:i/>
          <w:iCs/>
          <w:noProof/>
          <w:sz w:val="22"/>
          <w:szCs w:val="22"/>
        </w:rPr>
        <w:noBreakHyphen/>
        <w:t>site support, are recorded within the Health e</w:t>
      </w:r>
      <w:r w:rsidRPr="000035E9">
        <w:rPr>
          <w:rFonts w:ascii="Verdana" w:hAnsi="Verdana"/>
          <w:i/>
          <w:iCs/>
          <w:noProof/>
          <w:sz w:val="22"/>
          <w:szCs w:val="22"/>
        </w:rPr>
        <w:noBreakHyphen/>
        <w:t xml:space="preserve">Roster system and are discussed operationally as part of routine staffing management, the system does not allow this specific information to be extracted directly via a standard report. To identify such occasions, we would need to manually review roster entries </w:t>
      </w:r>
      <w:r w:rsidRPr="00A80CE6">
        <w:rPr>
          <w:rFonts w:ascii="Verdana" w:hAnsi="Verdana"/>
          <w:sz w:val="22"/>
          <w:szCs w:val="22"/>
        </w:rPr>
        <w:t>and</w:t>
      </w:r>
      <w:r w:rsidRPr="000035E9">
        <w:rPr>
          <w:rFonts w:ascii="Verdana" w:hAnsi="Verdana"/>
          <w:i/>
          <w:iCs/>
          <w:noProof/>
          <w:sz w:val="22"/>
          <w:szCs w:val="22"/>
        </w:rPr>
        <w:t xml:space="preserve"> associated notes across the relevant time period. </w:t>
      </w:r>
      <w:r w:rsidRPr="000035E9">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0035E9">
        <w:rPr>
          <w:rFonts w:ascii="Verdana" w:hAnsi="Verdana" w:cs="Tahoma"/>
          <w:sz w:val="22"/>
          <w:szCs w:val="22"/>
        </w:rPr>
        <w:t>Section 12 of the FOI Act and T</w:t>
      </w:r>
      <w:r w:rsidRPr="000035E9">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0035E9">
        <w:rPr>
          <w:rFonts w:ascii="Verdana" w:hAnsi="Verdana"/>
          <w:b/>
          <w:bCs/>
          <w:noProof/>
          <w:sz w:val="22"/>
          <w:szCs w:val="22"/>
        </w:rPr>
        <w:br/>
      </w:r>
    </w:p>
    <w:p w14:paraId="30E2A397" w14:textId="77777777" w:rsidR="00C22FD6" w:rsidRPr="000035E9" w:rsidRDefault="00C22FD6" w:rsidP="00A80CE6">
      <w:pPr>
        <w:pStyle w:val="ListParagraph"/>
        <w:numPr>
          <w:ilvl w:val="0"/>
          <w:numId w:val="19"/>
        </w:numPr>
        <w:ind w:left="851"/>
        <w:rPr>
          <w:rFonts w:ascii="Verdana" w:hAnsi="Verdana"/>
          <w:b/>
          <w:bCs/>
          <w:noProof/>
          <w:sz w:val="22"/>
          <w:szCs w:val="22"/>
        </w:rPr>
      </w:pPr>
      <w:r w:rsidRPr="000035E9">
        <w:rPr>
          <w:rFonts w:ascii="Verdana" w:hAnsi="Verdana"/>
          <w:b/>
          <w:bCs/>
          <w:noProof/>
          <w:sz w:val="22"/>
          <w:szCs w:val="22"/>
        </w:rPr>
        <w:t>And what was the cost to the health board to employ mental health trained staff either via bank shifts or agency staff to provide the observation levels to patients on a general medicine ward. </w:t>
      </w:r>
    </w:p>
    <w:p w14:paraId="350D2AC0" w14:textId="320D6D4D" w:rsidR="003E3BF5" w:rsidRDefault="003E3BF5" w:rsidP="00A80CE6">
      <w:pPr>
        <w:ind w:left="851"/>
        <w:rPr>
          <w:rFonts w:ascii="Verdana" w:hAnsi="Verdana"/>
          <w:b/>
          <w:bCs/>
          <w:noProof/>
          <w:sz w:val="22"/>
          <w:szCs w:val="22"/>
        </w:rPr>
      </w:pPr>
      <w:r w:rsidRPr="000035E9">
        <w:rPr>
          <w:rFonts w:ascii="Verdana" w:hAnsi="Verdana"/>
          <w:noProof/>
          <w:sz w:val="22"/>
          <w:szCs w:val="22"/>
        </w:rPr>
        <w:t>This information is not held centrally.</w:t>
      </w:r>
      <w:r w:rsidRPr="000035E9">
        <w:rPr>
          <w:rFonts w:ascii="Verdana" w:hAnsi="Verdana"/>
          <w:b/>
          <w:bCs/>
          <w:noProof/>
          <w:sz w:val="22"/>
          <w:szCs w:val="22"/>
        </w:rPr>
        <w:t xml:space="preserve"> </w:t>
      </w:r>
      <w:r w:rsidRPr="000035E9">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0035E9">
        <w:rPr>
          <w:rFonts w:ascii="Verdana" w:hAnsi="Verdana" w:cs="Tahoma"/>
          <w:sz w:val="22"/>
          <w:szCs w:val="22"/>
        </w:rPr>
        <w:t>Section 12 of the FOI Act and T</w:t>
      </w:r>
      <w:r w:rsidRPr="000035E9">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w:t>
      </w:r>
      <w:r w:rsidRPr="000035E9">
        <w:rPr>
          <w:rFonts w:ascii="Verdana" w:hAnsi="Verdana"/>
          <w:sz w:val="22"/>
          <w:szCs w:val="22"/>
        </w:rPr>
        <w:lastRenderedPageBreak/>
        <w:t xml:space="preserve">identifying information in order to deal with a request for information and therefore we are withholding this information at this time. </w:t>
      </w:r>
      <w:r w:rsidRPr="000035E9">
        <w:rPr>
          <w:rFonts w:ascii="Verdana" w:hAnsi="Verdana"/>
          <w:b/>
          <w:bCs/>
          <w:noProof/>
          <w:sz w:val="22"/>
          <w:szCs w:val="22"/>
        </w:rPr>
        <w:br/>
      </w:r>
    </w:p>
    <w:p w14:paraId="264DA8CD" w14:textId="146E75A5" w:rsidR="009C5E11" w:rsidRPr="009C5E11" w:rsidRDefault="009C5E11" w:rsidP="00A80CE6">
      <w:pPr>
        <w:ind w:left="851"/>
        <w:rPr>
          <w:rFonts w:ascii="Verdana" w:hAnsi="Verdana"/>
          <w:noProof/>
          <w:sz w:val="22"/>
          <w:szCs w:val="22"/>
        </w:rPr>
      </w:pPr>
      <w:r>
        <w:rPr>
          <w:rFonts w:ascii="Verdana" w:hAnsi="Verdana"/>
          <w:noProof/>
          <w:sz w:val="22"/>
          <w:szCs w:val="22"/>
        </w:rPr>
        <w:t>*</w:t>
      </w:r>
      <w:r w:rsidRPr="009C5E11">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9C5E11">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9C5E11">
        <w:rPr>
          <w:rFonts w:ascii="Verdana" w:hAnsi="Verdana"/>
          <w:noProof/>
          <w:sz w:val="22"/>
          <w:szCs w:val="22"/>
        </w:rPr>
        <w:t>This exemption is absolute and therefore there is no requirement to apply the public interest test.</w:t>
      </w:r>
    </w:p>
    <w:p w14:paraId="75970B72" w14:textId="20479A3C" w:rsidR="00A10460" w:rsidRPr="000035E9" w:rsidRDefault="00421E7F" w:rsidP="00421E7F">
      <w:pPr>
        <w:rPr>
          <w:rFonts w:ascii="Verdana" w:hAnsi="Verdana"/>
          <w:b/>
          <w:bCs/>
          <w:noProof/>
          <w:sz w:val="22"/>
          <w:szCs w:val="22"/>
        </w:rPr>
      </w:pPr>
      <w:r w:rsidRPr="000035E9">
        <w:rPr>
          <w:rFonts w:ascii="Verdana" w:hAnsi="Verdana"/>
          <w:b/>
          <w:bCs/>
          <w:noProof/>
          <w:sz w:val="22"/>
          <w:szCs w:val="22"/>
        </w:rPr>
        <w:t>____________________________________________________________</w:t>
      </w:r>
      <w:r w:rsidR="009C5E11">
        <w:rPr>
          <w:rFonts w:ascii="Verdana" w:hAnsi="Verdana"/>
          <w:b/>
          <w:bCs/>
          <w:noProof/>
          <w:sz w:val="22"/>
          <w:szCs w:val="22"/>
        </w:rPr>
        <w:t>_</w:t>
      </w:r>
      <w:r w:rsidRPr="000035E9">
        <w:rPr>
          <w:rFonts w:ascii="Verdana" w:hAnsi="Verdana"/>
          <w:b/>
          <w:bCs/>
          <w:noProof/>
          <w:sz w:val="22"/>
          <w:szCs w:val="22"/>
        </w:rPr>
        <w:t xml:space="preserve"> </w:t>
      </w:r>
    </w:p>
    <w:p w14:paraId="6644CEA6" w14:textId="77777777" w:rsidR="004F001A" w:rsidRPr="000035E9" w:rsidRDefault="004F001A" w:rsidP="004F001A">
      <w:pPr>
        <w:spacing w:before="0" w:after="0" w:line="240" w:lineRule="auto"/>
        <w:ind w:left="0" w:right="0"/>
        <w:rPr>
          <w:rFonts w:ascii="Verdana" w:hAnsi="Verdana"/>
          <w:b/>
          <w:bCs/>
          <w:noProof/>
          <w:sz w:val="22"/>
          <w:szCs w:val="22"/>
        </w:rPr>
      </w:pPr>
    </w:p>
    <w:sectPr w:rsidR="004F001A" w:rsidRPr="000035E9" w:rsidSect="00A80CE6">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5BF44" w14:textId="77777777" w:rsidR="00502085" w:rsidRDefault="00502085" w:rsidP="007D6A3E">
      <w:pPr>
        <w:spacing w:before="0" w:after="0" w:line="240" w:lineRule="auto"/>
      </w:pPr>
      <w:r>
        <w:separator/>
      </w:r>
    </w:p>
  </w:endnote>
  <w:endnote w:type="continuationSeparator" w:id="0">
    <w:p w14:paraId="4DBFA183" w14:textId="77777777" w:rsidR="00502085" w:rsidRDefault="0050208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269686365" name="Picture 126968636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405127713" name="Picture 1405127713"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14CBD" w14:textId="77777777" w:rsidR="00502085" w:rsidRDefault="00502085" w:rsidP="007D6A3E">
      <w:pPr>
        <w:spacing w:before="0" w:after="0" w:line="240" w:lineRule="auto"/>
      </w:pPr>
      <w:r>
        <w:separator/>
      </w:r>
    </w:p>
  </w:footnote>
  <w:footnote w:type="continuationSeparator" w:id="0">
    <w:p w14:paraId="1CA52DEC" w14:textId="77777777" w:rsidR="00502085" w:rsidRDefault="0050208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654186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5952BB0"/>
    <w:multiLevelType w:val="hybridMultilevel"/>
    <w:tmpl w:val="897027D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20347244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35E9"/>
    <w:rsid w:val="00040038"/>
    <w:rsid w:val="00095DF5"/>
    <w:rsid w:val="000A785B"/>
    <w:rsid w:val="000C00ED"/>
    <w:rsid w:val="000F6539"/>
    <w:rsid w:val="00111757"/>
    <w:rsid w:val="001276F0"/>
    <w:rsid w:val="001508FC"/>
    <w:rsid w:val="00185784"/>
    <w:rsid w:val="001B1339"/>
    <w:rsid w:val="001E2D50"/>
    <w:rsid w:val="001F4FD1"/>
    <w:rsid w:val="00200077"/>
    <w:rsid w:val="0020072B"/>
    <w:rsid w:val="00213076"/>
    <w:rsid w:val="002156AF"/>
    <w:rsid w:val="00236F74"/>
    <w:rsid w:val="00257A6E"/>
    <w:rsid w:val="002677FD"/>
    <w:rsid w:val="00286642"/>
    <w:rsid w:val="00296FDA"/>
    <w:rsid w:val="002B74C8"/>
    <w:rsid w:val="002C252B"/>
    <w:rsid w:val="002D32B6"/>
    <w:rsid w:val="002E02A9"/>
    <w:rsid w:val="00304A21"/>
    <w:rsid w:val="00324DF4"/>
    <w:rsid w:val="00325C30"/>
    <w:rsid w:val="0034298B"/>
    <w:rsid w:val="0035435D"/>
    <w:rsid w:val="00355B9A"/>
    <w:rsid w:val="003648A8"/>
    <w:rsid w:val="0039422D"/>
    <w:rsid w:val="003B09B5"/>
    <w:rsid w:val="003E3BF5"/>
    <w:rsid w:val="003F2312"/>
    <w:rsid w:val="004039EB"/>
    <w:rsid w:val="00421E7F"/>
    <w:rsid w:val="00442A3A"/>
    <w:rsid w:val="00453C57"/>
    <w:rsid w:val="0048724F"/>
    <w:rsid w:val="004C59CA"/>
    <w:rsid w:val="004C7B47"/>
    <w:rsid w:val="004E1954"/>
    <w:rsid w:val="004F001A"/>
    <w:rsid w:val="004F1E5A"/>
    <w:rsid w:val="004F4D32"/>
    <w:rsid w:val="00502085"/>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86EF1"/>
    <w:rsid w:val="00787E86"/>
    <w:rsid w:val="00790973"/>
    <w:rsid w:val="007953A0"/>
    <w:rsid w:val="00795AD1"/>
    <w:rsid w:val="007A0EE4"/>
    <w:rsid w:val="007A5616"/>
    <w:rsid w:val="007B0951"/>
    <w:rsid w:val="007B516B"/>
    <w:rsid w:val="007B6D99"/>
    <w:rsid w:val="007D0444"/>
    <w:rsid w:val="007D06BB"/>
    <w:rsid w:val="007D1180"/>
    <w:rsid w:val="007D6A3E"/>
    <w:rsid w:val="007F192C"/>
    <w:rsid w:val="008111EE"/>
    <w:rsid w:val="00816437"/>
    <w:rsid w:val="00824D19"/>
    <w:rsid w:val="00846C1D"/>
    <w:rsid w:val="00873328"/>
    <w:rsid w:val="0089491A"/>
    <w:rsid w:val="008A2D60"/>
    <w:rsid w:val="008F5ECA"/>
    <w:rsid w:val="0090178A"/>
    <w:rsid w:val="00912B14"/>
    <w:rsid w:val="009267EE"/>
    <w:rsid w:val="009269BD"/>
    <w:rsid w:val="00937E61"/>
    <w:rsid w:val="009574AC"/>
    <w:rsid w:val="0097092D"/>
    <w:rsid w:val="00982170"/>
    <w:rsid w:val="009A0943"/>
    <w:rsid w:val="009B087A"/>
    <w:rsid w:val="009B21AD"/>
    <w:rsid w:val="009B7CC6"/>
    <w:rsid w:val="009C5169"/>
    <w:rsid w:val="009C5E11"/>
    <w:rsid w:val="009D50E8"/>
    <w:rsid w:val="009F7815"/>
    <w:rsid w:val="00A10460"/>
    <w:rsid w:val="00A17614"/>
    <w:rsid w:val="00A56076"/>
    <w:rsid w:val="00A80CE6"/>
    <w:rsid w:val="00A84640"/>
    <w:rsid w:val="00AB4D54"/>
    <w:rsid w:val="00AF0E8B"/>
    <w:rsid w:val="00AF691A"/>
    <w:rsid w:val="00B031C2"/>
    <w:rsid w:val="00B34966"/>
    <w:rsid w:val="00B428AF"/>
    <w:rsid w:val="00B61DE2"/>
    <w:rsid w:val="00B73D24"/>
    <w:rsid w:val="00B82C9E"/>
    <w:rsid w:val="00B8458F"/>
    <w:rsid w:val="00BB4931"/>
    <w:rsid w:val="00BC67E1"/>
    <w:rsid w:val="00C021A4"/>
    <w:rsid w:val="00C050BE"/>
    <w:rsid w:val="00C21013"/>
    <w:rsid w:val="00C22FD6"/>
    <w:rsid w:val="00C52879"/>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3E06"/>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C22FD6"/>
    <w:rPr>
      <w:color w:val="605E5C"/>
      <w:shd w:val="clear" w:color="auto" w:fill="E1DFDD"/>
    </w:rPr>
  </w:style>
  <w:style w:type="table" w:styleId="GridTable5Dark-Accent2">
    <w:name w:val="Grid Table 5 Dark Accent 2"/>
    <w:basedOn w:val="TableNormal"/>
    <w:uiPriority w:val="50"/>
    <w:rsid w:val="009C5E1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2"/>
      </w:tcPr>
    </w:tblStylePr>
    <w:tblStylePr w:type="band1Vert">
      <w:tblPr/>
      <w:tcPr>
        <w:shd w:val="clear" w:color="auto" w:fill="A3CEED" w:themeFill="accent2" w:themeFillTint="66"/>
      </w:tcPr>
    </w:tblStylePr>
    <w:tblStylePr w:type="band1Horz">
      <w:tblPr/>
      <w:tcPr>
        <w:shd w:val="clear" w:color="auto" w:fill="A3CEED" w:themeFill="accent2" w:themeFillTint="66"/>
      </w:tcPr>
    </w:tblStylePr>
  </w:style>
  <w:style w:type="table" w:styleId="GridTable4-Accent2">
    <w:name w:val="Grid Table 4 Accent 2"/>
    <w:basedOn w:val="TableNormal"/>
    <w:uiPriority w:val="49"/>
    <w:rsid w:val="009C5E11"/>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character" w:styleId="CommentReference">
    <w:name w:val="annotation reference"/>
    <w:basedOn w:val="DefaultParagraphFont"/>
    <w:uiPriority w:val="99"/>
    <w:semiHidden/>
    <w:unhideWhenUsed/>
    <w:rsid w:val="00200077"/>
    <w:rPr>
      <w:sz w:val="16"/>
      <w:szCs w:val="16"/>
    </w:rPr>
  </w:style>
  <w:style w:type="paragraph" w:styleId="CommentText">
    <w:name w:val="annotation text"/>
    <w:basedOn w:val="Normal"/>
    <w:link w:val="CommentTextChar"/>
    <w:uiPriority w:val="99"/>
    <w:unhideWhenUsed/>
    <w:rsid w:val="00200077"/>
    <w:pPr>
      <w:spacing w:line="240" w:lineRule="auto"/>
    </w:pPr>
    <w:rPr>
      <w:sz w:val="20"/>
      <w:szCs w:val="20"/>
    </w:rPr>
  </w:style>
  <w:style w:type="character" w:customStyle="1" w:styleId="CommentTextChar">
    <w:name w:val="Comment Text Char"/>
    <w:basedOn w:val="DefaultParagraphFont"/>
    <w:link w:val="CommentText"/>
    <w:uiPriority w:val="99"/>
    <w:rsid w:val="00200077"/>
  </w:style>
  <w:style w:type="paragraph" w:styleId="CommentSubject">
    <w:name w:val="annotation subject"/>
    <w:basedOn w:val="CommentText"/>
    <w:next w:val="CommentText"/>
    <w:link w:val="CommentSubjectChar"/>
    <w:uiPriority w:val="99"/>
    <w:semiHidden/>
    <w:unhideWhenUsed/>
    <w:rsid w:val="00200077"/>
    <w:rPr>
      <w:b/>
      <w:bCs/>
    </w:rPr>
  </w:style>
  <w:style w:type="character" w:customStyle="1" w:styleId="CommentSubjectChar">
    <w:name w:val="Comment Subject Char"/>
    <w:basedOn w:val="CommentTextChar"/>
    <w:link w:val="CommentSubject"/>
    <w:uiPriority w:val="99"/>
    <w:semiHidden/>
    <w:rsid w:val="00200077"/>
    <w:rPr>
      <w:b/>
      <w:bCs/>
    </w:rPr>
  </w:style>
  <w:style w:type="paragraph" w:styleId="Revision">
    <w:name w:val="Revision"/>
    <w:hidden/>
    <w:uiPriority w:val="99"/>
    <w:semiHidden/>
    <w:rsid w:val="00787E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125</TotalTime>
  <Pages>3</Pages>
  <Words>956</Words>
  <Characters>4645</Characters>
  <Application>Microsoft Office Word</Application>
  <DocSecurity>0</DocSecurity>
  <Lines>185</Lines>
  <Paragraphs>116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2026-02-12T16:19:00Z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e04f567d-50c0-4b3a-b5a5-6fbb937bcc7b</vt:lpwstr>
  </property>
</Properties>
</file>