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031CF" w:rsidRDefault="00042749">
      <w:pPr>
        <w:pStyle w:val="Body"/>
        <w:spacing w:after="0" w:line="240" w:lineRule="auto"/>
        <w:jc w:val="right"/>
      </w:pPr>
      <w:r>
        <w:rPr>
          <w:rFonts w:ascii="Arial" w:hAnsi="Arial"/>
          <w:b/>
          <w:bCs/>
          <w:sz w:val="24"/>
          <w:szCs w:val="24"/>
        </w:rPr>
        <w:t>Appendix C</w:t>
      </w:r>
    </w:p>
    <w:p w:rsidR="005031CF" w:rsidRDefault="00042749">
      <w:pPr>
        <w:pStyle w:val="Body"/>
        <w:spacing w:after="0" w:line="240" w:lineRule="auto"/>
        <w:jc w:val="center"/>
      </w:pPr>
      <w:r>
        <w:rPr>
          <w:rFonts w:ascii="Arial" w:eastAsia="Arial" w:hAnsi="Arial" w:cs="Arial"/>
          <w:b/>
          <w:bCs/>
          <w:noProof/>
          <w:sz w:val="24"/>
          <w:szCs w:val="24"/>
          <w:lang w:val="en-GB"/>
        </w:rPr>
        <w:drawing>
          <wp:inline distT="0" distB="0" distL="0" distR="0">
            <wp:extent cx="4267200" cy="1085850"/>
            <wp:effectExtent l="0" t="0" r="0" b="0"/>
            <wp:docPr id="1073741826" name="officeArt object"/>
            <wp:cNvGraphicFramePr/>
            <a:graphic xmlns:a="http://schemas.openxmlformats.org/drawingml/2006/main">
              <a:graphicData uri="http://schemas.openxmlformats.org/drawingml/2006/picture">
                <pic:pic xmlns:pic="http://schemas.openxmlformats.org/drawingml/2006/picture">
                  <pic:nvPicPr>
                    <pic:cNvPr id="1073741826" name="image1.jpeg"/>
                    <pic:cNvPicPr>
                      <a:picLocks noChangeAspect="1"/>
                    </pic:cNvPicPr>
                  </pic:nvPicPr>
                  <pic:blipFill>
                    <a:blip r:embed="rId8">
                      <a:extLst/>
                    </a:blip>
                    <a:stretch>
                      <a:fillRect/>
                    </a:stretch>
                  </pic:blipFill>
                  <pic:spPr>
                    <a:xfrm>
                      <a:off x="0" y="0"/>
                      <a:ext cx="4267200" cy="1085850"/>
                    </a:xfrm>
                    <a:prstGeom prst="rect">
                      <a:avLst/>
                    </a:prstGeom>
                    <a:ln w="12700" cap="flat">
                      <a:noFill/>
                      <a:miter lim="400000"/>
                    </a:ln>
                    <a:effectLst/>
                  </pic:spPr>
                </pic:pic>
              </a:graphicData>
            </a:graphic>
          </wp:inline>
        </w:drawing>
      </w:r>
    </w:p>
    <w:p w:rsidR="005031CF" w:rsidRDefault="005031CF">
      <w:pPr>
        <w:pStyle w:val="Body"/>
        <w:spacing w:after="0" w:line="240" w:lineRule="auto"/>
        <w:jc w:val="center"/>
      </w:pPr>
    </w:p>
    <w:p w:rsidR="005031CF" w:rsidRDefault="005031CF">
      <w:pPr>
        <w:pStyle w:val="Body"/>
        <w:spacing w:after="0" w:line="240" w:lineRule="auto"/>
      </w:pPr>
    </w:p>
    <w:p w:rsidR="005031CF" w:rsidRDefault="005031CF">
      <w:pPr>
        <w:pStyle w:val="Body"/>
        <w:spacing w:after="0" w:line="240" w:lineRule="auto"/>
      </w:pPr>
    </w:p>
    <w:p w:rsidR="005031CF" w:rsidRDefault="00042749">
      <w:pPr>
        <w:pStyle w:val="Body"/>
        <w:spacing w:after="0" w:line="240" w:lineRule="auto"/>
      </w:pPr>
      <w:r>
        <w:rPr>
          <w:rFonts w:ascii="Arial" w:hAnsi="Arial"/>
          <w:b/>
          <w:bCs/>
          <w:sz w:val="32"/>
          <w:szCs w:val="32"/>
          <w:lang w:val="fr-FR"/>
        </w:rPr>
        <w:t>Engagement on:</w:t>
      </w:r>
    </w:p>
    <w:p w:rsidR="005031CF" w:rsidRDefault="00042749">
      <w:pPr>
        <w:pStyle w:val="ListParagraph"/>
        <w:numPr>
          <w:ilvl w:val="0"/>
          <w:numId w:val="2"/>
        </w:numPr>
        <w:spacing w:after="0" w:line="240" w:lineRule="auto"/>
        <w:rPr>
          <w:rFonts w:ascii="Arial" w:hAnsi="Arial"/>
          <w:b/>
          <w:bCs/>
          <w:sz w:val="32"/>
          <w:szCs w:val="32"/>
        </w:rPr>
      </w:pPr>
      <w:r>
        <w:rPr>
          <w:rFonts w:ascii="Arial" w:hAnsi="Arial"/>
          <w:b/>
          <w:bCs/>
          <w:sz w:val="32"/>
          <w:szCs w:val="32"/>
        </w:rPr>
        <w:t>Your experiences of support and services for older people with mental health needs in Swansea Bay</w:t>
      </w:r>
    </w:p>
    <w:p w:rsidR="005031CF" w:rsidRDefault="00042749">
      <w:pPr>
        <w:pStyle w:val="ListParagraph"/>
        <w:numPr>
          <w:ilvl w:val="0"/>
          <w:numId w:val="2"/>
        </w:numPr>
        <w:spacing w:after="0" w:line="240" w:lineRule="auto"/>
        <w:rPr>
          <w:rFonts w:ascii="Arial" w:hAnsi="Arial"/>
          <w:b/>
          <w:bCs/>
          <w:sz w:val="32"/>
          <w:szCs w:val="32"/>
        </w:rPr>
      </w:pPr>
      <w:r>
        <w:rPr>
          <w:rFonts w:ascii="Arial" w:hAnsi="Arial"/>
          <w:b/>
          <w:bCs/>
          <w:sz w:val="32"/>
          <w:szCs w:val="32"/>
        </w:rPr>
        <w:t>Our proposals to create a single integrated service across Swansea Bay for older people with mental health needs and</w:t>
      </w:r>
    </w:p>
    <w:p w:rsidR="005031CF" w:rsidRDefault="00042749">
      <w:pPr>
        <w:pStyle w:val="ListParagraph"/>
        <w:numPr>
          <w:ilvl w:val="0"/>
          <w:numId w:val="2"/>
        </w:numPr>
        <w:spacing w:after="0" w:line="240" w:lineRule="auto"/>
        <w:rPr>
          <w:rFonts w:ascii="Arial" w:hAnsi="Arial"/>
          <w:b/>
          <w:bCs/>
          <w:sz w:val="32"/>
          <w:szCs w:val="32"/>
        </w:rPr>
      </w:pPr>
      <w:r>
        <w:rPr>
          <w:rFonts w:ascii="Arial" w:hAnsi="Arial"/>
          <w:b/>
          <w:bCs/>
          <w:sz w:val="32"/>
          <w:szCs w:val="32"/>
        </w:rPr>
        <w:t>Our proposals to reduce beds</w:t>
      </w:r>
    </w:p>
    <w:p w:rsidR="005031CF" w:rsidRDefault="00042749">
      <w:pPr>
        <w:pStyle w:val="Body"/>
        <w:spacing w:after="0" w:line="240" w:lineRule="auto"/>
      </w:pPr>
      <w:r>
        <w:rPr>
          <w:rFonts w:ascii="Arial" w:hAnsi="Arial"/>
          <w:b/>
          <w:bCs/>
          <w:sz w:val="32"/>
          <w:szCs w:val="32"/>
        </w:rPr>
        <w:t xml:space="preserve"> </w:t>
      </w:r>
    </w:p>
    <w:p w:rsidR="005031CF" w:rsidRDefault="00042749">
      <w:pPr>
        <w:pStyle w:val="Body"/>
        <w:spacing w:after="0" w:line="240" w:lineRule="auto"/>
        <w:jc w:val="center"/>
      </w:pPr>
      <w:r>
        <w:rPr>
          <w:rFonts w:ascii="Arial" w:hAnsi="Arial"/>
          <w:b/>
          <w:bCs/>
          <w:sz w:val="32"/>
          <w:szCs w:val="32"/>
          <w:lang w:val="en-US"/>
        </w:rPr>
        <w:t>Equality Impact Assessment Stage 1</w:t>
      </w:r>
    </w:p>
    <w:p w:rsidR="005031CF" w:rsidRDefault="005031CF">
      <w:pPr>
        <w:pStyle w:val="Body"/>
        <w:spacing w:after="0" w:line="240" w:lineRule="auto"/>
      </w:pPr>
    </w:p>
    <w:p w:rsidR="005031CF" w:rsidRDefault="00042749">
      <w:pPr>
        <w:pStyle w:val="Body"/>
        <w:spacing w:after="0" w:line="240" w:lineRule="auto"/>
      </w:pPr>
      <w:r>
        <w:rPr>
          <w:rFonts w:ascii="Arial" w:hAnsi="Arial"/>
          <w:b/>
          <w:bCs/>
          <w:sz w:val="32"/>
          <w:szCs w:val="32"/>
          <w:lang w:val="en-US"/>
        </w:rPr>
        <w:t xml:space="preserve">May 2021 </w:t>
      </w:r>
    </w:p>
    <w:p w:rsidR="005031CF" w:rsidRDefault="005031CF">
      <w:pPr>
        <w:pStyle w:val="Body"/>
      </w:pPr>
    </w:p>
    <w:p w:rsidR="005031CF" w:rsidRDefault="00042749">
      <w:pPr>
        <w:pStyle w:val="Heading"/>
        <w:numPr>
          <w:ilvl w:val="0"/>
          <w:numId w:val="4"/>
        </w:numPr>
      </w:pPr>
      <w:r>
        <w:t>Introduction</w:t>
      </w:r>
    </w:p>
    <w:p w:rsidR="005031CF" w:rsidRDefault="00042749">
      <w:pPr>
        <w:pStyle w:val="Body"/>
        <w:spacing w:after="0" w:line="240" w:lineRule="auto"/>
      </w:pPr>
      <w:r>
        <w:rPr>
          <w:rFonts w:ascii="Arial" w:hAnsi="Arial"/>
          <w:sz w:val="28"/>
          <w:szCs w:val="28"/>
          <w:lang w:val="en-US"/>
        </w:rPr>
        <w:t>The purpose of this report is to set out the narrative and findings of the Equality Impact Assessment of proposed changes to Mental Health inpatient capacity for older people as part of the modernisation of Older People’s Mental Health Services across the geographical area served by Swansea Bay University Health Board.</w:t>
      </w:r>
    </w:p>
    <w:p w:rsidR="005031CF" w:rsidRDefault="005031CF">
      <w:pPr>
        <w:pStyle w:val="Body"/>
        <w:spacing w:after="0" w:line="240" w:lineRule="auto"/>
      </w:pPr>
    </w:p>
    <w:p w:rsidR="005031CF" w:rsidRDefault="00042749">
      <w:pPr>
        <w:pStyle w:val="Body"/>
        <w:spacing w:after="0" w:line="240" w:lineRule="auto"/>
      </w:pPr>
      <w:r>
        <w:rPr>
          <w:rFonts w:ascii="Arial" w:hAnsi="Arial"/>
          <w:sz w:val="28"/>
          <w:szCs w:val="28"/>
          <w:lang w:val="en-US"/>
        </w:rPr>
        <w:t>The Equality Act 2010 places a positive duty on public authorities to promote equality for protected groups.  The Equality Act 2010 requires Welsh public bodies to demonstrate how they pay ‘</w:t>
      </w:r>
      <w:r>
        <w:rPr>
          <w:rFonts w:ascii="Arial" w:hAnsi="Arial"/>
          <w:sz w:val="28"/>
          <w:szCs w:val="28"/>
          <w:lang w:val="it-IT"/>
        </w:rPr>
        <w:t>due regard</w:t>
      </w:r>
      <w:r>
        <w:rPr>
          <w:rFonts w:ascii="Arial" w:hAnsi="Arial"/>
          <w:sz w:val="28"/>
          <w:szCs w:val="28"/>
          <w:lang w:val="en-US"/>
        </w:rPr>
        <w:t>’ to equality when carrying out their functions and activities.  Equality is about making sure people are treated fairly.  It is not about treating everyone in the same way but recognising that everyone’s needs are met in different ways.  Our age, disability, faith or belief, gender, race, sexual orientation, being married or in a civil partnership, being transgender or being pregnant should not disadvantage us.  These different characteristics are protected under the Equality Act 2010.</w:t>
      </w:r>
    </w:p>
    <w:p w:rsidR="005031CF" w:rsidRDefault="005031CF">
      <w:pPr>
        <w:pStyle w:val="Body"/>
        <w:spacing w:after="0" w:line="240" w:lineRule="auto"/>
      </w:pPr>
    </w:p>
    <w:p w:rsidR="005031CF" w:rsidRDefault="00042749">
      <w:pPr>
        <w:pStyle w:val="Body"/>
        <w:spacing w:after="0" w:line="240" w:lineRule="auto"/>
      </w:pPr>
      <w:r>
        <w:rPr>
          <w:rFonts w:ascii="Arial" w:hAnsi="Arial"/>
          <w:sz w:val="28"/>
          <w:szCs w:val="28"/>
          <w:lang w:val="en-US"/>
        </w:rPr>
        <w:t xml:space="preserve">This is a Stage 1 Equality Impact Assessment (EIA) which will be used to develop the evidence base, and describe our current understanding of </w:t>
      </w:r>
      <w:r>
        <w:rPr>
          <w:rFonts w:ascii="Arial" w:hAnsi="Arial"/>
          <w:sz w:val="28"/>
          <w:szCs w:val="28"/>
          <w:lang w:val="en-US"/>
        </w:rPr>
        <w:lastRenderedPageBreak/>
        <w:t>the potential impact of the proposed service changes based on that evidence base.  Following the agreed engagement period after discussion with the Community Health Council a Stage 2 EIA will be produced, which will incorporate an analysis of feedback from our engagement activity with stakeholders, and any new evidence identified.</w:t>
      </w:r>
    </w:p>
    <w:p w:rsidR="005031CF" w:rsidRDefault="00042749">
      <w:pPr>
        <w:pStyle w:val="Body"/>
        <w:spacing w:after="0" w:line="240" w:lineRule="auto"/>
      </w:pPr>
      <w:r>
        <w:rPr>
          <w:rFonts w:ascii="Arial" w:hAnsi="Arial"/>
          <w:sz w:val="28"/>
          <w:szCs w:val="28"/>
          <w:lang w:val="en-US"/>
        </w:rPr>
        <w:t>This report is not intended to be a definitive statement on the potential impact of the proposed changes on protected characteristic groups, but to describe our understanding at this point in the process.  The Stage 1 EIA process will help us to identify and address any gaps in our knowledge by engaging and consulting with the public and stakeholders.  This Stage 1 EIA will remain in draft form throughout the engagement period and will be updated accordingly as further evidence is gathered.</w:t>
      </w:r>
    </w:p>
    <w:p w:rsidR="005031CF" w:rsidRDefault="005031CF">
      <w:pPr>
        <w:pStyle w:val="Body"/>
      </w:pPr>
    </w:p>
    <w:p w:rsidR="005031CF" w:rsidRDefault="00042749">
      <w:pPr>
        <w:pStyle w:val="Heading"/>
        <w:numPr>
          <w:ilvl w:val="0"/>
          <w:numId w:val="5"/>
        </w:numPr>
      </w:pPr>
      <w:r>
        <w:rPr>
          <w:lang w:val="en-US"/>
        </w:rPr>
        <w:t>Background and rationale for the proposed service change</w:t>
      </w:r>
    </w:p>
    <w:p w:rsidR="005031CF" w:rsidRDefault="00042749">
      <w:pPr>
        <w:pStyle w:val="Body"/>
      </w:pPr>
      <w:r>
        <w:rPr>
          <w:rFonts w:ascii="Arial" w:hAnsi="Arial"/>
          <w:sz w:val="28"/>
          <w:szCs w:val="28"/>
          <w:lang w:val="en-US"/>
        </w:rPr>
        <w:t>The Health Board’s Annual Plan for previous years and for 2021/22 was and is still committed to review capacity and bed provision of the Older People’s Mental Health services across the geographical area covered by Swansea Bay University Health Board based on previous benchmarking data and also current vacant capacity within the service for a significant period of time. Particular attention was to be given to re-focusing continuing long term care for older people to support people in the right place and to re-shape the existing resources.</w:t>
      </w:r>
    </w:p>
    <w:p w:rsidR="005031CF" w:rsidRDefault="00042749">
      <w:pPr>
        <w:pStyle w:val="Body"/>
        <w:spacing w:after="0" w:line="240" w:lineRule="auto"/>
      </w:pPr>
      <w:r>
        <w:rPr>
          <w:rFonts w:ascii="Arial" w:hAnsi="Arial"/>
          <w:sz w:val="28"/>
          <w:szCs w:val="28"/>
          <w:lang w:val="en-US"/>
        </w:rPr>
        <w:t xml:space="preserve">UK wide benchmarking in 2019 indicates that acute inpatient services for older people are significantly above average in the number of acute beds – 61.7 per 100k of over 65s compared to benchmark average of 42.  </w:t>
      </w:r>
    </w:p>
    <w:p w:rsidR="005031CF" w:rsidRDefault="00042749">
      <w:pPr>
        <w:pStyle w:val="Body"/>
        <w:spacing w:after="0" w:line="240" w:lineRule="auto"/>
      </w:pPr>
      <w:r>
        <w:rPr>
          <w:rFonts w:ascii="Arial" w:hAnsi="Arial"/>
          <w:sz w:val="28"/>
          <w:szCs w:val="28"/>
          <w:lang w:val="en-US"/>
        </w:rPr>
        <w:t>(Swansea Bay = red bar)</w:t>
      </w:r>
    </w:p>
    <w:p w:rsidR="005031CF" w:rsidRDefault="00042749">
      <w:pPr>
        <w:pStyle w:val="Body"/>
        <w:spacing w:after="0" w:line="240" w:lineRule="auto"/>
      </w:pPr>
      <w:r>
        <w:rPr>
          <w:rFonts w:ascii="Arial" w:hAnsi="Arial"/>
          <w:sz w:val="24"/>
          <w:szCs w:val="24"/>
        </w:rPr>
        <w:t xml:space="preserve"> </w:t>
      </w:r>
    </w:p>
    <w:p w:rsidR="005031CF" w:rsidRDefault="00042749">
      <w:pPr>
        <w:pStyle w:val="Body"/>
        <w:spacing w:after="0" w:line="240" w:lineRule="auto"/>
      </w:pPr>
      <w:r>
        <w:rPr>
          <w:rFonts w:ascii="Arial" w:eastAsia="Arial" w:hAnsi="Arial" w:cs="Arial"/>
          <w:noProof/>
          <w:sz w:val="24"/>
          <w:szCs w:val="24"/>
          <w:lang w:val="en-GB"/>
        </w:rPr>
        <w:drawing>
          <wp:inline distT="0" distB="0" distL="0" distR="0">
            <wp:extent cx="5727700" cy="2181286"/>
            <wp:effectExtent l="0" t="0" r="0" b="0"/>
            <wp:docPr id="1073741827" name="officeArt object"/>
            <wp:cNvGraphicFramePr/>
            <a:graphic xmlns:a="http://schemas.openxmlformats.org/drawingml/2006/main">
              <a:graphicData uri="http://schemas.openxmlformats.org/drawingml/2006/picture">
                <pic:pic xmlns:pic="http://schemas.openxmlformats.org/drawingml/2006/picture">
                  <pic:nvPicPr>
                    <pic:cNvPr id="1073741827" name="image2.png"/>
                    <pic:cNvPicPr>
                      <a:picLocks noChangeAspect="1"/>
                    </pic:cNvPicPr>
                  </pic:nvPicPr>
                  <pic:blipFill>
                    <a:blip r:embed="rId9">
                      <a:extLst/>
                    </a:blip>
                    <a:stretch>
                      <a:fillRect/>
                    </a:stretch>
                  </pic:blipFill>
                  <pic:spPr>
                    <a:xfrm>
                      <a:off x="0" y="0"/>
                      <a:ext cx="5727700" cy="2181286"/>
                    </a:xfrm>
                    <a:prstGeom prst="rect">
                      <a:avLst/>
                    </a:prstGeom>
                    <a:ln w="12700" cap="flat">
                      <a:noFill/>
                      <a:miter lim="400000"/>
                    </a:ln>
                    <a:effectLst/>
                  </pic:spPr>
                </pic:pic>
              </a:graphicData>
            </a:graphic>
          </wp:inline>
        </w:drawing>
      </w:r>
    </w:p>
    <w:p w:rsidR="005031CF" w:rsidRDefault="005031CF">
      <w:pPr>
        <w:pStyle w:val="Body"/>
        <w:spacing w:after="0" w:line="240" w:lineRule="auto"/>
      </w:pPr>
    </w:p>
    <w:p w:rsidR="005031CF" w:rsidRDefault="00042749">
      <w:pPr>
        <w:pStyle w:val="Body"/>
        <w:spacing w:after="0" w:line="240" w:lineRule="auto"/>
      </w:pPr>
      <w:r>
        <w:rPr>
          <w:rFonts w:ascii="Arial" w:hAnsi="Arial"/>
          <w:sz w:val="28"/>
          <w:szCs w:val="28"/>
          <w:lang w:val="en-US"/>
        </w:rPr>
        <w:lastRenderedPageBreak/>
        <w:t>The number of admissions per 100k population are close to the benchmarked mean suggesting we are not out of step with our service.</w:t>
      </w:r>
    </w:p>
    <w:p w:rsidR="005031CF" w:rsidRDefault="005031CF">
      <w:pPr>
        <w:pStyle w:val="Body"/>
        <w:spacing w:after="0" w:line="240" w:lineRule="auto"/>
      </w:pPr>
    </w:p>
    <w:p w:rsidR="005031CF" w:rsidRDefault="00042749">
      <w:pPr>
        <w:pStyle w:val="Body"/>
        <w:spacing w:after="0" w:line="240" w:lineRule="auto"/>
      </w:pPr>
      <w:r>
        <w:rPr>
          <w:rFonts w:ascii="Arial" w:eastAsia="Arial" w:hAnsi="Arial" w:cs="Arial"/>
          <w:noProof/>
          <w:sz w:val="24"/>
          <w:szCs w:val="24"/>
          <w:lang w:val="en-GB"/>
        </w:rPr>
        <w:drawing>
          <wp:inline distT="0" distB="0" distL="0" distR="0">
            <wp:extent cx="5727700" cy="2187633"/>
            <wp:effectExtent l="0" t="0" r="0" b="0"/>
            <wp:docPr id="1073741828" name="officeArt object"/>
            <wp:cNvGraphicFramePr/>
            <a:graphic xmlns:a="http://schemas.openxmlformats.org/drawingml/2006/main">
              <a:graphicData uri="http://schemas.openxmlformats.org/drawingml/2006/picture">
                <pic:pic xmlns:pic="http://schemas.openxmlformats.org/drawingml/2006/picture">
                  <pic:nvPicPr>
                    <pic:cNvPr id="1073741828" name="image3.png"/>
                    <pic:cNvPicPr>
                      <a:picLocks noChangeAspect="1"/>
                    </pic:cNvPicPr>
                  </pic:nvPicPr>
                  <pic:blipFill>
                    <a:blip r:embed="rId10">
                      <a:extLst/>
                    </a:blip>
                    <a:stretch>
                      <a:fillRect/>
                    </a:stretch>
                  </pic:blipFill>
                  <pic:spPr>
                    <a:xfrm>
                      <a:off x="0" y="0"/>
                      <a:ext cx="5727700" cy="2187633"/>
                    </a:xfrm>
                    <a:prstGeom prst="rect">
                      <a:avLst/>
                    </a:prstGeom>
                    <a:ln w="12700" cap="flat">
                      <a:noFill/>
                      <a:miter lim="400000"/>
                    </a:ln>
                    <a:effectLst/>
                  </pic:spPr>
                </pic:pic>
              </a:graphicData>
            </a:graphic>
          </wp:inline>
        </w:drawing>
      </w:r>
    </w:p>
    <w:p w:rsidR="005031CF" w:rsidRDefault="005031CF">
      <w:pPr>
        <w:pStyle w:val="Body"/>
        <w:spacing w:after="0" w:line="240" w:lineRule="auto"/>
      </w:pPr>
    </w:p>
    <w:p w:rsidR="005031CF" w:rsidRDefault="00042749">
      <w:pPr>
        <w:pStyle w:val="Body"/>
        <w:spacing w:after="0" w:line="240" w:lineRule="auto"/>
      </w:pPr>
      <w:r>
        <w:rPr>
          <w:rFonts w:ascii="Arial" w:hAnsi="Arial"/>
          <w:sz w:val="28"/>
          <w:szCs w:val="28"/>
          <w:lang w:val="en-US"/>
        </w:rPr>
        <w:t>The Health Board invested an additional £1.5m in community services across Swansea Bridgend and Neath Port Talbot from 2018, adding predominantly therapies in community services, to improve multidisciplinary working and outcome focused work for people and their families. Within Swansea and Neath Port Talbot we also introduced two specialist care home in-reach multi professional teams, which included the following designated staff solely for care home in reach, consultant psychiatrists, community mental health nurses, psychologists, occupational therapists and physiotherapists.  Alongside this investment we were able at that time to reduce inpatient capacity by 38 beds as occupancy levels dropped across all units. We engaged on this service change in the spring and summer of 2018.</w:t>
      </w:r>
    </w:p>
    <w:p w:rsidR="005031CF" w:rsidRDefault="005031CF">
      <w:pPr>
        <w:pStyle w:val="Body"/>
        <w:spacing w:after="0" w:line="240" w:lineRule="auto"/>
      </w:pPr>
    </w:p>
    <w:p w:rsidR="005031CF" w:rsidRDefault="00042749">
      <w:pPr>
        <w:pStyle w:val="Body"/>
        <w:spacing w:after="0" w:line="240" w:lineRule="auto"/>
      </w:pPr>
      <w:r>
        <w:rPr>
          <w:rFonts w:ascii="Arial" w:hAnsi="Arial"/>
          <w:sz w:val="28"/>
          <w:szCs w:val="28"/>
          <w:lang w:val="en-US"/>
        </w:rPr>
        <w:t>For the Swansea Bay Health Board area, we are now proposing to continue with this ongoing review and proposing to re-provide services across the SBUHB as one service. This will comprise of inpatient beds in Cefn Coed Hospital within three wards based there within Ysbryd y Coed the purpose built unit there and one suite at Tonna Hospital for extended assessment and respite provision in the proposed new planned refurbished Suite two.</w:t>
      </w:r>
    </w:p>
    <w:p w:rsidR="005031CF" w:rsidRDefault="005031CF">
      <w:pPr>
        <w:pStyle w:val="Body"/>
        <w:spacing w:after="0" w:line="240" w:lineRule="auto"/>
      </w:pPr>
    </w:p>
    <w:p w:rsidR="005031CF" w:rsidRDefault="00042749">
      <w:pPr>
        <w:pStyle w:val="Body"/>
        <w:spacing w:after="0" w:line="240" w:lineRule="auto"/>
      </w:pPr>
      <w:r>
        <w:rPr>
          <w:rFonts w:ascii="Arial" w:hAnsi="Arial"/>
          <w:sz w:val="28"/>
          <w:szCs w:val="28"/>
          <w:lang w:val="en-US"/>
        </w:rPr>
        <w:t xml:space="preserve">The number of patients being admitted into our mental health beds has, and is, continuing to reduce across all our sites.  The average occupancy of older peoples’ mental health beds in Tonna Hospital has been 60%. The average occupancy across all older people’s mental health beds in Swansea Bay has been 75%.  This means that on average there have been 23-25 empty older peoples’ mental health beds across Swansea Bay since April 2018 with 13-14 in Tonna Hospital.  </w:t>
      </w:r>
      <w:r>
        <w:rPr>
          <w:rFonts w:ascii="Arial" w:hAnsi="Arial"/>
          <w:sz w:val="28"/>
          <w:szCs w:val="28"/>
          <w:lang w:val="en-US"/>
        </w:rPr>
        <w:lastRenderedPageBreak/>
        <w:t>However, as outlined previously, we also know that the use of beds is still reducing.</w:t>
      </w:r>
    </w:p>
    <w:p w:rsidR="005031CF" w:rsidRDefault="00042749">
      <w:pPr>
        <w:pStyle w:val="Body"/>
        <w:spacing w:after="0" w:line="240" w:lineRule="auto"/>
      </w:pPr>
      <w:r>
        <w:rPr>
          <w:rFonts w:ascii="Arial" w:hAnsi="Arial"/>
          <w:sz w:val="28"/>
          <w:szCs w:val="28"/>
          <w:lang w:val="en-US"/>
        </w:rPr>
        <w:t>The Health Board took a decision to transfer beds from Ward G at Neath Port Talbot Hospital during the pandemic to a vacant suite in Tonna Hospital to assist the wider Health Boards in its plans to manage COVID patients across it acute hospital sites. As a result of this change the number of Older Peoples’ Mental Health beds further reduced by 6 (as there were only the 14 free beds at Tonna Hospital available to replace the 20 at Neath Port Talbot Hospital).  On average even after these changes we still had around 23-25 beds empty at any one time across our Older Peoples’ Mental Health wards across Swansea Bay, meaning that of the 92 beds we had available during the pandemic, only 67-69 beds were actually being used.  We have considered the occupancy levels for all the older peoples’ mental beds and for 2019/210 which was 78% and in 2020/21 75%, and admissions to these specialist beds have continued throughout the pandemic</w:t>
      </w:r>
    </w:p>
    <w:p w:rsidR="005031CF" w:rsidRDefault="00042749">
      <w:pPr>
        <w:pStyle w:val="Body"/>
        <w:spacing w:after="0" w:line="240" w:lineRule="auto"/>
      </w:pPr>
      <w:r>
        <w:rPr>
          <w:rFonts w:ascii="Arial" w:hAnsi="Arial"/>
          <w:sz w:val="28"/>
          <w:szCs w:val="28"/>
          <w:lang w:val="en-US"/>
        </w:rPr>
        <w:t>It is neither sustainable nor of high value to run a service model with a considerable amount of capacity being underutilised.</w:t>
      </w:r>
    </w:p>
    <w:p w:rsidR="005031CF" w:rsidRDefault="005031CF">
      <w:pPr>
        <w:pStyle w:val="Body"/>
        <w:spacing w:after="0" w:line="240" w:lineRule="auto"/>
      </w:pPr>
    </w:p>
    <w:p w:rsidR="005031CF" w:rsidRDefault="005031CF">
      <w:pPr>
        <w:pStyle w:val="Body"/>
        <w:spacing w:after="0" w:line="240" w:lineRule="auto"/>
      </w:pPr>
    </w:p>
    <w:p w:rsidR="005031CF" w:rsidRDefault="005031CF">
      <w:pPr>
        <w:pStyle w:val="Body"/>
        <w:spacing w:after="0" w:line="240" w:lineRule="auto"/>
      </w:pPr>
    </w:p>
    <w:p w:rsidR="005031CF" w:rsidRDefault="00042749">
      <w:pPr>
        <w:pStyle w:val="Heading2"/>
      </w:pPr>
      <w:r>
        <w:t>Rationale for service change</w:t>
      </w:r>
    </w:p>
    <w:p w:rsidR="005031CF" w:rsidRDefault="00042749">
      <w:pPr>
        <w:pStyle w:val="Body"/>
        <w:spacing w:after="0" w:line="240" w:lineRule="auto"/>
      </w:pPr>
      <w:r>
        <w:rPr>
          <w:rFonts w:ascii="Arial" w:hAnsi="Arial"/>
          <w:sz w:val="28"/>
          <w:szCs w:val="28"/>
          <w:lang w:val="en-US"/>
        </w:rPr>
        <w:t>The service is predominantly for older people but is provided based on assessment of best being able to meet a person’s needs rather than based only on age.  Services address needs of older people with functional illnesses, such as depression and psychosis, as well as organic illnesses such as Dementia.</w:t>
      </w:r>
    </w:p>
    <w:p w:rsidR="005031CF" w:rsidRDefault="005031CF">
      <w:pPr>
        <w:pStyle w:val="Body"/>
        <w:spacing w:after="0" w:line="240" w:lineRule="auto"/>
      </w:pPr>
    </w:p>
    <w:p w:rsidR="005031CF" w:rsidRDefault="00042749">
      <w:pPr>
        <w:pStyle w:val="Body"/>
        <w:spacing w:after="0" w:line="240" w:lineRule="auto"/>
      </w:pPr>
      <w:r>
        <w:rPr>
          <w:rFonts w:ascii="Arial" w:hAnsi="Arial"/>
          <w:sz w:val="28"/>
          <w:szCs w:val="28"/>
          <w:lang w:val="en-US"/>
        </w:rPr>
        <w:t xml:space="preserve">Beds provide acute assessment, extended assessment for complex long term conditions and some planned respite to support carers.  Currently services are provided and managed within each local authority area but the proposal would move this to SBUHB area service.  The reduction in capacity is removing unused beds which does not see a reduction in service provision but is removing spare capacity. </w:t>
      </w:r>
    </w:p>
    <w:p w:rsidR="005031CF" w:rsidRDefault="005031CF">
      <w:pPr>
        <w:pStyle w:val="Body"/>
        <w:spacing w:after="0" w:line="240" w:lineRule="auto"/>
      </w:pPr>
    </w:p>
    <w:p w:rsidR="005031CF" w:rsidRDefault="00042749">
      <w:pPr>
        <w:pStyle w:val="Body"/>
        <w:spacing w:after="0" w:line="240" w:lineRule="auto"/>
      </w:pPr>
      <w:r>
        <w:rPr>
          <w:rFonts w:ascii="Arial" w:hAnsi="Arial"/>
          <w:sz w:val="28"/>
          <w:szCs w:val="28"/>
          <w:lang w:val="en-US"/>
        </w:rPr>
        <w:t>However, on the Tonna site the change will see the two current wards combined which represents a change from single gender environments to a mixed gender environment. A complete refurbishment of the proposed remaining Suite Two would create a 15 single room unit with ensuite facilities to enhance the privacy and dignity of the patients cared for there.</w:t>
      </w:r>
    </w:p>
    <w:p w:rsidR="005031CF" w:rsidRDefault="005031CF">
      <w:pPr>
        <w:pStyle w:val="Body"/>
        <w:spacing w:after="0" w:line="240" w:lineRule="auto"/>
      </w:pPr>
    </w:p>
    <w:p w:rsidR="005031CF" w:rsidRDefault="00042749">
      <w:pPr>
        <w:pStyle w:val="Body"/>
        <w:spacing w:after="0" w:line="240" w:lineRule="auto"/>
      </w:pPr>
      <w:r>
        <w:rPr>
          <w:rFonts w:ascii="Arial" w:hAnsi="Arial"/>
          <w:sz w:val="28"/>
          <w:szCs w:val="28"/>
          <w:lang w:val="en-US"/>
        </w:rPr>
        <w:t xml:space="preserve">Since all the changes in community services and clinical practice has resulted in reduced occupancy in OPMH inpatient wards which offers an </w:t>
      </w:r>
      <w:r>
        <w:rPr>
          <w:rFonts w:ascii="Arial" w:hAnsi="Arial"/>
          <w:sz w:val="28"/>
          <w:szCs w:val="28"/>
          <w:lang w:val="en-US"/>
        </w:rPr>
        <w:lastRenderedPageBreak/>
        <w:t>opportunity to reduce our inpatient wards from the current 6 wards to the proposed 4 wards.  This reduces the risk to patient safety as it has been identified by external review that our current distribution of wards across multiple sites is not sustainable.</w:t>
      </w:r>
    </w:p>
    <w:p w:rsidR="005031CF" w:rsidRDefault="00042749">
      <w:pPr>
        <w:pStyle w:val="Body"/>
        <w:spacing w:after="0" w:line="240" w:lineRule="auto"/>
      </w:pPr>
      <w:r>
        <w:rPr>
          <w:rFonts w:ascii="Arial" w:hAnsi="Arial"/>
          <w:sz w:val="28"/>
          <w:szCs w:val="28"/>
          <w:lang w:val="en-US"/>
        </w:rPr>
        <w:t>Furthermore “The Hidden Cost of Dementia” suggests that the setting in which the person is cared for has a large impact on the overall cost. It demonstrates that the cost is much higher in residential care compared to the cost of care in the community. Surprisingly, it suggests that care costs are only marginally different between the severity levels for caring for people with ‘</w:t>
      </w:r>
      <w:r>
        <w:rPr>
          <w:rFonts w:ascii="Arial" w:hAnsi="Arial"/>
          <w:sz w:val="28"/>
          <w:szCs w:val="28"/>
        </w:rPr>
        <w:t>mild</w:t>
      </w:r>
      <w:r>
        <w:rPr>
          <w:rFonts w:ascii="Arial" w:hAnsi="Arial"/>
          <w:sz w:val="28"/>
          <w:szCs w:val="28"/>
          <w:lang w:val="en-US"/>
        </w:rPr>
        <w:t>’</w:t>
      </w:r>
      <w:r>
        <w:rPr>
          <w:rFonts w:ascii="Arial" w:hAnsi="Arial"/>
          <w:sz w:val="28"/>
          <w:szCs w:val="28"/>
        </w:rPr>
        <w:t xml:space="preserve">, </w:t>
      </w:r>
      <w:r>
        <w:rPr>
          <w:rFonts w:ascii="Arial" w:hAnsi="Arial"/>
          <w:sz w:val="28"/>
          <w:szCs w:val="28"/>
          <w:lang w:val="en-US"/>
        </w:rPr>
        <w:t>‘</w:t>
      </w:r>
      <w:r>
        <w:rPr>
          <w:rFonts w:ascii="Arial" w:hAnsi="Arial"/>
          <w:sz w:val="28"/>
          <w:szCs w:val="28"/>
          <w:lang w:val="de-DE"/>
        </w:rPr>
        <w:t>moderate</w:t>
      </w:r>
      <w:r>
        <w:rPr>
          <w:rFonts w:ascii="Arial" w:hAnsi="Arial"/>
          <w:sz w:val="28"/>
          <w:szCs w:val="28"/>
          <w:lang w:val="en-US"/>
        </w:rPr>
        <w:t>’ and severe levels of dementia.</w:t>
      </w:r>
    </w:p>
    <w:p w:rsidR="005031CF" w:rsidRDefault="005031CF">
      <w:pPr>
        <w:pStyle w:val="Body"/>
        <w:spacing w:after="0" w:line="240" w:lineRule="auto"/>
      </w:pPr>
    </w:p>
    <w:p w:rsidR="005031CF" w:rsidRDefault="005031CF">
      <w:pPr>
        <w:pStyle w:val="Body"/>
        <w:spacing w:after="0" w:line="240" w:lineRule="auto"/>
      </w:pPr>
    </w:p>
    <w:p w:rsidR="005031CF" w:rsidRDefault="00042749">
      <w:pPr>
        <w:pStyle w:val="Heading"/>
        <w:numPr>
          <w:ilvl w:val="0"/>
          <w:numId w:val="5"/>
        </w:numPr>
      </w:pPr>
      <w:r>
        <w:rPr>
          <w:lang w:val="en-US"/>
        </w:rPr>
        <w:t>Assessment of relevance and impact on the public</w:t>
      </w:r>
    </w:p>
    <w:p w:rsidR="005031CF" w:rsidRDefault="00042749">
      <w:pPr>
        <w:pStyle w:val="Body"/>
        <w:spacing w:after="0" w:line="240" w:lineRule="auto"/>
      </w:pPr>
      <w:r>
        <w:rPr>
          <w:rFonts w:ascii="Arial" w:hAnsi="Arial"/>
          <w:sz w:val="28"/>
          <w:szCs w:val="28"/>
          <w:lang w:val="en-US"/>
        </w:rPr>
        <w:t>The Equality Act 2010 places a positive duty on public authorities to promote equality for protected groups.  The Equality Act 2010 requires Welsh public bodies to demonstrate how they pay ‘</w:t>
      </w:r>
      <w:r>
        <w:rPr>
          <w:rFonts w:ascii="Arial" w:hAnsi="Arial"/>
          <w:sz w:val="28"/>
          <w:szCs w:val="28"/>
          <w:lang w:val="it-IT"/>
        </w:rPr>
        <w:t>due regard</w:t>
      </w:r>
      <w:r>
        <w:rPr>
          <w:rFonts w:ascii="Arial" w:hAnsi="Arial"/>
          <w:sz w:val="28"/>
          <w:szCs w:val="28"/>
          <w:lang w:val="en-US"/>
        </w:rPr>
        <w:t>’ to equality when carrying out their functions and activities.  There is a specific duty in Wales to assess the impact of existing and new services or policies on each of the nine protected characteristics</w:t>
      </w:r>
      <w:r>
        <w:rPr>
          <w:rFonts w:ascii="Arial" w:eastAsia="Arial" w:hAnsi="Arial" w:cs="Arial"/>
          <w:sz w:val="28"/>
          <w:szCs w:val="28"/>
          <w:vertAlign w:val="superscript"/>
        </w:rPr>
        <w:footnoteReference w:id="2"/>
      </w:r>
      <w:r>
        <w:rPr>
          <w:rFonts w:ascii="Arial" w:hAnsi="Arial"/>
          <w:sz w:val="28"/>
          <w:szCs w:val="28"/>
          <w:lang w:val="en-US"/>
        </w:rPr>
        <w:t xml:space="preserve"> in order to:</w:t>
      </w:r>
    </w:p>
    <w:p w:rsidR="005031CF" w:rsidRDefault="005031CF">
      <w:pPr>
        <w:pStyle w:val="Body"/>
        <w:spacing w:after="0" w:line="240" w:lineRule="auto"/>
      </w:pPr>
    </w:p>
    <w:p w:rsidR="005031CF" w:rsidRDefault="00042749">
      <w:pPr>
        <w:pStyle w:val="ListParagraph"/>
        <w:numPr>
          <w:ilvl w:val="0"/>
          <w:numId w:val="7"/>
        </w:numPr>
        <w:spacing w:after="0" w:line="240" w:lineRule="auto"/>
        <w:rPr>
          <w:rFonts w:ascii="Arial" w:hAnsi="Arial"/>
          <w:sz w:val="28"/>
          <w:szCs w:val="28"/>
        </w:rPr>
      </w:pPr>
      <w:r>
        <w:rPr>
          <w:rFonts w:ascii="Arial" w:hAnsi="Arial"/>
          <w:sz w:val="28"/>
          <w:szCs w:val="28"/>
        </w:rPr>
        <w:t>Eliminate unlawful discrimination</w:t>
      </w:r>
    </w:p>
    <w:p w:rsidR="005031CF" w:rsidRDefault="00042749">
      <w:pPr>
        <w:pStyle w:val="ListParagraph"/>
        <w:numPr>
          <w:ilvl w:val="0"/>
          <w:numId w:val="7"/>
        </w:numPr>
        <w:spacing w:after="0" w:line="240" w:lineRule="auto"/>
        <w:rPr>
          <w:rFonts w:ascii="Arial" w:hAnsi="Arial"/>
          <w:sz w:val="28"/>
          <w:szCs w:val="28"/>
        </w:rPr>
      </w:pPr>
      <w:r>
        <w:rPr>
          <w:rFonts w:ascii="Arial" w:hAnsi="Arial"/>
          <w:sz w:val="28"/>
          <w:szCs w:val="28"/>
        </w:rPr>
        <w:t>Advance equality of opportunity between people who share a relevant protected characteristic and those who do not.</w:t>
      </w:r>
    </w:p>
    <w:p w:rsidR="005031CF" w:rsidRDefault="00042749">
      <w:pPr>
        <w:pStyle w:val="ListParagraph"/>
        <w:numPr>
          <w:ilvl w:val="0"/>
          <w:numId w:val="7"/>
        </w:numPr>
        <w:spacing w:after="0" w:line="240" w:lineRule="auto"/>
        <w:rPr>
          <w:rFonts w:ascii="Arial" w:hAnsi="Arial"/>
          <w:sz w:val="28"/>
          <w:szCs w:val="28"/>
        </w:rPr>
      </w:pPr>
      <w:r>
        <w:rPr>
          <w:rFonts w:ascii="Arial" w:hAnsi="Arial"/>
          <w:sz w:val="28"/>
          <w:szCs w:val="28"/>
        </w:rPr>
        <w:t>Foster good relations between people who share a protected characteristic and those who do not.</w:t>
      </w:r>
    </w:p>
    <w:p w:rsidR="005031CF" w:rsidRDefault="005031CF">
      <w:pPr>
        <w:pStyle w:val="Body"/>
        <w:spacing w:after="0" w:line="240" w:lineRule="auto"/>
        <w:ind w:left="720" w:hanging="720"/>
      </w:pPr>
    </w:p>
    <w:p w:rsidR="005031CF" w:rsidRDefault="00042749">
      <w:pPr>
        <w:pStyle w:val="Body"/>
        <w:spacing w:after="0" w:line="240" w:lineRule="auto"/>
      </w:pPr>
      <w:r>
        <w:rPr>
          <w:rFonts w:ascii="Arial" w:hAnsi="Arial"/>
          <w:sz w:val="28"/>
          <w:szCs w:val="28"/>
          <w:lang w:val="en-US"/>
        </w:rPr>
        <w:t>The following sections considers the potential for impact upon the public by each protected characteristic and highlights where further exploration/engagement is necessary.</w:t>
      </w:r>
    </w:p>
    <w:p w:rsidR="005031CF" w:rsidRDefault="005031CF">
      <w:pPr>
        <w:pStyle w:val="Body"/>
        <w:spacing w:after="0" w:line="240" w:lineRule="auto"/>
      </w:pPr>
    </w:p>
    <w:p w:rsidR="005031CF" w:rsidRDefault="00042749">
      <w:pPr>
        <w:pStyle w:val="Heading2"/>
      </w:pPr>
      <w:r>
        <w:t>Age</w:t>
      </w:r>
    </w:p>
    <w:p w:rsidR="005031CF" w:rsidRDefault="00042749">
      <w:pPr>
        <w:pStyle w:val="Body"/>
        <w:spacing w:after="0" w:line="240" w:lineRule="auto"/>
      </w:pPr>
      <w:r>
        <w:rPr>
          <w:rFonts w:ascii="Arial" w:hAnsi="Arial"/>
          <w:sz w:val="28"/>
          <w:szCs w:val="28"/>
          <w:lang w:val="en-US"/>
        </w:rPr>
        <w:t>Demographic changes and improvements in life expectancy mean that there is an expected increase in the overall number of people with dementia.  In 2015, approximately 6,979 people in Western Bay had a diagnosis of dementia. By 2030, this is predicted to rise by 48% to 10,295.</w:t>
      </w:r>
    </w:p>
    <w:p w:rsidR="005031CF" w:rsidRDefault="00042749">
      <w:pPr>
        <w:pStyle w:val="Body"/>
        <w:spacing w:after="0" w:line="240" w:lineRule="auto"/>
      </w:pPr>
      <w:r>
        <w:rPr>
          <w:rFonts w:ascii="Arial" w:hAnsi="Arial"/>
          <w:sz w:val="28"/>
          <w:szCs w:val="28"/>
          <w:lang w:val="en-US"/>
        </w:rPr>
        <w:t xml:space="preserve">The inpatient services are not solely provided in relation to age but nevertheless the majority of people affected by this change are older </w:t>
      </w:r>
      <w:r>
        <w:rPr>
          <w:rFonts w:ascii="Arial" w:hAnsi="Arial"/>
          <w:sz w:val="28"/>
          <w:szCs w:val="28"/>
          <w:lang w:val="en-US"/>
        </w:rPr>
        <w:lastRenderedPageBreak/>
        <w:t>adults who would currently access the services or be referred to the services.</w:t>
      </w:r>
    </w:p>
    <w:p w:rsidR="005031CF" w:rsidRDefault="005031CF">
      <w:pPr>
        <w:pStyle w:val="Body"/>
        <w:spacing w:after="0" w:line="240" w:lineRule="auto"/>
      </w:pPr>
    </w:p>
    <w:p w:rsidR="005031CF" w:rsidRDefault="00042749">
      <w:pPr>
        <w:pStyle w:val="Body"/>
        <w:spacing w:after="0" w:line="240" w:lineRule="auto"/>
      </w:pPr>
      <w:r>
        <w:rPr>
          <w:rFonts w:ascii="Arial" w:hAnsi="Arial"/>
          <w:sz w:val="28"/>
          <w:szCs w:val="28"/>
          <w:lang w:val="en-US"/>
        </w:rPr>
        <w:t xml:space="preserve">The increased option of enhanced community based care and reduction of inpatient care will therefore have a direct impact upon people as a consequence of their age, as the service predominantly provides services to the older adults.  This will have the potential to be a positive impact in relation to the change of model of service to be more community based where the older person tends to want to be cared for rather than a hospital based model. </w:t>
      </w:r>
    </w:p>
    <w:p w:rsidR="005031CF" w:rsidRDefault="00042749">
      <w:pPr>
        <w:pStyle w:val="Body"/>
      </w:pPr>
      <w:r>
        <w:rPr>
          <w:rFonts w:ascii="Arial" w:hAnsi="Arial"/>
          <w:sz w:val="28"/>
          <w:szCs w:val="28"/>
          <w:lang w:val="en-US"/>
        </w:rPr>
        <w:t>However, based on the currently available evidence, no impact is anticipated on this protected characteristic group but may need further detail following the engagement process.</w:t>
      </w:r>
    </w:p>
    <w:p w:rsidR="005031CF" w:rsidRDefault="005031CF">
      <w:pPr>
        <w:pStyle w:val="Body"/>
      </w:pPr>
    </w:p>
    <w:p w:rsidR="005031CF" w:rsidRDefault="00042749">
      <w:pPr>
        <w:pStyle w:val="Body"/>
      </w:pPr>
      <w:r>
        <w:rPr>
          <w:rFonts w:ascii="Arial" w:hAnsi="Arial"/>
          <w:b/>
          <w:bCs/>
          <w:sz w:val="28"/>
          <w:szCs w:val="28"/>
          <w:lang w:val="de-DE"/>
        </w:rPr>
        <w:t>Gender</w:t>
      </w:r>
    </w:p>
    <w:p w:rsidR="005031CF" w:rsidRDefault="00042749">
      <w:pPr>
        <w:pStyle w:val="Body"/>
      </w:pPr>
      <w:r>
        <w:rPr>
          <w:rFonts w:ascii="Arial" w:hAnsi="Arial"/>
          <w:sz w:val="28"/>
          <w:szCs w:val="28"/>
          <w:lang w:val="en-US"/>
        </w:rPr>
        <w:t>It is acknowledged that women in the Heath Board area live longer than men.  (MYE 2016 gender split of 57,000/47,000 female/male) The inpatient capacity will be flexible to accommodate differential demands including the provision of specialist respite.</w:t>
      </w:r>
    </w:p>
    <w:p w:rsidR="005031CF" w:rsidRDefault="00042749">
      <w:pPr>
        <w:pStyle w:val="Body"/>
      </w:pPr>
      <w:r>
        <w:rPr>
          <w:rFonts w:ascii="Arial" w:hAnsi="Arial"/>
          <w:sz w:val="28"/>
          <w:szCs w:val="28"/>
          <w:lang w:val="en-US"/>
        </w:rPr>
        <w:t>There was concerns with previous temporary changes regarding a potential negative impact of changing to a gender separable environment as could place vulnerable people of any gender at risk of experiencing some aspects of inappropriate behaviour related to their illness if not effectively managed through appropriate observation levels and relational security. The outcome of that temporary change did not develop as anticipated and the level of incidents on the mixed gender ward were very low. However, all the staff are experienced working within the Older Peoples Mental Health setting and have increased awareness regarding observations of behaviours and detecting any potential negative impact on individuals The staff also receive training in the protection of vulnerable adults as part of their mandatory training.</w:t>
      </w:r>
    </w:p>
    <w:p w:rsidR="005031CF" w:rsidRDefault="00042749">
      <w:pPr>
        <w:pStyle w:val="Body"/>
      </w:pPr>
      <w:r>
        <w:rPr>
          <w:rFonts w:ascii="Arial" w:hAnsi="Arial"/>
          <w:sz w:val="28"/>
          <w:szCs w:val="28"/>
          <w:lang w:val="en-US"/>
        </w:rPr>
        <w:t>A single ward for a service has the potential to remove stigma of gender specific areas for people who are gender neutral.</w:t>
      </w:r>
    </w:p>
    <w:p w:rsidR="005031CF" w:rsidRDefault="00042749">
      <w:pPr>
        <w:pStyle w:val="Body"/>
      </w:pPr>
      <w:r>
        <w:rPr>
          <w:rFonts w:ascii="Arial" w:hAnsi="Arial"/>
          <w:sz w:val="28"/>
          <w:szCs w:val="28"/>
          <w:lang w:val="en-US"/>
        </w:rPr>
        <w:t>However, based on the currently available evidence, no impact is anticipated on this protected characteristic group but may need further detail following the engagement process.</w:t>
      </w:r>
    </w:p>
    <w:p w:rsidR="005031CF" w:rsidRDefault="00042749">
      <w:pPr>
        <w:pStyle w:val="Body"/>
      </w:pPr>
      <w:r>
        <w:rPr>
          <w:rFonts w:ascii="Arial" w:hAnsi="Arial"/>
          <w:b/>
          <w:bCs/>
          <w:sz w:val="28"/>
          <w:szCs w:val="28"/>
          <w:lang w:val="en-US"/>
        </w:rPr>
        <w:t>Disability</w:t>
      </w:r>
    </w:p>
    <w:p w:rsidR="005031CF" w:rsidRDefault="00042749">
      <w:pPr>
        <w:pStyle w:val="Body"/>
      </w:pPr>
      <w:r>
        <w:rPr>
          <w:rFonts w:ascii="Arial" w:hAnsi="Arial"/>
          <w:sz w:val="28"/>
          <w:szCs w:val="28"/>
          <w:lang w:val="en-US"/>
        </w:rPr>
        <w:lastRenderedPageBreak/>
        <w:t xml:space="preserve">The availability of services delivered into an individual’s own home could adversely affect access to services or mobility if reasonable adjustments in terms of aids and adaptations are not in place in the home. Planning the person care in the community will need to ensure completion of the comprehensive assessment in place when people are referred to the services currently.  </w:t>
      </w:r>
    </w:p>
    <w:p w:rsidR="005031CF" w:rsidRDefault="00042749">
      <w:pPr>
        <w:pStyle w:val="Body"/>
      </w:pPr>
      <w:r>
        <w:rPr>
          <w:rFonts w:ascii="Arial" w:hAnsi="Arial"/>
          <w:sz w:val="28"/>
          <w:szCs w:val="28"/>
          <w:lang w:val="en-US"/>
        </w:rPr>
        <w:t xml:space="preserve">The availability of physical, progressive illness, mental health conditions, learning disabilities and sensory loss will not be affected as this is an established core function of the Older Peoples Mental Health services regardless of whether a person in being cared for within a community or inpatient setting. </w:t>
      </w:r>
    </w:p>
    <w:p w:rsidR="005031CF" w:rsidRDefault="00042749">
      <w:pPr>
        <w:pStyle w:val="Body"/>
      </w:pPr>
      <w:r>
        <w:rPr>
          <w:rFonts w:ascii="Arial" w:hAnsi="Arial"/>
          <w:sz w:val="28"/>
          <w:szCs w:val="28"/>
          <w:lang w:val="en-US"/>
        </w:rPr>
        <w:t>The availability of inpatient care is not being removed, will continue to be provided in the inpatient setting described in the full engagement document. These services will be able to provide and meet the needs of patients with any level of disability and be able to make reasonable adjustment to meet the person needs if required.</w:t>
      </w:r>
    </w:p>
    <w:p w:rsidR="005031CF" w:rsidRDefault="00042749">
      <w:pPr>
        <w:pStyle w:val="Body"/>
        <w:spacing w:after="0"/>
      </w:pPr>
      <w:r>
        <w:rPr>
          <w:rFonts w:ascii="Arial" w:hAnsi="Arial"/>
          <w:sz w:val="28"/>
          <w:szCs w:val="28"/>
          <w:lang w:val="en-US"/>
        </w:rPr>
        <w:t>However, based on the currently available evidence, no impact is anticipated on this protected characteristic group but may need further detail following the engagement process.</w:t>
      </w:r>
    </w:p>
    <w:p w:rsidR="005031CF" w:rsidRDefault="005031CF">
      <w:pPr>
        <w:pStyle w:val="Body"/>
        <w:spacing w:after="0"/>
      </w:pPr>
    </w:p>
    <w:p w:rsidR="005031CF" w:rsidRDefault="00042749">
      <w:pPr>
        <w:pStyle w:val="Heading2"/>
      </w:pPr>
      <w:r>
        <w:t xml:space="preserve">Race </w:t>
      </w:r>
      <w:bookmarkStart w:id="0" w:name="_Ref369029844"/>
    </w:p>
    <w:p w:rsidR="005031CF" w:rsidRDefault="00042749">
      <w:pPr>
        <w:pStyle w:val="Body"/>
        <w:spacing w:after="0" w:line="240" w:lineRule="auto"/>
      </w:pPr>
      <w:r>
        <w:rPr>
          <w:rFonts w:ascii="Arial" w:hAnsi="Arial"/>
          <w:sz w:val="28"/>
          <w:szCs w:val="28"/>
          <w:lang w:val="en-US"/>
        </w:rPr>
        <w:t xml:space="preserve">The 2011 census data for the Black and Minority Ethnic (BME) population across the Health Board shows an above average BME population in Swansea at 6.0% and lower percentage in Neath Port Talbot of 1.9%.  These proportions have all increased from the 2001 census data as there was evidence that ethnicity was under reported in 2001 and there have been increases in migrant workers within both areas.  </w:t>
      </w:r>
    </w:p>
    <w:p w:rsidR="005031CF" w:rsidRDefault="005031CF">
      <w:pPr>
        <w:pStyle w:val="Body"/>
        <w:spacing w:after="0" w:line="240" w:lineRule="auto"/>
      </w:pPr>
    </w:p>
    <w:bookmarkEnd w:id="0"/>
    <w:p w:rsidR="005031CF" w:rsidRDefault="00042749">
      <w:pPr>
        <w:pStyle w:val="Caption"/>
        <w:keepNext/>
        <w:spacing w:after="240"/>
      </w:pPr>
      <w:r>
        <w:rPr>
          <w:rFonts w:ascii="Arial" w:hAnsi="Arial"/>
          <w:sz w:val="24"/>
          <w:szCs w:val="24"/>
        </w:rPr>
        <w:t>Table 8: Ethnic group by SBUHB area</w:t>
      </w:r>
    </w:p>
    <w:tbl>
      <w:tblPr>
        <w:tblW w:w="9208"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D0DDEF"/>
        <w:tblLayout w:type="fixed"/>
        <w:tblLook w:val="04A0" w:firstRow="1" w:lastRow="0" w:firstColumn="1" w:lastColumn="0" w:noHBand="0" w:noVBand="1"/>
      </w:tblPr>
      <w:tblGrid>
        <w:gridCol w:w="1545"/>
        <w:gridCol w:w="964"/>
        <w:gridCol w:w="1050"/>
        <w:gridCol w:w="988"/>
        <w:gridCol w:w="1295"/>
        <w:gridCol w:w="988"/>
        <w:gridCol w:w="987"/>
        <w:gridCol w:w="1391"/>
      </w:tblGrid>
      <w:tr w:rsidR="005031CF">
        <w:trPr>
          <w:trHeight w:val="1415"/>
        </w:trPr>
        <w:tc>
          <w:tcPr>
            <w:tcW w:w="154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Default="00042749">
            <w:pPr>
              <w:pStyle w:val="Body"/>
            </w:pPr>
            <w:r>
              <w:rPr>
                <w:rFonts w:ascii="Arial" w:hAnsi="Arial"/>
                <w:b/>
                <w:bCs/>
                <w:sz w:val="20"/>
                <w:szCs w:val="20"/>
                <w:lang w:val="en-US"/>
              </w:rPr>
              <w:t>Region</w:t>
            </w:r>
          </w:p>
        </w:tc>
        <w:tc>
          <w:tcPr>
            <w:tcW w:w="96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Default="00042749">
            <w:pPr>
              <w:pStyle w:val="Body"/>
              <w:spacing w:after="0" w:line="240" w:lineRule="auto"/>
              <w:jc w:val="right"/>
            </w:pPr>
            <w:r>
              <w:rPr>
                <w:rFonts w:ascii="Arial" w:hAnsi="Arial"/>
                <w:b/>
                <w:bCs/>
                <w:sz w:val="20"/>
                <w:szCs w:val="20"/>
                <w:lang w:val="en-US"/>
              </w:rPr>
              <w:t>White</w:t>
            </w:r>
          </w:p>
        </w:tc>
        <w:tc>
          <w:tcPr>
            <w:tcW w:w="105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Default="00042749">
            <w:pPr>
              <w:pStyle w:val="Body"/>
              <w:spacing w:after="0" w:line="240" w:lineRule="auto"/>
              <w:jc w:val="right"/>
            </w:pPr>
            <w:r>
              <w:rPr>
                <w:rFonts w:ascii="Arial" w:hAnsi="Arial"/>
                <w:b/>
                <w:bCs/>
                <w:sz w:val="20"/>
                <w:szCs w:val="20"/>
                <w:lang w:val="en-US"/>
              </w:rPr>
              <w:t>Mixed / Multiple ethnic group</w:t>
            </w:r>
          </w:p>
        </w:tc>
        <w:tc>
          <w:tcPr>
            <w:tcW w:w="98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Default="00042749">
            <w:pPr>
              <w:pStyle w:val="Body"/>
              <w:spacing w:after="0" w:line="240" w:lineRule="auto"/>
              <w:jc w:val="right"/>
            </w:pPr>
            <w:r>
              <w:rPr>
                <w:rFonts w:ascii="Arial" w:hAnsi="Arial"/>
                <w:b/>
                <w:bCs/>
                <w:sz w:val="20"/>
                <w:szCs w:val="20"/>
                <w:lang w:val="en-US"/>
              </w:rPr>
              <w:t>Asian / Asian British</w:t>
            </w:r>
          </w:p>
        </w:tc>
        <w:tc>
          <w:tcPr>
            <w:tcW w:w="129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Default="00042749">
            <w:pPr>
              <w:pStyle w:val="Body"/>
              <w:spacing w:after="0" w:line="240" w:lineRule="auto"/>
              <w:jc w:val="right"/>
            </w:pPr>
            <w:r>
              <w:rPr>
                <w:rFonts w:ascii="Arial" w:hAnsi="Arial"/>
                <w:b/>
                <w:bCs/>
                <w:sz w:val="20"/>
                <w:szCs w:val="20"/>
                <w:lang w:val="en-US"/>
              </w:rPr>
              <w:t>Black / African / Caribbean / Black British</w:t>
            </w:r>
          </w:p>
        </w:tc>
        <w:tc>
          <w:tcPr>
            <w:tcW w:w="98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Default="00042749">
            <w:pPr>
              <w:pStyle w:val="Body"/>
              <w:spacing w:after="0" w:line="240" w:lineRule="auto"/>
              <w:jc w:val="right"/>
            </w:pPr>
            <w:r>
              <w:rPr>
                <w:rFonts w:ascii="Arial" w:hAnsi="Arial"/>
                <w:b/>
                <w:bCs/>
                <w:sz w:val="20"/>
                <w:szCs w:val="20"/>
                <w:lang w:val="en-US"/>
              </w:rPr>
              <w:t>Other ethnic group</w:t>
            </w:r>
          </w:p>
        </w:tc>
        <w:tc>
          <w:tcPr>
            <w:tcW w:w="98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Default="00042749">
            <w:pPr>
              <w:pStyle w:val="Body"/>
              <w:spacing w:after="0" w:line="240" w:lineRule="auto"/>
              <w:jc w:val="right"/>
            </w:pPr>
            <w:r>
              <w:rPr>
                <w:rFonts w:ascii="Arial" w:hAnsi="Arial"/>
                <w:b/>
                <w:bCs/>
                <w:sz w:val="20"/>
                <w:szCs w:val="20"/>
                <w:lang w:val="en-US"/>
              </w:rPr>
              <w:t>Total (%)</w:t>
            </w:r>
          </w:p>
        </w:tc>
        <w:tc>
          <w:tcPr>
            <w:tcW w:w="139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Default="00042749">
            <w:pPr>
              <w:pStyle w:val="Body"/>
              <w:spacing w:after="0" w:line="240" w:lineRule="auto"/>
              <w:jc w:val="right"/>
            </w:pPr>
            <w:r>
              <w:rPr>
                <w:rFonts w:ascii="Arial" w:hAnsi="Arial"/>
                <w:b/>
                <w:bCs/>
                <w:sz w:val="20"/>
                <w:szCs w:val="20"/>
                <w:lang w:val="en-US"/>
              </w:rPr>
              <w:t>Total</w:t>
            </w:r>
          </w:p>
        </w:tc>
      </w:tr>
      <w:tr w:rsidR="005031CF">
        <w:trPr>
          <w:trHeight w:val="223"/>
        </w:trPr>
        <w:tc>
          <w:tcPr>
            <w:tcW w:w="154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Default="00042749">
            <w:pPr>
              <w:pStyle w:val="Body"/>
              <w:spacing w:after="0" w:line="240" w:lineRule="auto"/>
            </w:pPr>
            <w:r>
              <w:rPr>
                <w:rFonts w:ascii="Arial" w:hAnsi="Arial"/>
                <w:sz w:val="20"/>
                <w:szCs w:val="20"/>
                <w:lang w:val="en-US"/>
              </w:rPr>
              <w:t>SBUHB</w:t>
            </w:r>
          </w:p>
        </w:tc>
        <w:tc>
          <w:tcPr>
            <w:tcW w:w="96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Default="00042749">
            <w:pPr>
              <w:pStyle w:val="Body"/>
              <w:spacing w:after="0" w:line="240" w:lineRule="auto"/>
              <w:jc w:val="right"/>
            </w:pPr>
            <w:r>
              <w:rPr>
                <w:rFonts w:ascii="Arial" w:hAnsi="Arial"/>
                <w:sz w:val="20"/>
                <w:szCs w:val="20"/>
                <w:lang w:val="en-US"/>
              </w:rPr>
              <w:t>96.10%</w:t>
            </w:r>
          </w:p>
        </w:tc>
        <w:tc>
          <w:tcPr>
            <w:tcW w:w="105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Default="00042749">
            <w:pPr>
              <w:pStyle w:val="Body"/>
              <w:spacing w:after="0" w:line="240" w:lineRule="auto"/>
              <w:jc w:val="right"/>
            </w:pPr>
            <w:r>
              <w:rPr>
                <w:rFonts w:ascii="Arial" w:hAnsi="Arial"/>
                <w:sz w:val="20"/>
                <w:szCs w:val="20"/>
                <w:lang w:val="en-US"/>
              </w:rPr>
              <w:t>0.80%</w:t>
            </w:r>
          </w:p>
        </w:tc>
        <w:tc>
          <w:tcPr>
            <w:tcW w:w="98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Default="00042749">
            <w:pPr>
              <w:pStyle w:val="Body"/>
              <w:spacing w:after="0" w:line="240" w:lineRule="auto"/>
              <w:jc w:val="right"/>
            </w:pPr>
            <w:r>
              <w:rPr>
                <w:rFonts w:ascii="Arial" w:hAnsi="Arial"/>
                <w:sz w:val="20"/>
                <w:szCs w:val="20"/>
                <w:lang w:val="en-US"/>
              </w:rPr>
              <w:t>2.10%</w:t>
            </w:r>
          </w:p>
        </w:tc>
        <w:tc>
          <w:tcPr>
            <w:tcW w:w="129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Default="00042749">
            <w:pPr>
              <w:pStyle w:val="Body"/>
              <w:spacing w:after="0" w:line="240" w:lineRule="auto"/>
              <w:jc w:val="right"/>
            </w:pPr>
            <w:r>
              <w:rPr>
                <w:rFonts w:ascii="Arial" w:hAnsi="Arial"/>
                <w:sz w:val="20"/>
                <w:szCs w:val="20"/>
                <w:lang w:val="en-US"/>
              </w:rPr>
              <w:t>0.50%</w:t>
            </w:r>
          </w:p>
        </w:tc>
        <w:tc>
          <w:tcPr>
            <w:tcW w:w="98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Default="00042749">
            <w:pPr>
              <w:pStyle w:val="Body"/>
              <w:spacing w:after="0" w:line="240" w:lineRule="auto"/>
              <w:jc w:val="right"/>
            </w:pPr>
            <w:r>
              <w:rPr>
                <w:rFonts w:ascii="Arial" w:hAnsi="Arial"/>
                <w:sz w:val="20"/>
                <w:szCs w:val="20"/>
                <w:lang w:val="en-US"/>
              </w:rPr>
              <w:t>0.50%</w:t>
            </w:r>
          </w:p>
        </w:tc>
        <w:tc>
          <w:tcPr>
            <w:tcW w:w="98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Default="00042749">
            <w:pPr>
              <w:pStyle w:val="Body"/>
              <w:spacing w:after="0" w:line="240" w:lineRule="auto"/>
              <w:jc w:val="right"/>
            </w:pPr>
            <w:r>
              <w:rPr>
                <w:rFonts w:ascii="Arial" w:hAnsi="Arial"/>
                <w:sz w:val="20"/>
                <w:szCs w:val="20"/>
                <w:lang w:val="en-US"/>
              </w:rPr>
              <w:t>100%</w:t>
            </w:r>
          </w:p>
        </w:tc>
        <w:tc>
          <w:tcPr>
            <w:tcW w:w="139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Default="00042749">
            <w:pPr>
              <w:pStyle w:val="Body"/>
              <w:spacing w:after="0" w:line="240" w:lineRule="auto"/>
              <w:jc w:val="right"/>
            </w:pPr>
            <w:r>
              <w:rPr>
                <w:rFonts w:ascii="Arial" w:hAnsi="Arial"/>
                <w:sz w:val="20"/>
                <w:szCs w:val="20"/>
                <w:lang w:val="en-US"/>
              </w:rPr>
              <w:t>378,835</w:t>
            </w:r>
          </w:p>
        </w:tc>
      </w:tr>
      <w:tr w:rsidR="005031CF">
        <w:trPr>
          <w:trHeight w:val="443"/>
        </w:trPr>
        <w:tc>
          <w:tcPr>
            <w:tcW w:w="154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Default="00042749">
            <w:pPr>
              <w:pStyle w:val="Body"/>
              <w:spacing w:after="0" w:line="240" w:lineRule="auto"/>
            </w:pPr>
            <w:r>
              <w:rPr>
                <w:rFonts w:ascii="Arial" w:hAnsi="Arial"/>
                <w:sz w:val="20"/>
                <w:szCs w:val="20"/>
                <w:lang w:val="en-US"/>
              </w:rPr>
              <w:t>Neath Port Talbot</w:t>
            </w:r>
          </w:p>
        </w:tc>
        <w:tc>
          <w:tcPr>
            <w:tcW w:w="96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Default="00042749">
            <w:pPr>
              <w:pStyle w:val="Body"/>
              <w:spacing w:after="0" w:line="240" w:lineRule="auto"/>
              <w:jc w:val="right"/>
            </w:pPr>
            <w:r>
              <w:rPr>
                <w:rFonts w:ascii="Arial" w:hAnsi="Arial"/>
                <w:sz w:val="20"/>
                <w:szCs w:val="20"/>
                <w:lang w:val="en-US"/>
              </w:rPr>
              <w:t>98.10%</w:t>
            </w:r>
          </w:p>
        </w:tc>
        <w:tc>
          <w:tcPr>
            <w:tcW w:w="105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Default="00042749">
            <w:pPr>
              <w:pStyle w:val="Body"/>
              <w:spacing w:after="0" w:line="240" w:lineRule="auto"/>
              <w:jc w:val="right"/>
            </w:pPr>
            <w:r>
              <w:rPr>
                <w:rFonts w:ascii="Arial" w:hAnsi="Arial"/>
                <w:sz w:val="20"/>
                <w:szCs w:val="20"/>
                <w:lang w:val="en-US"/>
              </w:rPr>
              <w:t>0.70%</w:t>
            </w:r>
          </w:p>
        </w:tc>
        <w:tc>
          <w:tcPr>
            <w:tcW w:w="98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Default="00042749">
            <w:pPr>
              <w:pStyle w:val="Body"/>
              <w:spacing w:after="0" w:line="240" w:lineRule="auto"/>
              <w:jc w:val="right"/>
            </w:pPr>
            <w:r>
              <w:rPr>
                <w:rFonts w:ascii="Arial" w:hAnsi="Arial"/>
                <w:sz w:val="20"/>
                <w:szCs w:val="20"/>
                <w:lang w:val="en-US"/>
              </w:rPr>
              <w:t>1.00%</w:t>
            </w:r>
          </w:p>
        </w:tc>
        <w:tc>
          <w:tcPr>
            <w:tcW w:w="129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Default="00042749">
            <w:pPr>
              <w:pStyle w:val="Body"/>
              <w:spacing w:after="0" w:line="240" w:lineRule="auto"/>
              <w:jc w:val="right"/>
            </w:pPr>
            <w:r>
              <w:rPr>
                <w:rFonts w:ascii="Arial" w:hAnsi="Arial"/>
                <w:sz w:val="20"/>
                <w:szCs w:val="20"/>
                <w:lang w:val="en-US"/>
              </w:rPr>
              <w:t>0.20%</w:t>
            </w:r>
          </w:p>
        </w:tc>
        <w:tc>
          <w:tcPr>
            <w:tcW w:w="98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Default="00042749">
            <w:pPr>
              <w:pStyle w:val="Body"/>
              <w:spacing w:after="0" w:line="240" w:lineRule="auto"/>
              <w:jc w:val="right"/>
            </w:pPr>
            <w:r>
              <w:rPr>
                <w:rFonts w:ascii="Arial" w:hAnsi="Arial"/>
                <w:sz w:val="20"/>
                <w:szCs w:val="20"/>
                <w:lang w:val="en-US"/>
              </w:rPr>
              <w:t>0.10%</w:t>
            </w:r>
          </w:p>
        </w:tc>
        <w:tc>
          <w:tcPr>
            <w:tcW w:w="98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Default="00042749">
            <w:pPr>
              <w:pStyle w:val="Body"/>
              <w:spacing w:after="0" w:line="240" w:lineRule="auto"/>
              <w:jc w:val="right"/>
            </w:pPr>
            <w:r>
              <w:rPr>
                <w:rFonts w:ascii="Arial" w:hAnsi="Arial"/>
                <w:sz w:val="20"/>
                <w:szCs w:val="20"/>
                <w:lang w:val="en-US"/>
              </w:rPr>
              <w:t>100%</w:t>
            </w:r>
          </w:p>
        </w:tc>
        <w:tc>
          <w:tcPr>
            <w:tcW w:w="139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Default="00042749">
            <w:pPr>
              <w:pStyle w:val="Body"/>
              <w:spacing w:after="0" w:line="240" w:lineRule="auto"/>
              <w:jc w:val="right"/>
            </w:pPr>
            <w:r>
              <w:rPr>
                <w:rFonts w:ascii="Arial" w:hAnsi="Arial"/>
                <w:sz w:val="20"/>
                <w:szCs w:val="20"/>
                <w:lang w:val="en-US"/>
              </w:rPr>
              <w:t>139,812</w:t>
            </w:r>
          </w:p>
        </w:tc>
      </w:tr>
      <w:tr w:rsidR="005031CF">
        <w:trPr>
          <w:trHeight w:val="223"/>
        </w:trPr>
        <w:tc>
          <w:tcPr>
            <w:tcW w:w="154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Default="00042749">
            <w:pPr>
              <w:pStyle w:val="Body"/>
              <w:spacing w:after="0" w:line="240" w:lineRule="auto"/>
            </w:pPr>
            <w:r>
              <w:rPr>
                <w:rFonts w:ascii="Arial" w:hAnsi="Arial"/>
                <w:sz w:val="20"/>
                <w:szCs w:val="20"/>
                <w:lang w:val="en-US"/>
              </w:rPr>
              <w:t>Swansea</w:t>
            </w:r>
          </w:p>
        </w:tc>
        <w:tc>
          <w:tcPr>
            <w:tcW w:w="96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Default="00042749">
            <w:pPr>
              <w:pStyle w:val="Body"/>
              <w:spacing w:after="0" w:line="240" w:lineRule="auto"/>
              <w:jc w:val="right"/>
            </w:pPr>
            <w:r>
              <w:rPr>
                <w:rFonts w:ascii="Arial" w:hAnsi="Arial"/>
                <w:sz w:val="20"/>
                <w:szCs w:val="20"/>
                <w:lang w:val="en-US"/>
              </w:rPr>
              <w:t>94.00%</w:t>
            </w:r>
          </w:p>
        </w:tc>
        <w:tc>
          <w:tcPr>
            <w:tcW w:w="105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Default="00042749">
            <w:pPr>
              <w:pStyle w:val="Body"/>
              <w:spacing w:after="0" w:line="240" w:lineRule="auto"/>
              <w:jc w:val="right"/>
            </w:pPr>
            <w:r>
              <w:rPr>
                <w:rFonts w:ascii="Arial" w:hAnsi="Arial"/>
                <w:sz w:val="20"/>
                <w:szCs w:val="20"/>
                <w:lang w:val="en-US"/>
              </w:rPr>
              <w:t>0.90%</w:t>
            </w:r>
          </w:p>
        </w:tc>
        <w:tc>
          <w:tcPr>
            <w:tcW w:w="98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Default="00042749">
            <w:pPr>
              <w:pStyle w:val="Body"/>
              <w:spacing w:after="0" w:line="240" w:lineRule="auto"/>
              <w:jc w:val="right"/>
            </w:pPr>
            <w:r>
              <w:rPr>
                <w:rFonts w:ascii="Arial" w:hAnsi="Arial"/>
                <w:sz w:val="20"/>
                <w:szCs w:val="20"/>
                <w:lang w:val="en-US"/>
              </w:rPr>
              <w:t>3.30%</w:t>
            </w:r>
          </w:p>
        </w:tc>
        <w:tc>
          <w:tcPr>
            <w:tcW w:w="129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Default="00042749">
            <w:pPr>
              <w:pStyle w:val="Body"/>
              <w:spacing w:after="0" w:line="240" w:lineRule="auto"/>
              <w:jc w:val="right"/>
            </w:pPr>
            <w:r>
              <w:rPr>
                <w:rFonts w:ascii="Arial" w:hAnsi="Arial"/>
                <w:sz w:val="20"/>
                <w:szCs w:val="20"/>
                <w:lang w:val="en-US"/>
              </w:rPr>
              <w:t>0.80%</w:t>
            </w:r>
          </w:p>
        </w:tc>
        <w:tc>
          <w:tcPr>
            <w:tcW w:w="98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Default="00042749">
            <w:pPr>
              <w:pStyle w:val="Body"/>
              <w:spacing w:after="0" w:line="240" w:lineRule="auto"/>
              <w:jc w:val="right"/>
            </w:pPr>
            <w:r>
              <w:rPr>
                <w:rFonts w:ascii="Arial" w:hAnsi="Arial"/>
                <w:sz w:val="20"/>
                <w:szCs w:val="20"/>
                <w:lang w:val="en-US"/>
              </w:rPr>
              <w:t>1.00%</w:t>
            </w:r>
          </w:p>
        </w:tc>
        <w:tc>
          <w:tcPr>
            <w:tcW w:w="98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Default="00042749">
            <w:pPr>
              <w:pStyle w:val="Body"/>
              <w:spacing w:after="0" w:line="240" w:lineRule="auto"/>
              <w:jc w:val="right"/>
            </w:pPr>
            <w:r>
              <w:rPr>
                <w:rFonts w:ascii="Arial" w:hAnsi="Arial"/>
                <w:sz w:val="20"/>
                <w:szCs w:val="20"/>
                <w:lang w:val="en-US"/>
              </w:rPr>
              <w:t>100%</w:t>
            </w:r>
          </w:p>
        </w:tc>
        <w:tc>
          <w:tcPr>
            <w:tcW w:w="139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Default="00042749">
            <w:pPr>
              <w:pStyle w:val="Body"/>
              <w:spacing w:after="0" w:line="240" w:lineRule="auto"/>
              <w:jc w:val="right"/>
            </w:pPr>
            <w:r>
              <w:rPr>
                <w:rFonts w:ascii="Arial" w:hAnsi="Arial"/>
                <w:sz w:val="20"/>
                <w:szCs w:val="20"/>
                <w:lang w:val="en-US"/>
              </w:rPr>
              <w:t>239,023</w:t>
            </w:r>
          </w:p>
        </w:tc>
      </w:tr>
      <w:tr w:rsidR="005031CF">
        <w:trPr>
          <w:trHeight w:val="223"/>
        </w:trPr>
        <w:tc>
          <w:tcPr>
            <w:tcW w:w="154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Default="00042749">
            <w:pPr>
              <w:pStyle w:val="Body"/>
              <w:spacing w:after="0" w:line="240" w:lineRule="auto"/>
            </w:pPr>
            <w:r>
              <w:rPr>
                <w:rFonts w:ascii="Arial" w:hAnsi="Arial"/>
                <w:b/>
                <w:bCs/>
                <w:sz w:val="20"/>
                <w:szCs w:val="20"/>
                <w:lang w:val="en-US"/>
              </w:rPr>
              <w:lastRenderedPageBreak/>
              <w:t>Wales</w:t>
            </w:r>
          </w:p>
        </w:tc>
        <w:tc>
          <w:tcPr>
            <w:tcW w:w="96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Default="00042749">
            <w:pPr>
              <w:pStyle w:val="Body"/>
              <w:spacing w:after="0" w:line="240" w:lineRule="auto"/>
              <w:jc w:val="right"/>
            </w:pPr>
            <w:r>
              <w:rPr>
                <w:rFonts w:ascii="Arial" w:hAnsi="Arial"/>
                <w:b/>
                <w:bCs/>
                <w:sz w:val="20"/>
                <w:szCs w:val="20"/>
                <w:lang w:val="en-US"/>
              </w:rPr>
              <w:t>95.60%</w:t>
            </w:r>
          </w:p>
        </w:tc>
        <w:tc>
          <w:tcPr>
            <w:tcW w:w="105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Default="00042749">
            <w:pPr>
              <w:pStyle w:val="Body"/>
              <w:spacing w:after="0" w:line="240" w:lineRule="auto"/>
              <w:jc w:val="right"/>
            </w:pPr>
            <w:r>
              <w:rPr>
                <w:rFonts w:ascii="Arial" w:hAnsi="Arial"/>
                <w:b/>
                <w:bCs/>
                <w:sz w:val="20"/>
                <w:szCs w:val="20"/>
                <w:lang w:val="en-US"/>
              </w:rPr>
              <w:t>1.00%</w:t>
            </w:r>
          </w:p>
        </w:tc>
        <w:tc>
          <w:tcPr>
            <w:tcW w:w="98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Default="00042749">
            <w:pPr>
              <w:pStyle w:val="Body"/>
              <w:spacing w:after="0" w:line="240" w:lineRule="auto"/>
              <w:jc w:val="right"/>
            </w:pPr>
            <w:r>
              <w:rPr>
                <w:rFonts w:ascii="Arial" w:hAnsi="Arial"/>
                <w:b/>
                <w:bCs/>
                <w:sz w:val="20"/>
                <w:szCs w:val="20"/>
                <w:lang w:val="en-US"/>
              </w:rPr>
              <w:t>2.30%</w:t>
            </w:r>
          </w:p>
        </w:tc>
        <w:tc>
          <w:tcPr>
            <w:tcW w:w="129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Default="00042749">
            <w:pPr>
              <w:pStyle w:val="Body"/>
              <w:spacing w:after="0" w:line="240" w:lineRule="auto"/>
              <w:jc w:val="right"/>
            </w:pPr>
            <w:r>
              <w:rPr>
                <w:rFonts w:ascii="Arial" w:hAnsi="Arial"/>
                <w:b/>
                <w:bCs/>
                <w:sz w:val="20"/>
                <w:szCs w:val="20"/>
                <w:lang w:val="en-US"/>
              </w:rPr>
              <w:t>0.60%</w:t>
            </w:r>
          </w:p>
        </w:tc>
        <w:tc>
          <w:tcPr>
            <w:tcW w:w="98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Default="00042749">
            <w:pPr>
              <w:pStyle w:val="Body"/>
              <w:spacing w:after="0" w:line="240" w:lineRule="auto"/>
              <w:jc w:val="right"/>
            </w:pPr>
            <w:r>
              <w:rPr>
                <w:rFonts w:ascii="Arial" w:hAnsi="Arial"/>
                <w:b/>
                <w:bCs/>
                <w:sz w:val="20"/>
                <w:szCs w:val="20"/>
                <w:lang w:val="en-US"/>
              </w:rPr>
              <w:t>0.50%</w:t>
            </w:r>
          </w:p>
        </w:tc>
        <w:tc>
          <w:tcPr>
            <w:tcW w:w="98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Default="00042749">
            <w:pPr>
              <w:pStyle w:val="Body"/>
              <w:spacing w:after="0" w:line="240" w:lineRule="auto"/>
              <w:jc w:val="right"/>
            </w:pPr>
            <w:r>
              <w:rPr>
                <w:rFonts w:ascii="Arial" w:hAnsi="Arial"/>
                <w:b/>
                <w:bCs/>
                <w:sz w:val="20"/>
                <w:szCs w:val="20"/>
                <w:lang w:val="en-US"/>
              </w:rPr>
              <w:t>100%</w:t>
            </w:r>
          </w:p>
        </w:tc>
        <w:tc>
          <w:tcPr>
            <w:tcW w:w="139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Default="00042749">
            <w:pPr>
              <w:pStyle w:val="Body"/>
              <w:spacing w:after="0" w:line="240" w:lineRule="auto"/>
              <w:jc w:val="right"/>
            </w:pPr>
            <w:r>
              <w:rPr>
                <w:rFonts w:ascii="Arial" w:hAnsi="Arial"/>
                <w:b/>
                <w:bCs/>
                <w:sz w:val="20"/>
                <w:szCs w:val="20"/>
                <w:lang w:val="en-US"/>
              </w:rPr>
              <w:t>3,063,456</w:t>
            </w:r>
          </w:p>
        </w:tc>
      </w:tr>
    </w:tbl>
    <w:p w:rsidR="005031CF" w:rsidRDefault="005031CF">
      <w:pPr>
        <w:pStyle w:val="Caption"/>
        <w:keepNext/>
        <w:widowControl w:val="0"/>
        <w:spacing w:after="240"/>
      </w:pPr>
    </w:p>
    <w:p w:rsidR="005031CF" w:rsidRDefault="00042749">
      <w:pPr>
        <w:pStyle w:val="Body"/>
        <w:spacing w:after="0" w:line="240" w:lineRule="auto"/>
      </w:pPr>
      <w:r>
        <w:rPr>
          <w:rFonts w:ascii="Arial" w:hAnsi="Arial"/>
          <w:sz w:val="24"/>
          <w:szCs w:val="24"/>
          <w:lang w:val="en-US"/>
        </w:rPr>
        <w:t>(Source: Table KS201EW Census 2011, ONS)</w:t>
      </w:r>
    </w:p>
    <w:p w:rsidR="005031CF" w:rsidRDefault="005031CF">
      <w:pPr>
        <w:pStyle w:val="Body"/>
        <w:spacing w:after="0" w:line="240" w:lineRule="auto"/>
      </w:pPr>
    </w:p>
    <w:p w:rsidR="005031CF" w:rsidRDefault="00042749">
      <w:pPr>
        <w:pStyle w:val="Body"/>
        <w:spacing w:after="0" w:line="240" w:lineRule="auto"/>
      </w:pPr>
      <w:r>
        <w:rPr>
          <w:rFonts w:ascii="Arial" w:hAnsi="Arial"/>
          <w:sz w:val="28"/>
          <w:szCs w:val="28"/>
          <w:lang w:val="en-US"/>
        </w:rPr>
        <w:t>Where English is not a patient’s first language the ability of patients to receive and communicate about their health care provision in the language of their preference, may be affected. This is a particular issue for older patients with dementia where patient’s ability to communicate in English with staff may be compromised.</w:t>
      </w:r>
    </w:p>
    <w:p w:rsidR="005031CF" w:rsidRDefault="005031CF">
      <w:pPr>
        <w:pStyle w:val="Body"/>
        <w:spacing w:after="0" w:line="240" w:lineRule="auto"/>
      </w:pPr>
    </w:p>
    <w:p w:rsidR="005031CF" w:rsidRDefault="00042749">
      <w:pPr>
        <w:pStyle w:val="Body"/>
        <w:spacing w:after="0" w:line="240" w:lineRule="auto"/>
      </w:pPr>
      <w:r>
        <w:rPr>
          <w:rFonts w:ascii="Arial" w:hAnsi="Arial"/>
          <w:sz w:val="28"/>
          <w:szCs w:val="28"/>
          <w:lang w:val="en-US"/>
        </w:rPr>
        <w:t xml:space="preserve">Further work is needed to explore whether there is potential differential impact in respect of race, language and culture in relation to access to services.  However, based on the currently available evidence, no impact is anticipated on this protected characteristic group at this stage. </w:t>
      </w:r>
    </w:p>
    <w:p w:rsidR="005031CF" w:rsidRDefault="005031CF">
      <w:pPr>
        <w:pStyle w:val="Body"/>
        <w:spacing w:after="0" w:line="240" w:lineRule="auto"/>
      </w:pPr>
    </w:p>
    <w:p w:rsidR="005031CF" w:rsidRDefault="00042749">
      <w:pPr>
        <w:pStyle w:val="Heading2"/>
      </w:pPr>
      <w:r>
        <w:t>Religion and Belief (including non-belief)</w:t>
      </w:r>
    </w:p>
    <w:p w:rsidR="005031CF" w:rsidRDefault="00042749">
      <w:pPr>
        <w:pStyle w:val="Body"/>
        <w:spacing w:after="0" w:line="240" w:lineRule="auto"/>
      </w:pPr>
      <w:r>
        <w:rPr>
          <w:rFonts w:ascii="Arial" w:hAnsi="Arial"/>
          <w:sz w:val="28"/>
          <w:szCs w:val="28"/>
          <w:lang w:val="en-US"/>
        </w:rPr>
        <w:t>The Health Board’s area population profile closely mirrors Wales as a whole, however there are some slight variations. The proportion of Christians in the SBUHB area (55.7%) is slightly lower than in Wales (57.6%). The population proportion with ‘</w:t>
      </w:r>
      <w:r>
        <w:rPr>
          <w:rFonts w:ascii="Arial" w:hAnsi="Arial"/>
          <w:sz w:val="28"/>
          <w:szCs w:val="28"/>
          <w:lang w:val="it-IT"/>
        </w:rPr>
        <w:t>No religion</w:t>
      </w:r>
      <w:r>
        <w:rPr>
          <w:rFonts w:ascii="Arial" w:hAnsi="Arial"/>
          <w:sz w:val="28"/>
          <w:szCs w:val="28"/>
          <w:lang w:val="en-US"/>
        </w:rPr>
        <w:t>’, in SBUHB (34.7%) is higher than the figure for Wales (32.1%). In general, the SBUHB area and Wales, have high numbers of people who either identify as ‘</w:t>
      </w:r>
      <w:r>
        <w:rPr>
          <w:rFonts w:ascii="Arial" w:hAnsi="Arial"/>
          <w:sz w:val="28"/>
          <w:szCs w:val="28"/>
        </w:rPr>
        <w:t>Christian</w:t>
      </w:r>
      <w:r>
        <w:rPr>
          <w:rFonts w:ascii="Arial" w:hAnsi="Arial"/>
          <w:sz w:val="28"/>
          <w:szCs w:val="28"/>
          <w:lang w:val="en-US"/>
        </w:rPr>
        <w:t>’ (55.7%) or ‘</w:t>
      </w:r>
      <w:r>
        <w:rPr>
          <w:rFonts w:ascii="Arial" w:hAnsi="Arial"/>
          <w:sz w:val="28"/>
          <w:szCs w:val="28"/>
          <w:lang w:val="it-IT"/>
        </w:rPr>
        <w:t>No religion</w:t>
      </w:r>
      <w:r>
        <w:rPr>
          <w:rFonts w:ascii="Arial" w:hAnsi="Arial"/>
          <w:sz w:val="28"/>
          <w:szCs w:val="28"/>
          <w:lang w:val="en-US"/>
        </w:rPr>
        <w:t>’ (34.7%), with very low proportions of the other religion categories.</w:t>
      </w:r>
    </w:p>
    <w:p w:rsidR="005031CF" w:rsidRDefault="005031CF">
      <w:pPr>
        <w:pStyle w:val="Body"/>
        <w:spacing w:after="0" w:line="240" w:lineRule="auto"/>
      </w:pPr>
    </w:p>
    <w:p w:rsidR="005031CF" w:rsidRDefault="00042749">
      <w:pPr>
        <w:pStyle w:val="Body"/>
        <w:spacing w:after="0" w:line="240" w:lineRule="auto"/>
      </w:pPr>
      <w:r>
        <w:rPr>
          <w:rFonts w:ascii="Arial" w:hAnsi="Arial"/>
          <w:sz w:val="28"/>
          <w:szCs w:val="28"/>
          <w:lang w:val="en-US"/>
        </w:rPr>
        <w:t>At the local authority level Neath Port Talbot (57.7%) has the highest population proportion categorised as ‘</w:t>
      </w:r>
      <w:r>
        <w:rPr>
          <w:rFonts w:ascii="Arial" w:hAnsi="Arial"/>
          <w:sz w:val="28"/>
          <w:szCs w:val="28"/>
        </w:rPr>
        <w:t>Christian</w:t>
      </w:r>
      <w:r>
        <w:rPr>
          <w:rFonts w:ascii="Arial" w:hAnsi="Arial"/>
          <w:sz w:val="28"/>
          <w:szCs w:val="28"/>
          <w:lang w:val="en-US"/>
        </w:rPr>
        <w:t>’ – in line with the figure for Wales (57.6%). While Swansea (55.0%) have Christian population proportions lower than Wales.</w:t>
      </w:r>
    </w:p>
    <w:p w:rsidR="005031CF" w:rsidRDefault="005031CF">
      <w:pPr>
        <w:pStyle w:val="Body"/>
        <w:spacing w:after="0" w:line="240" w:lineRule="auto"/>
      </w:pPr>
    </w:p>
    <w:p w:rsidR="005031CF" w:rsidRDefault="00042749">
      <w:pPr>
        <w:pStyle w:val="Body"/>
        <w:spacing w:after="0" w:line="240" w:lineRule="auto"/>
      </w:pPr>
      <w:r>
        <w:rPr>
          <w:rFonts w:ascii="Arial" w:hAnsi="Arial"/>
          <w:sz w:val="28"/>
          <w:szCs w:val="28"/>
          <w:lang w:val="en-US"/>
        </w:rPr>
        <w:t>Swansea (2.3%) has the highest population proportion categorised as ‘Muslim’ in the SBUHB area, this is the third highest in Wales. While the Neath Port Talbot (0.4%) ‘Muslim’ populations are below the figure for Wales (1.5%)</w:t>
      </w:r>
    </w:p>
    <w:p w:rsidR="005031CF" w:rsidRDefault="005031CF">
      <w:pPr>
        <w:pStyle w:val="Body"/>
        <w:spacing w:after="0" w:line="240" w:lineRule="auto"/>
      </w:pPr>
    </w:p>
    <w:p w:rsidR="005031CF" w:rsidRDefault="00042749">
      <w:pPr>
        <w:pStyle w:val="Body"/>
        <w:spacing w:after="0" w:line="240" w:lineRule="auto"/>
      </w:pPr>
      <w:r>
        <w:rPr>
          <w:rFonts w:ascii="Arial" w:hAnsi="Arial"/>
          <w:sz w:val="28"/>
          <w:szCs w:val="28"/>
          <w:lang w:val="en-US"/>
        </w:rPr>
        <w:t>In relation to peoples request to be cared for by the same gender this would continue to be achieved when requested and this change would not have a negative impact of this aspect of care.</w:t>
      </w:r>
    </w:p>
    <w:p w:rsidR="005031CF" w:rsidRDefault="005031CF">
      <w:pPr>
        <w:pStyle w:val="Body"/>
        <w:spacing w:after="0" w:line="240" w:lineRule="auto"/>
      </w:pPr>
      <w:bookmarkStart w:id="1" w:name="_Ref369613526"/>
    </w:p>
    <w:p w:rsidR="005031CF" w:rsidRDefault="00042749">
      <w:pPr>
        <w:pStyle w:val="Body"/>
        <w:spacing w:after="0" w:line="240" w:lineRule="auto"/>
        <w:sectPr w:rsidR="005031CF">
          <w:headerReference w:type="even" r:id="rId11"/>
          <w:headerReference w:type="default" r:id="rId12"/>
          <w:footerReference w:type="even" r:id="rId13"/>
          <w:footerReference w:type="default" r:id="rId14"/>
          <w:headerReference w:type="first" r:id="rId15"/>
          <w:footerReference w:type="first" r:id="rId16"/>
          <w:pgSz w:w="11900" w:h="16840"/>
          <w:pgMar w:top="1440" w:right="1440" w:bottom="1440" w:left="1440" w:header="708" w:footer="708" w:gutter="0"/>
          <w:cols w:space="720"/>
        </w:sectPr>
      </w:pPr>
      <w:r>
        <w:rPr>
          <w:rFonts w:ascii="Arial" w:hAnsi="Arial"/>
          <w:sz w:val="28"/>
          <w:szCs w:val="28"/>
          <w:lang w:val="en-US"/>
        </w:rPr>
        <w:t>Further work is needed to explore whether there is potential differential impact in respect of religion and belief in relation to access to services.  However, based on the currently available evidence, no impact is anticipated on this protected characteristic group at this stage.</w:t>
      </w:r>
    </w:p>
    <w:p w:rsidR="005031CF" w:rsidRDefault="005031CF">
      <w:pPr>
        <w:pStyle w:val="Body"/>
        <w:spacing w:after="0" w:line="240" w:lineRule="auto"/>
      </w:pPr>
    </w:p>
    <w:bookmarkEnd w:id="1"/>
    <w:p w:rsidR="005031CF" w:rsidRDefault="00042749">
      <w:pPr>
        <w:pStyle w:val="Caption"/>
        <w:keepNext/>
        <w:spacing w:after="240"/>
      </w:pPr>
      <w:r>
        <w:rPr>
          <w:rFonts w:ascii="Arial" w:hAnsi="Arial"/>
          <w:sz w:val="24"/>
          <w:szCs w:val="24"/>
        </w:rPr>
        <w:t>Table 9: Religion by unitary authorities in Swansea Bay Health Board area</w:t>
      </w:r>
    </w:p>
    <w:tbl>
      <w:tblPr>
        <w:tblW w:w="14179" w:type="dxa"/>
        <w:tblInd w:w="211"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D0DDEF"/>
        <w:tblLayout w:type="fixed"/>
        <w:tblLook w:val="04A0" w:firstRow="1" w:lastRow="0" w:firstColumn="1" w:lastColumn="0" w:noHBand="0" w:noVBand="1"/>
      </w:tblPr>
      <w:tblGrid>
        <w:gridCol w:w="1990"/>
        <w:gridCol w:w="1095"/>
        <w:gridCol w:w="1095"/>
        <w:gridCol w:w="1096"/>
        <w:gridCol w:w="1095"/>
        <w:gridCol w:w="1095"/>
        <w:gridCol w:w="1096"/>
        <w:gridCol w:w="1095"/>
        <w:gridCol w:w="1095"/>
        <w:gridCol w:w="1095"/>
        <w:gridCol w:w="1095"/>
        <w:gridCol w:w="1237"/>
      </w:tblGrid>
      <w:tr w:rsidR="005031CF">
        <w:trPr>
          <w:trHeight w:val="1123"/>
        </w:trPr>
        <w:tc>
          <w:tcPr>
            <w:tcW w:w="1990" w:type="dxa"/>
            <w:tcBorders>
              <w:top w:val="single" w:sz="12" w:space="0" w:color="000000"/>
              <w:left w:val="single" w:sz="4" w:space="0" w:color="000000"/>
              <w:bottom w:val="single" w:sz="12" w:space="0" w:color="000000"/>
              <w:right w:val="nil"/>
            </w:tcBorders>
            <w:shd w:val="clear" w:color="auto" w:fill="auto"/>
            <w:tcMar>
              <w:top w:w="80" w:type="dxa"/>
              <w:left w:w="80" w:type="dxa"/>
              <w:bottom w:w="80" w:type="dxa"/>
              <w:right w:w="80" w:type="dxa"/>
            </w:tcMar>
            <w:vAlign w:val="bottom"/>
          </w:tcPr>
          <w:p w:rsidR="005031CF" w:rsidRDefault="00042749">
            <w:pPr>
              <w:pStyle w:val="Body"/>
              <w:spacing w:after="0" w:line="240" w:lineRule="auto"/>
            </w:pPr>
            <w:r>
              <w:rPr>
                <w:rFonts w:ascii="Arial" w:hAnsi="Arial"/>
                <w:b/>
                <w:bCs/>
                <w:sz w:val="20"/>
                <w:szCs w:val="20"/>
                <w:lang w:val="en-US"/>
              </w:rPr>
              <w:t>Region</w:t>
            </w:r>
          </w:p>
        </w:tc>
        <w:tc>
          <w:tcPr>
            <w:tcW w:w="1095" w:type="dxa"/>
            <w:tcBorders>
              <w:top w:val="single" w:sz="12" w:space="0" w:color="000000"/>
              <w:left w:val="nil"/>
              <w:bottom w:val="single" w:sz="12" w:space="0" w:color="000000"/>
              <w:right w:val="nil"/>
            </w:tcBorders>
            <w:shd w:val="clear" w:color="auto" w:fill="auto"/>
            <w:tcMar>
              <w:top w:w="80" w:type="dxa"/>
              <w:left w:w="80" w:type="dxa"/>
              <w:bottom w:w="80" w:type="dxa"/>
              <w:right w:w="80" w:type="dxa"/>
            </w:tcMar>
            <w:vAlign w:val="bottom"/>
          </w:tcPr>
          <w:p w:rsidR="005031CF" w:rsidRDefault="00042749">
            <w:pPr>
              <w:pStyle w:val="Body"/>
              <w:spacing w:after="0" w:line="240" w:lineRule="auto"/>
              <w:jc w:val="right"/>
            </w:pPr>
            <w:r>
              <w:rPr>
                <w:rFonts w:ascii="Arial" w:hAnsi="Arial"/>
                <w:b/>
                <w:bCs/>
                <w:sz w:val="20"/>
                <w:szCs w:val="20"/>
                <w:lang w:val="en-US"/>
              </w:rPr>
              <w:t>Christian</w:t>
            </w:r>
          </w:p>
        </w:tc>
        <w:tc>
          <w:tcPr>
            <w:tcW w:w="1095" w:type="dxa"/>
            <w:tcBorders>
              <w:top w:val="single" w:sz="12" w:space="0" w:color="000000"/>
              <w:left w:val="nil"/>
              <w:bottom w:val="single" w:sz="12" w:space="0" w:color="000000"/>
              <w:right w:val="nil"/>
            </w:tcBorders>
            <w:shd w:val="clear" w:color="auto" w:fill="auto"/>
            <w:tcMar>
              <w:top w:w="80" w:type="dxa"/>
              <w:left w:w="80" w:type="dxa"/>
              <w:bottom w:w="80" w:type="dxa"/>
              <w:right w:w="80" w:type="dxa"/>
            </w:tcMar>
            <w:vAlign w:val="bottom"/>
          </w:tcPr>
          <w:p w:rsidR="005031CF" w:rsidRDefault="00042749">
            <w:pPr>
              <w:pStyle w:val="Body"/>
              <w:spacing w:after="0" w:line="240" w:lineRule="auto"/>
              <w:jc w:val="right"/>
            </w:pPr>
            <w:r>
              <w:rPr>
                <w:rFonts w:ascii="Arial" w:hAnsi="Arial"/>
                <w:b/>
                <w:bCs/>
                <w:sz w:val="20"/>
                <w:szCs w:val="20"/>
                <w:lang w:val="en-US"/>
              </w:rPr>
              <w:t>Buddhist</w:t>
            </w:r>
          </w:p>
        </w:tc>
        <w:tc>
          <w:tcPr>
            <w:tcW w:w="1096" w:type="dxa"/>
            <w:tcBorders>
              <w:top w:val="single" w:sz="12" w:space="0" w:color="000000"/>
              <w:left w:val="nil"/>
              <w:bottom w:val="single" w:sz="12" w:space="0" w:color="000000"/>
              <w:right w:val="nil"/>
            </w:tcBorders>
            <w:shd w:val="clear" w:color="auto" w:fill="auto"/>
            <w:tcMar>
              <w:top w:w="80" w:type="dxa"/>
              <w:left w:w="80" w:type="dxa"/>
              <w:bottom w:w="80" w:type="dxa"/>
              <w:right w:w="80" w:type="dxa"/>
            </w:tcMar>
            <w:vAlign w:val="bottom"/>
          </w:tcPr>
          <w:p w:rsidR="005031CF" w:rsidRDefault="00042749">
            <w:pPr>
              <w:pStyle w:val="Body"/>
              <w:spacing w:after="0" w:line="240" w:lineRule="auto"/>
              <w:jc w:val="right"/>
            </w:pPr>
            <w:r>
              <w:rPr>
                <w:rFonts w:ascii="Arial" w:hAnsi="Arial"/>
                <w:b/>
                <w:bCs/>
                <w:sz w:val="20"/>
                <w:szCs w:val="20"/>
                <w:lang w:val="en-US"/>
              </w:rPr>
              <w:t>Hindu</w:t>
            </w:r>
          </w:p>
        </w:tc>
        <w:tc>
          <w:tcPr>
            <w:tcW w:w="1095" w:type="dxa"/>
            <w:tcBorders>
              <w:top w:val="single" w:sz="12" w:space="0" w:color="000000"/>
              <w:left w:val="nil"/>
              <w:bottom w:val="single" w:sz="12" w:space="0" w:color="000000"/>
              <w:right w:val="nil"/>
            </w:tcBorders>
            <w:shd w:val="clear" w:color="auto" w:fill="auto"/>
            <w:tcMar>
              <w:top w:w="80" w:type="dxa"/>
              <w:left w:w="80" w:type="dxa"/>
              <w:bottom w:w="80" w:type="dxa"/>
              <w:right w:w="80" w:type="dxa"/>
            </w:tcMar>
            <w:vAlign w:val="bottom"/>
          </w:tcPr>
          <w:p w:rsidR="005031CF" w:rsidRDefault="00042749">
            <w:pPr>
              <w:pStyle w:val="Body"/>
              <w:spacing w:after="0" w:line="240" w:lineRule="auto"/>
              <w:jc w:val="right"/>
            </w:pPr>
            <w:r>
              <w:rPr>
                <w:rFonts w:ascii="Arial" w:hAnsi="Arial"/>
                <w:b/>
                <w:bCs/>
                <w:sz w:val="20"/>
                <w:szCs w:val="20"/>
                <w:lang w:val="en-US"/>
              </w:rPr>
              <w:t>Jewish</w:t>
            </w:r>
          </w:p>
        </w:tc>
        <w:tc>
          <w:tcPr>
            <w:tcW w:w="1095" w:type="dxa"/>
            <w:tcBorders>
              <w:top w:val="single" w:sz="12" w:space="0" w:color="000000"/>
              <w:left w:val="nil"/>
              <w:bottom w:val="single" w:sz="12" w:space="0" w:color="000000"/>
              <w:right w:val="nil"/>
            </w:tcBorders>
            <w:shd w:val="clear" w:color="auto" w:fill="auto"/>
            <w:tcMar>
              <w:top w:w="80" w:type="dxa"/>
              <w:left w:w="80" w:type="dxa"/>
              <w:bottom w:w="80" w:type="dxa"/>
              <w:right w:w="80" w:type="dxa"/>
            </w:tcMar>
            <w:vAlign w:val="bottom"/>
          </w:tcPr>
          <w:p w:rsidR="005031CF" w:rsidRDefault="00042749">
            <w:pPr>
              <w:pStyle w:val="Body"/>
              <w:spacing w:after="0" w:line="240" w:lineRule="auto"/>
              <w:jc w:val="right"/>
            </w:pPr>
            <w:r>
              <w:rPr>
                <w:rFonts w:ascii="Arial" w:hAnsi="Arial"/>
                <w:b/>
                <w:bCs/>
                <w:sz w:val="20"/>
                <w:szCs w:val="20"/>
                <w:lang w:val="en-US"/>
              </w:rPr>
              <w:t>Muslim</w:t>
            </w:r>
          </w:p>
        </w:tc>
        <w:tc>
          <w:tcPr>
            <w:tcW w:w="1096" w:type="dxa"/>
            <w:tcBorders>
              <w:top w:val="single" w:sz="12" w:space="0" w:color="000000"/>
              <w:left w:val="nil"/>
              <w:bottom w:val="single" w:sz="12" w:space="0" w:color="000000"/>
              <w:right w:val="nil"/>
            </w:tcBorders>
            <w:shd w:val="clear" w:color="auto" w:fill="auto"/>
            <w:tcMar>
              <w:top w:w="80" w:type="dxa"/>
              <w:left w:w="80" w:type="dxa"/>
              <w:bottom w:w="80" w:type="dxa"/>
              <w:right w:w="80" w:type="dxa"/>
            </w:tcMar>
            <w:vAlign w:val="bottom"/>
          </w:tcPr>
          <w:p w:rsidR="005031CF" w:rsidRDefault="00042749">
            <w:pPr>
              <w:pStyle w:val="Body"/>
              <w:spacing w:after="0" w:line="240" w:lineRule="auto"/>
              <w:jc w:val="right"/>
            </w:pPr>
            <w:r>
              <w:rPr>
                <w:rFonts w:ascii="Arial" w:hAnsi="Arial"/>
                <w:b/>
                <w:bCs/>
                <w:sz w:val="20"/>
                <w:szCs w:val="20"/>
                <w:lang w:val="en-US"/>
              </w:rPr>
              <w:t>Sikh</w:t>
            </w:r>
          </w:p>
        </w:tc>
        <w:tc>
          <w:tcPr>
            <w:tcW w:w="1095" w:type="dxa"/>
            <w:tcBorders>
              <w:top w:val="single" w:sz="12" w:space="0" w:color="000000"/>
              <w:left w:val="nil"/>
              <w:bottom w:val="single" w:sz="12" w:space="0" w:color="000000"/>
              <w:right w:val="nil"/>
            </w:tcBorders>
            <w:shd w:val="clear" w:color="auto" w:fill="auto"/>
            <w:tcMar>
              <w:top w:w="80" w:type="dxa"/>
              <w:left w:w="80" w:type="dxa"/>
              <w:bottom w:w="80" w:type="dxa"/>
              <w:right w:w="80" w:type="dxa"/>
            </w:tcMar>
            <w:vAlign w:val="bottom"/>
          </w:tcPr>
          <w:p w:rsidR="005031CF" w:rsidRDefault="00042749">
            <w:pPr>
              <w:pStyle w:val="Body"/>
              <w:spacing w:after="0" w:line="240" w:lineRule="auto"/>
              <w:jc w:val="right"/>
            </w:pPr>
            <w:r>
              <w:rPr>
                <w:rFonts w:ascii="Arial" w:hAnsi="Arial"/>
                <w:b/>
                <w:bCs/>
                <w:sz w:val="20"/>
                <w:szCs w:val="20"/>
                <w:lang w:val="en-US"/>
              </w:rPr>
              <w:t>Other religion</w:t>
            </w:r>
          </w:p>
        </w:tc>
        <w:tc>
          <w:tcPr>
            <w:tcW w:w="1095" w:type="dxa"/>
            <w:tcBorders>
              <w:top w:val="single" w:sz="12" w:space="0" w:color="000000"/>
              <w:left w:val="nil"/>
              <w:bottom w:val="single" w:sz="12" w:space="0" w:color="000000"/>
              <w:right w:val="nil"/>
            </w:tcBorders>
            <w:shd w:val="clear" w:color="auto" w:fill="auto"/>
            <w:tcMar>
              <w:top w:w="80" w:type="dxa"/>
              <w:left w:w="80" w:type="dxa"/>
              <w:bottom w:w="80" w:type="dxa"/>
              <w:right w:w="80" w:type="dxa"/>
            </w:tcMar>
            <w:vAlign w:val="bottom"/>
          </w:tcPr>
          <w:p w:rsidR="005031CF" w:rsidRDefault="00042749">
            <w:pPr>
              <w:pStyle w:val="Body"/>
              <w:spacing w:after="0" w:line="240" w:lineRule="auto"/>
              <w:jc w:val="right"/>
            </w:pPr>
            <w:r>
              <w:rPr>
                <w:rFonts w:ascii="Arial" w:hAnsi="Arial"/>
                <w:b/>
                <w:bCs/>
                <w:sz w:val="20"/>
                <w:szCs w:val="20"/>
                <w:lang w:val="en-US"/>
              </w:rPr>
              <w:t>No religion</w:t>
            </w:r>
          </w:p>
        </w:tc>
        <w:tc>
          <w:tcPr>
            <w:tcW w:w="1095" w:type="dxa"/>
            <w:tcBorders>
              <w:top w:val="single" w:sz="12" w:space="0" w:color="000000"/>
              <w:left w:val="nil"/>
              <w:bottom w:val="single" w:sz="12" w:space="0" w:color="000000"/>
              <w:right w:val="nil"/>
            </w:tcBorders>
            <w:shd w:val="clear" w:color="auto" w:fill="auto"/>
            <w:tcMar>
              <w:top w:w="80" w:type="dxa"/>
              <w:left w:w="80" w:type="dxa"/>
              <w:bottom w:w="80" w:type="dxa"/>
              <w:right w:w="80" w:type="dxa"/>
            </w:tcMar>
            <w:vAlign w:val="bottom"/>
          </w:tcPr>
          <w:p w:rsidR="005031CF" w:rsidRDefault="00042749">
            <w:pPr>
              <w:pStyle w:val="Body"/>
              <w:spacing w:after="0" w:line="240" w:lineRule="auto"/>
              <w:jc w:val="right"/>
            </w:pPr>
            <w:r>
              <w:rPr>
                <w:rFonts w:ascii="Arial" w:hAnsi="Arial"/>
                <w:b/>
                <w:bCs/>
                <w:sz w:val="20"/>
                <w:szCs w:val="20"/>
                <w:lang w:val="en-US"/>
              </w:rPr>
              <w:t>Religion not stated</w:t>
            </w:r>
          </w:p>
        </w:tc>
        <w:tc>
          <w:tcPr>
            <w:tcW w:w="1095" w:type="dxa"/>
            <w:tcBorders>
              <w:top w:val="single" w:sz="12" w:space="0" w:color="000000"/>
              <w:left w:val="nil"/>
              <w:bottom w:val="single" w:sz="12" w:space="0" w:color="000000"/>
              <w:right w:val="nil"/>
            </w:tcBorders>
            <w:shd w:val="clear" w:color="auto" w:fill="auto"/>
            <w:tcMar>
              <w:top w:w="80" w:type="dxa"/>
              <w:left w:w="80" w:type="dxa"/>
              <w:bottom w:w="80" w:type="dxa"/>
              <w:right w:w="80" w:type="dxa"/>
            </w:tcMar>
            <w:vAlign w:val="bottom"/>
          </w:tcPr>
          <w:p w:rsidR="005031CF" w:rsidRDefault="00042749">
            <w:pPr>
              <w:pStyle w:val="Body"/>
              <w:spacing w:after="0" w:line="240" w:lineRule="auto"/>
              <w:jc w:val="right"/>
            </w:pPr>
            <w:r>
              <w:rPr>
                <w:rFonts w:ascii="Arial" w:hAnsi="Arial"/>
                <w:b/>
                <w:bCs/>
                <w:sz w:val="20"/>
                <w:szCs w:val="20"/>
                <w:lang w:val="en-US"/>
              </w:rPr>
              <w:t>Total (%)</w:t>
            </w:r>
          </w:p>
        </w:tc>
        <w:tc>
          <w:tcPr>
            <w:tcW w:w="1237" w:type="dxa"/>
            <w:tcBorders>
              <w:top w:val="single" w:sz="12" w:space="0" w:color="000000"/>
              <w:left w:val="nil"/>
              <w:bottom w:val="single" w:sz="12" w:space="0" w:color="000000"/>
              <w:right w:val="single" w:sz="4" w:space="0" w:color="000000"/>
            </w:tcBorders>
            <w:shd w:val="clear" w:color="auto" w:fill="auto"/>
            <w:tcMar>
              <w:top w:w="80" w:type="dxa"/>
              <w:left w:w="80" w:type="dxa"/>
              <w:bottom w:w="80" w:type="dxa"/>
              <w:right w:w="80" w:type="dxa"/>
            </w:tcMar>
            <w:vAlign w:val="bottom"/>
          </w:tcPr>
          <w:p w:rsidR="005031CF" w:rsidRDefault="00042749">
            <w:pPr>
              <w:pStyle w:val="Body"/>
              <w:spacing w:after="0" w:line="240" w:lineRule="auto"/>
              <w:jc w:val="right"/>
            </w:pPr>
            <w:r>
              <w:rPr>
                <w:rFonts w:ascii="Arial" w:hAnsi="Arial"/>
                <w:b/>
                <w:bCs/>
                <w:sz w:val="20"/>
                <w:szCs w:val="20"/>
                <w:lang w:val="en-US"/>
              </w:rPr>
              <w:t>Total</w:t>
            </w:r>
          </w:p>
        </w:tc>
      </w:tr>
      <w:tr w:rsidR="005031CF">
        <w:trPr>
          <w:trHeight w:val="458"/>
        </w:trPr>
        <w:tc>
          <w:tcPr>
            <w:tcW w:w="1990" w:type="dxa"/>
            <w:tcBorders>
              <w:top w:val="single" w:sz="12" w:space="0" w:color="000000"/>
              <w:left w:val="single" w:sz="4" w:space="0" w:color="000000"/>
              <w:bottom w:val="nil"/>
              <w:right w:val="nil"/>
            </w:tcBorders>
            <w:shd w:val="clear" w:color="auto" w:fill="BFBFBF"/>
            <w:tcMar>
              <w:top w:w="80" w:type="dxa"/>
              <w:left w:w="80" w:type="dxa"/>
              <w:bottom w:w="80" w:type="dxa"/>
              <w:right w:w="80" w:type="dxa"/>
            </w:tcMar>
            <w:vAlign w:val="bottom"/>
          </w:tcPr>
          <w:p w:rsidR="005031CF" w:rsidRDefault="00042749">
            <w:pPr>
              <w:pStyle w:val="Body"/>
              <w:spacing w:after="0" w:line="240" w:lineRule="auto"/>
            </w:pPr>
            <w:r>
              <w:rPr>
                <w:rFonts w:ascii="Arial" w:hAnsi="Arial"/>
                <w:sz w:val="20"/>
                <w:szCs w:val="20"/>
                <w:lang w:val="en-US"/>
              </w:rPr>
              <w:t>SBUHB</w:t>
            </w:r>
          </w:p>
        </w:tc>
        <w:tc>
          <w:tcPr>
            <w:tcW w:w="1095" w:type="dxa"/>
            <w:tcBorders>
              <w:top w:val="single" w:sz="12" w:space="0" w:color="000000"/>
              <w:left w:val="nil"/>
              <w:bottom w:val="nil"/>
              <w:right w:val="nil"/>
            </w:tcBorders>
            <w:shd w:val="clear" w:color="auto" w:fill="BFBFBF"/>
            <w:tcMar>
              <w:top w:w="80" w:type="dxa"/>
              <w:left w:w="80" w:type="dxa"/>
              <w:bottom w:w="80" w:type="dxa"/>
              <w:right w:w="80" w:type="dxa"/>
            </w:tcMar>
            <w:vAlign w:val="bottom"/>
          </w:tcPr>
          <w:p w:rsidR="005031CF" w:rsidRDefault="00042749">
            <w:pPr>
              <w:pStyle w:val="Body"/>
              <w:spacing w:after="0" w:line="240" w:lineRule="auto"/>
              <w:jc w:val="right"/>
            </w:pPr>
            <w:r>
              <w:rPr>
                <w:rFonts w:ascii="Arial" w:hAnsi="Arial"/>
                <w:sz w:val="20"/>
                <w:szCs w:val="20"/>
                <w:lang w:val="en-US"/>
              </w:rPr>
              <w:t>55.7%</w:t>
            </w:r>
          </w:p>
        </w:tc>
        <w:tc>
          <w:tcPr>
            <w:tcW w:w="1095" w:type="dxa"/>
            <w:tcBorders>
              <w:top w:val="single" w:sz="12" w:space="0" w:color="000000"/>
              <w:left w:val="nil"/>
              <w:bottom w:val="nil"/>
              <w:right w:val="nil"/>
            </w:tcBorders>
            <w:shd w:val="clear" w:color="auto" w:fill="BFBFBF"/>
            <w:tcMar>
              <w:top w:w="80" w:type="dxa"/>
              <w:left w:w="80" w:type="dxa"/>
              <w:bottom w:w="80" w:type="dxa"/>
              <w:right w:w="80" w:type="dxa"/>
            </w:tcMar>
            <w:vAlign w:val="bottom"/>
          </w:tcPr>
          <w:p w:rsidR="005031CF" w:rsidRDefault="00042749">
            <w:pPr>
              <w:pStyle w:val="Body"/>
              <w:spacing w:after="0" w:line="240" w:lineRule="auto"/>
              <w:jc w:val="right"/>
            </w:pPr>
            <w:r>
              <w:rPr>
                <w:rFonts w:ascii="Arial" w:hAnsi="Arial"/>
                <w:sz w:val="20"/>
                <w:szCs w:val="20"/>
                <w:lang w:val="en-US"/>
              </w:rPr>
              <w:t>0.3%</w:t>
            </w:r>
          </w:p>
        </w:tc>
        <w:tc>
          <w:tcPr>
            <w:tcW w:w="1096" w:type="dxa"/>
            <w:tcBorders>
              <w:top w:val="single" w:sz="12" w:space="0" w:color="000000"/>
              <w:left w:val="nil"/>
              <w:bottom w:val="nil"/>
              <w:right w:val="nil"/>
            </w:tcBorders>
            <w:shd w:val="clear" w:color="auto" w:fill="BFBFBF"/>
            <w:tcMar>
              <w:top w:w="80" w:type="dxa"/>
              <w:left w:w="80" w:type="dxa"/>
              <w:bottom w:w="80" w:type="dxa"/>
              <w:right w:w="80" w:type="dxa"/>
            </w:tcMar>
            <w:vAlign w:val="bottom"/>
          </w:tcPr>
          <w:p w:rsidR="005031CF" w:rsidRDefault="00042749">
            <w:pPr>
              <w:pStyle w:val="Body"/>
              <w:spacing w:after="0" w:line="240" w:lineRule="auto"/>
              <w:jc w:val="right"/>
            </w:pPr>
            <w:r>
              <w:rPr>
                <w:rFonts w:ascii="Arial" w:hAnsi="Arial"/>
                <w:sz w:val="20"/>
                <w:szCs w:val="20"/>
                <w:lang w:val="en-US"/>
              </w:rPr>
              <w:t>0.2%</w:t>
            </w:r>
          </w:p>
        </w:tc>
        <w:tc>
          <w:tcPr>
            <w:tcW w:w="1095" w:type="dxa"/>
            <w:tcBorders>
              <w:top w:val="single" w:sz="12" w:space="0" w:color="000000"/>
              <w:left w:val="nil"/>
              <w:bottom w:val="nil"/>
              <w:right w:val="nil"/>
            </w:tcBorders>
            <w:shd w:val="clear" w:color="auto" w:fill="BFBFBF"/>
            <w:tcMar>
              <w:top w:w="80" w:type="dxa"/>
              <w:left w:w="80" w:type="dxa"/>
              <w:bottom w:w="80" w:type="dxa"/>
              <w:right w:w="80" w:type="dxa"/>
            </w:tcMar>
            <w:vAlign w:val="bottom"/>
          </w:tcPr>
          <w:p w:rsidR="005031CF" w:rsidRDefault="00042749">
            <w:pPr>
              <w:pStyle w:val="Body"/>
              <w:spacing w:after="0" w:line="240" w:lineRule="auto"/>
              <w:jc w:val="right"/>
            </w:pPr>
            <w:r>
              <w:rPr>
                <w:rFonts w:ascii="Arial" w:hAnsi="Arial"/>
                <w:sz w:val="20"/>
                <w:szCs w:val="20"/>
                <w:lang w:val="en-US"/>
              </w:rPr>
              <w:t>0.0%</w:t>
            </w:r>
          </w:p>
        </w:tc>
        <w:tc>
          <w:tcPr>
            <w:tcW w:w="1095" w:type="dxa"/>
            <w:tcBorders>
              <w:top w:val="single" w:sz="12" w:space="0" w:color="000000"/>
              <w:left w:val="nil"/>
              <w:bottom w:val="nil"/>
              <w:right w:val="nil"/>
            </w:tcBorders>
            <w:shd w:val="clear" w:color="auto" w:fill="BFBFBF"/>
            <w:tcMar>
              <w:top w:w="80" w:type="dxa"/>
              <w:left w:w="80" w:type="dxa"/>
              <w:bottom w:w="80" w:type="dxa"/>
              <w:right w:w="80" w:type="dxa"/>
            </w:tcMar>
            <w:vAlign w:val="bottom"/>
          </w:tcPr>
          <w:p w:rsidR="005031CF" w:rsidRDefault="00042749">
            <w:pPr>
              <w:pStyle w:val="Body"/>
              <w:spacing w:after="0" w:line="240" w:lineRule="auto"/>
              <w:jc w:val="right"/>
            </w:pPr>
            <w:r>
              <w:rPr>
                <w:rFonts w:ascii="Arial" w:hAnsi="Arial"/>
                <w:sz w:val="20"/>
                <w:szCs w:val="20"/>
                <w:lang w:val="en-US"/>
              </w:rPr>
              <w:t>1.3%</w:t>
            </w:r>
          </w:p>
        </w:tc>
        <w:tc>
          <w:tcPr>
            <w:tcW w:w="1096" w:type="dxa"/>
            <w:tcBorders>
              <w:top w:val="single" w:sz="12" w:space="0" w:color="000000"/>
              <w:left w:val="nil"/>
              <w:bottom w:val="nil"/>
              <w:right w:val="nil"/>
            </w:tcBorders>
            <w:shd w:val="clear" w:color="auto" w:fill="BFBFBF"/>
            <w:tcMar>
              <w:top w:w="80" w:type="dxa"/>
              <w:left w:w="80" w:type="dxa"/>
              <w:bottom w:w="80" w:type="dxa"/>
              <w:right w:w="80" w:type="dxa"/>
            </w:tcMar>
            <w:vAlign w:val="bottom"/>
          </w:tcPr>
          <w:p w:rsidR="005031CF" w:rsidRDefault="00042749">
            <w:pPr>
              <w:pStyle w:val="Body"/>
              <w:spacing w:after="0" w:line="240" w:lineRule="auto"/>
              <w:jc w:val="right"/>
            </w:pPr>
            <w:r>
              <w:rPr>
                <w:rFonts w:ascii="Arial" w:hAnsi="Arial"/>
                <w:sz w:val="20"/>
                <w:szCs w:val="20"/>
                <w:lang w:val="en-US"/>
              </w:rPr>
              <w:t>0.1%</w:t>
            </w:r>
          </w:p>
        </w:tc>
        <w:tc>
          <w:tcPr>
            <w:tcW w:w="1095" w:type="dxa"/>
            <w:tcBorders>
              <w:top w:val="single" w:sz="12" w:space="0" w:color="000000"/>
              <w:left w:val="nil"/>
              <w:bottom w:val="nil"/>
              <w:right w:val="nil"/>
            </w:tcBorders>
            <w:shd w:val="clear" w:color="auto" w:fill="BFBFBF"/>
            <w:tcMar>
              <w:top w:w="80" w:type="dxa"/>
              <w:left w:w="80" w:type="dxa"/>
              <w:bottom w:w="80" w:type="dxa"/>
              <w:right w:w="80" w:type="dxa"/>
            </w:tcMar>
            <w:vAlign w:val="bottom"/>
          </w:tcPr>
          <w:p w:rsidR="005031CF" w:rsidRDefault="00042749">
            <w:pPr>
              <w:pStyle w:val="Body"/>
              <w:spacing w:after="0" w:line="240" w:lineRule="auto"/>
              <w:jc w:val="right"/>
            </w:pPr>
            <w:r>
              <w:rPr>
                <w:rFonts w:ascii="Arial" w:hAnsi="Arial"/>
                <w:sz w:val="20"/>
                <w:szCs w:val="20"/>
                <w:lang w:val="en-US"/>
              </w:rPr>
              <w:t>0.4%</w:t>
            </w:r>
          </w:p>
        </w:tc>
        <w:tc>
          <w:tcPr>
            <w:tcW w:w="1095" w:type="dxa"/>
            <w:tcBorders>
              <w:top w:val="single" w:sz="12" w:space="0" w:color="000000"/>
              <w:left w:val="nil"/>
              <w:bottom w:val="nil"/>
              <w:right w:val="nil"/>
            </w:tcBorders>
            <w:shd w:val="clear" w:color="auto" w:fill="BFBFBF"/>
            <w:tcMar>
              <w:top w:w="80" w:type="dxa"/>
              <w:left w:w="80" w:type="dxa"/>
              <w:bottom w:w="80" w:type="dxa"/>
              <w:right w:w="80" w:type="dxa"/>
            </w:tcMar>
            <w:vAlign w:val="bottom"/>
          </w:tcPr>
          <w:p w:rsidR="005031CF" w:rsidRDefault="00042749">
            <w:pPr>
              <w:pStyle w:val="Body"/>
              <w:spacing w:after="0" w:line="240" w:lineRule="auto"/>
              <w:jc w:val="right"/>
            </w:pPr>
            <w:r>
              <w:rPr>
                <w:rFonts w:ascii="Arial" w:hAnsi="Arial"/>
                <w:sz w:val="20"/>
                <w:szCs w:val="20"/>
                <w:lang w:val="en-US"/>
              </w:rPr>
              <w:t>34.7%</w:t>
            </w:r>
          </w:p>
        </w:tc>
        <w:tc>
          <w:tcPr>
            <w:tcW w:w="1095" w:type="dxa"/>
            <w:tcBorders>
              <w:top w:val="single" w:sz="12" w:space="0" w:color="000000"/>
              <w:left w:val="nil"/>
              <w:bottom w:val="nil"/>
              <w:right w:val="nil"/>
            </w:tcBorders>
            <w:shd w:val="clear" w:color="auto" w:fill="BFBFBF"/>
            <w:tcMar>
              <w:top w:w="80" w:type="dxa"/>
              <w:left w:w="80" w:type="dxa"/>
              <w:bottom w:w="80" w:type="dxa"/>
              <w:right w:w="80" w:type="dxa"/>
            </w:tcMar>
            <w:vAlign w:val="bottom"/>
          </w:tcPr>
          <w:p w:rsidR="005031CF" w:rsidRDefault="00042749">
            <w:pPr>
              <w:pStyle w:val="Body"/>
              <w:spacing w:after="0" w:line="240" w:lineRule="auto"/>
              <w:jc w:val="right"/>
            </w:pPr>
            <w:r>
              <w:rPr>
                <w:rFonts w:ascii="Arial" w:hAnsi="Arial"/>
                <w:sz w:val="20"/>
                <w:szCs w:val="20"/>
                <w:lang w:val="en-US"/>
              </w:rPr>
              <w:t>7.3%</w:t>
            </w:r>
          </w:p>
        </w:tc>
        <w:tc>
          <w:tcPr>
            <w:tcW w:w="1095" w:type="dxa"/>
            <w:tcBorders>
              <w:top w:val="single" w:sz="12" w:space="0" w:color="000000"/>
              <w:left w:val="nil"/>
              <w:bottom w:val="nil"/>
              <w:right w:val="nil"/>
            </w:tcBorders>
            <w:shd w:val="clear" w:color="auto" w:fill="BFBFBF"/>
            <w:tcMar>
              <w:top w:w="80" w:type="dxa"/>
              <w:left w:w="80" w:type="dxa"/>
              <w:bottom w:w="80" w:type="dxa"/>
              <w:right w:w="80" w:type="dxa"/>
            </w:tcMar>
            <w:vAlign w:val="bottom"/>
          </w:tcPr>
          <w:p w:rsidR="005031CF" w:rsidRDefault="00042749">
            <w:pPr>
              <w:pStyle w:val="Body"/>
              <w:spacing w:after="0" w:line="240" w:lineRule="auto"/>
              <w:jc w:val="right"/>
            </w:pPr>
            <w:r>
              <w:rPr>
                <w:rFonts w:ascii="Arial" w:hAnsi="Arial"/>
                <w:sz w:val="20"/>
                <w:szCs w:val="20"/>
                <w:lang w:val="en-US"/>
              </w:rPr>
              <w:t>100.0%</w:t>
            </w:r>
          </w:p>
        </w:tc>
        <w:tc>
          <w:tcPr>
            <w:tcW w:w="1237" w:type="dxa"/>
            <w:tcBorders>
              <w:top w:val="single" w:sz="12" w:space="0" w:color="000000"/>
              <w:left w:val="nil"/>
              <w:bottom w:val="nil"/>
              <w:right w:val="single" w:sz="4" w:space="0" w:color="000000"/>
            </w:tcBorders>
            <w:shd w:val="clear" w:color="auto" w:fill="BFBFBF"/>
            <w:tcMar>
              <w:top w:w="80" w:type="dxa"/>
              <w:left w:w="80" w:type="dxa"/>
              <w:bottom w:w="80" w:type="dxa"/>
              <w:right w:w="80" w:type="dxa"/>
            </w:tcMar>
            <w:vAlign w:val="bottom"/>
          </w:tcPr>
          <w:p w:rsidR="005031CF" w:rsidRDefault="00042749">
            <w:pPr>
              <w:pStyle w:val="Body"/>
              <w:spacing w:after="0" w:line="240" w:lineRule="auto"/>
              <w:jc w:val="right"/>
            </w:pPr>
            <w:r>
              <w:rPr>
                <w:rFonts w:ascii="Arial" w:hAnsi="Arial"/>
                <w:sz w:val="20"/>
                <w:szCs w:val="20"/>
                <w:lang w:val="en-US"/>
              </w:rPr>
              <w:t>378,835</w:t>
            </w:r>
          </w:p>
        </w:tc>
      </w:tr>
      <w:tr w:rsidR="005031CF">
        <w:trPr>
          <w:trHeight w:val="233"/>
        </w:trPr>
        <w:tc>
          <w:tcPr>
            <w:tcW w:w="1990" w:type="dxa"/>
            <w:tcBorders>
              <w:top w:val="nil"/>
              <w:left w:val="single" w:sz="4" w:space="0" w:color="000000"/>
              <w:bottom w:val="nil"/>
              <w:right w:val="nil"/>
            </w:tcBorders>
            <w:shd w:val="clear" w:color="auto" w:fill="auto"/>
            <w:tcMar>
              <w:top w:w="80" w:type="dxa"/>
              <w:left w:w="80" w:type="dxa"/>
              <w:bottom w:w="80" w:type="dxa"/>
              <w:right w:w="80" w:type="dxa"/>
            </w:tcMar>
            <w:vAlign w:val="bottom"/>
          </w:tcPr>
          <w:p w:rsidR="005031CF" w:rsidRDefault="005031CF"/>
        </w:tc>
        <w:tc>
          <w:tcPr>
            <w:tcW w:w="1095" w:type="dxa"/>
            <w:tcBorders>
              <w:top w:val="nil"/>
              <w:left w:val="nil"/>
              <w:bottom w:val="nil"/>
              <w:right w:val="nil"/>
            </w:tcBorders>
            <w:shd w:val="clear" w:color="auto" w:fill="auto"/>
            <w:tcMar>
              <w:top w:w="80" w:type="dxa"/>
              <w:left w:w="80" w:type="dxa"/>
              <w:bottom w:w="80" w:type="dxa"/>
              <w:right w:w="80" w:type="dxa"/>
            </w:tcMar>
            <w:vAlign w:val="bottom"/>
          </w:tcPr>
          <w:p w:rsidR="005031CF" w:rsidRDefault="005031CF"/>
        </w:tc>
        <w:tc>
          <w:tcPr>
            <w:tcW w:w="1095" w:type="dxa"/>
            <w:tcBorders>
              <w:top w:val="nil"/>
              <w:left w:val="nil"/>
              <w:bottom w:val="nil"/>
              <w:right w:val="nil"/>
            </w:tcBorders>
            <w:shd w:val="clear" w:color="auto" w:fill="auto"/>
            <w:tcMar>
              <w:top w:w="80" w:type="dxa"/>
              <w:left w:w="80" w:type="dxa"/>
              <w:bottom w:w="80" w:type="dxa"/>
              <w:right w:w="80" w:type="dxa"/>
            </w:tcMar>
            <w:vAlign w:val="bottom"/>
          </w:tcPr>
          <w:p w:rsidR="005031CF" w:rsidRDefault="005031CF"/>
        </w:tc>
        <w:tc>
          <w:tcPr>
            <w:tcW w:w="1096" w:type="dxa"/>
            <w:tcBorders>
              <w:top w:val="nil"/>
              <w:left w:val="nil"/>
              <w:bottom w:val="nil"/>
              <w:right w:val="nil"/>
            </w:tcBorders>
            <w:shd w:val="clear" w:color="auto" w:fill="auto"/>
            <w:tcMar>
              <w:top w:w="80" w:type="dxa"/>
              <w:left w:w="80" w:type="dxa"/>
              <w:bottom w:w="80" w:type="dxa"/>
              <w:right w:w="80" w:type="dxa"/>
            </w:tcMar>
            <w:vAlign w:val="bottom"/>
          </w:tcPr>
          <w:p w:rsidR="005031CF" w:rsidRDefault="005031CF"/>
        </w:tc>
        <w:tc>
          <w:tcPr>
            <w:tcW w:w="1095" w:type="dxa"/>
            <w:tcBorders>
              <w:top w:val="nil"/>
              <w:left w:val="nil"/>
              <w:bottom w:val="nil"/>
              <w:right w:val="nil"/>
            </w:tcBorders>
            <w:shd w:val="clear" w:color="auto" w:fill="auto"/>
            <w:tcMar>
              <w:top w:w="80" w:type="dxa"/>
              <w:left w:w="80" w:type="dxa"/>
              <w:bottom w:w="80" w:type="dxa"/>
              <w:right w:w="80" w:type="dxa"/>
            </w:tcMar>
            <w:vAlign w:val="bottom"/>
          </w:tcPr>
          <w:p w:rsidR="005031CF" w:rsidRDefault="005031CF"/>
        </w:tc>
        <w:tc>
          <w:tcPr>
            <w:tcW w:w="1095" w:type="dxa"/>
            <w:tcBorders>
              <w:top w:val="nil"/>
              <w:left w:val="nil"/>
              <w:bottom w:val="nil"/>
              <w:right w:val="nil"/>
            </w:tcBorders>
            <w:shd w:val="clear" w:color="auto" w:fill="auto"/>
            <w:tcMar>
              <w:top w:w="80" w:type="dxa"/>
              <w:left w:w="80" w:type="dxa"/>
              <w:bottom w:w="80" w:type="dxa"/>
              <w:right w:w="80" w:type="dxa"/>
            </w:tcMar>
            <w:vAlign w:val="bottom"/>
          </w:tcPr>
          <w:p w:rsidR="005031CF" w:rsidRDefault="005031CF"/>
        </w:tc>
        <w:tc>
          <w:tcPr>
            <w:tcW w:w="1096" w:type="dxa"/>
            <w:tcBorders>
              <w:top w:val="nil"/>
              <w:left w:val="nil"/>
              <w:bottom w:val="nil"/>
              <w:right w:val="nil"/>
            </w:tcBorders>
            <w:shd w:val="clear" w:color="auto" w:fill="auto"/>
            <w:tcMar>
              <w:top w:w="80" w:type="dxa"/>
              <w:left w:w="80" w:type="dxa"/>
              <w:bottom w:w="80" w:type="dxa"/>
              <w:right w:w="80" w:type="dxa"/>
            </w:tcMar>
            <w:vAlign w:val="bottom"/>
          </w:tcPr>
          <w:p w:rsidR="005031CF" w:rsidRDefault="005031CF"/>
        </w:tc>
        <w:tc>
          <w:tcPr>
            <w:tcW w:w="1095" w:type="dxa"/>
            <w:tcBorders>
              <w:top w:val="nil"/>
              <w:left w:val="nil"/>
              <w:bottom w:val="nil"/>
              <w:right w:val="nil"/>
            </w:tcBorders>
            <w:shd w:val="clear" w:color="auto" w:fill="auto"/>
            <w:tcMar>
              <w:top w:w="80" w:type="dxa"/>
              <w:left w:w="80" w:type="dxa"/>
              <w:bottom w:w="80" w:type="dxa"/>
              <w:right w:w="80" w:type="dxa"/>
            </w:tcMar>
            <w:vAlign w:val="bottom"/>
          </w:tcPr>
          <w:p w:rsidR="005031CF" w:rsidRDefault="005031CF"/>
        </w:tc>
        <w:tc>
          <w:tcPr>
            <w:tcW w:w="1095" w:type="dxa"/>
            <w:tcBorders>
              <w:top w:val="nil"/>
              <w:left w:val="nil"/>
              <w:bottom w:val="nil"/>
              <w:right w:val="nil"/>
            </w:tcBorders>
            <w:shd w:val="clear" w:color="auto" w:fill="auto"/>
            <w:tcMar>
              <w:top w:w="80" w:type="dxa"/>
              <w:left w:w="80" w:type="dxa"/>
              <w:bottom w:w="80" w:type="dxa"/>
              <w:right w:w="80" w:type="dxa"/>
            </w:tcMar>
            <w:vAlign w:val="bottom"/>
          </w:tcPr>
          <w:p w:rsidR="005031CF" w:rsidRDefault="005031CF"/>
        </w:tc>
        <w:tc>
          <w:tcPr>
            <w:tcW w:w="1095" w:type="dxa"/>
            <w:tcBorders>
              <w:top w:val="nil"/>
              <w:left w:val="nil"/>
              <w:bottom w:val="nil"/>
              <w:right w:val="nil"/>
            </w:tcBorders>
            <w:shd w:val="clear" w:color="auto" w:fill="auto"/>
            <w:tcMar>
              <w:top w:w="80" w:type="dxa"/>
              <w:left w:w="80" w:type="dxa"/>
              <w:bottom w:w="80" w:type="dxa"/>
              <w:right w:w="80" w:type="dxa"/>
            </w:tcMar>
            <w:vAlign w:val="bottom"/>
          </w:tcPr>
          <w:p w:rsidR="005031CF" w:rsidRDefault="005031CF"/>
        </w:tc>
        <w:tc>
          <w:tcPr>
            <w:tcW w:w="1095" w:type="dxa"/>
            <w:tcBorders>
              <w:top w:val="nil"/>
              <w:left w:val="nil"/>
              <w:bottom w:val="nil"/>
              <w:right w:val="nil"/>
            </w:tcBorders>
            <w:shd w:val="clear" w:color="auto" w:fill="auto"/>
            <w:tcMar>
              <w:top w:w="80" w:type="dxa"/>
              <w:left w:w="80" w:type="dxa"/>
              <w:bottom w:w="80" w:type="dxa"/>
              <w:right w:w="80" w:type="dxa"/>
            </w:tcMar>
            <w:vAlign w:val="bottom"/>
          </w:tcPr>
          <w:p w:rsidR="005031CF" w:rsidRDefault="005031CF"/>
        </w:tc>
        <w:tc>
          <w:tcPr>
            <w:tcW w:w="1237" w:type="dxa"/>
            <w:tcBorders>
              <w:top w:val="nil"/>
              <w:left w:val="nil"/>
              <w:bottom w:val="nil"/>
              <w:right w:val="single" w:sz="4" w:space="0" w:color="000000"/>
            </w:tcBorders>
            <w:shd w:val="clear" w:color="auto" w:fill="auto"/>
            <w:tcMar>
              <w:top w:w="80" w:type="dxa"/>
              <w:left w:w="80" w:type="dxa"/>
              <w:bottom w:w="80" w:type="dxa"/>
              <w:right w:w="80" w:type="dxa"/>
            </w:tcMar>
            <w:vAlign w:val="bottom"/>
          </w:tcPr>
          <w:p w:rsidR="005031CF" w:rsidRDefault="005031CF"/>
        </w:tc>
      </w:tr>
      <w:tr w:rsidR="005031CF">
        <w:trPr>
          <w:trHeight w:val="453"/>
        </w:trPr>
        <w:tc>
          <w:tcPr>
            <w:tcW w:w="1990" w:type="dxa"/>
            <w:tcBorders>
              <w:top w:val="nil"/>
              <w:left w:val="single" w:sz="4" w:space="0" w:color="000000"/>
              <w:bottom w:val="nil"/>
              <w:right w:val="nil"/>
            </w:tcBorders>
            <w:shd w:val="clear" w:color="auto" w:fill="auto"/>
            <w:tcMar>
              <w:top w:w="80" w:type="dxa"/>
              <w:left w:w="80" w:type="dxa"/>
              <w:bottom w:w="80" w:type="dxa"/>
              <w:right w:w="80" w:type="dxa"/>
            </w:tcMar>
            <w:vAlign w:val="bottom"/>
          </w:tcPr>
          <w:p w:rsidR="005031CF" w:rsidRDefault="00042749">
            <w:pPr>
              <w:pStyle w:val="Body"/>
              <w:spacing w:after="0" w:line="240" w:lineRule="auto"/>
            </w:pPr>
            <w:r>
              <w:rPr>
                <w:rFonts w:ascii="Arial" w:hAnsi="Arial"/>
                <w:i/>
                <w:iCs/>
                <w:sz w:val="20"/>
                <w:szCs w:val="20"/>
                <w:lang w:val="en-US"/>
              </w:rPr>
              <w:t>Neath Port Talbot</w:t>
            </w:r>
          </w:p>
        </w:tc>
        <w:tc>
          <w:tcPr>
            <w:tcW w:w="1095" w:type="dxa"/>
            <w:tcBorders>
              <w:top w:val="nil"/>
              <w:left w:val="nil"/>
              <w:bottom w:val="nil"/>
              <w:right w:val="nil"/>
            </w:tcBorders>
            <w:shd w:val="clear" w:color="auto" w:fill="auto"/>
            <w:tcMar>
              <w:top w:w="80" w:type="dxa"/>
              <w:left w:w="80" w:type="dxa"/>
              <w:bottom w:w="80" w:type="dxa"/>
              <w:right w:w="80" w:type="dxa"/>
            </w:tcMar>
            <w:vAlign w:val="bottom"/>
          </w:tcPr>
          <w:p w:rsidR="005031CF" w:rsidRDefault="00042749">
            <w:pPr>
              <w:pStyle w:val="Body"/>
              <w:spacing w:after="0" w:line="240" w:lineRule="auto"/>
              <w:jc w:val="right"/>
            </w:pPr>
            <w:r>
              <w:rPr>
                <w:rFonts w:ascii="Arial" w:hAnsi="Arial"/>
                <w:i/>
                <w:iCs/>
                <w:sz w:val="20"/>
                <w:szCs w:val="20"/>
                <w:lang w:val="en-US"/>
              </w:rPr>
              <w:t>57.7%</w:t>
            </w:r>
          </w:p>
        </w:tc>
        <w:tc>
          <w:tcPr>
            <w:tcW w:w="1095" w:type="dxa"/>
            <w:tcBorders>
              <w:top w:val="nil"/>
              <w:left w:val="nil"/>
              <w:bottom w:val="nil"/>
              <w:right w:val="nil"/>
            </w:tcBorders>
            <w:shd w:val="clear" w:color="auto" w:fill="auto"/>
            <w:tcMar>
              <w:top w:w="80" w:type="dxa"/>
              <w:left w:w="80" w:type="dxa"/>
              <w:bottom w:w="80" w:type="dxa"/>
              <w:right w:w="80" w:type="dxa"/>
            </w:tcMar>
            <w:vAlign w:val="bottom"/>
          </w:tcPr>
          <w:p w:rsidR="005031CF" w:rsidRDefault="00042749">
            <w:pPr>
              <w:pStyle w:val="Body"/>
              <w:spacing w:after="0" w:line="240" w:lineRule="auto"/>
              <w:jc w:val="right"/>
            </w:pPr>
            <w:r>
              <w:rPr>
                <w:rFonts w:ascii="Arial" w:hAnsi="Arial"/>
                <w:i/>
                <w:iCs/>
                <w:sz w:val="20"/>
                <w:szCs w:val="20"/>
                <w:lang w:val="en-US"/>
              </w:rPr>
              <w:t>0.2%</w:t>
            </w:r>
          </w:p>
        </w:tc>
        <w:tc>
          <w:tcPr>
            <w:tcW w:w="1096" w:type="dxa"/>
            <w:tcBorders>
              <w:top w:val="nil"/>
              <w:left w:val="nil"/>
              <w:bottom w:val="nil"/>
              <w:right w:val="nil"/>
            </w:tcBorders>
            <w:shd w:val="clear" w:color="auto" w:fill="auto"/>
            <w:tcMar>
              <w:top w:w="80" w:type="dxa"/>
              <w:left w:w="80" w:type="dxa"/>
              <w:bottom w:w="80" w:type="dxa"/>
              <w:right w:w="80" w:type="dxa"/>
            </w:tcMar>
            <w:vAlign w:val="bottom"/>
          </w:tcPr>
          <w:p w:rsidR="005031CF" w:rsidRDefault="00042749">
            <w:pPr>
              <w:pStyle w:val="Body"/>
              <w:spacing w:after="0" w:line="240" w:lineRule="auto"/>
              <w:jc w:val="right"/>
            </w:pPr>
            <w:r>
              <w:rPr>
                <w:rFonts w:ascii="Arial" w:hAnsi="Arial"/>
                <w:i/>
                <w:iCs/>
                <w:sz w:val="20"/>
                <w:szCs w:val="20"/>
                <w:lang w:val="en-US"/>
              </w:rPr>
              <w:t>0.1%</w:t>
            </w:r>
          </w:p>
        </w:tc>
        <w:tc>
          <w:tcPr>
            <w:tcW w:w="1095" w:type="dxa"/>
            <w:tcBorders>
              <w:top w:val="nil"/>
              <w:left w:val="nil"/>
              <w:bottom w:val="nil"/>
              <w:right w:val="nil"/>
            </w:tcBorders>
            <w:shd w:val="clear" w:color="auto" w:fill="auto"/>
            <w:tcMar>
              <w:top w:w="80" w:type="dxa"/>
              <w:left w:w="80" w:type="dxa"/>
              <w:bottom w:w="80" w:type="dxa"/>
              <w:right w:w="80" w:type="dxa"/>
            </w:tcMar>
            <w:vAlign w:val="bottom"/>
          </w:tcPr>
          <w:p w:rsidR="005031CF" w:rsidRDefault="00042749">
            <w:pPr>
              <w:pStyle w:val="Body"/>
              <w:spacing w:after="0" w:line="240" w:lineRule="auto"/>
              <w:jc w:val="right"/>
            </w:pPr>
            <w:r>
              <w:rPr>
                <w:rFonts w:ascii="Arial" w:hAnsi="Arial"/>
                <w:i/>
                <w:iCs/>
                <w:sz w:val="20"/>
                <w:szCs w:val="20"/>
                <w:lang w:val="en-US"/>
              </w:rPr>
              <w:t>0.0%</w:t>
            </w:r>
          </w:p>
        </w:tc>
        <w:tc>
          <w:tcPr>
            <w:tcW w:w="1095" w:type="dxa"/>
            <w:tcBorders>
              <w:top w:val="nil"/>
              <w:left w:val="nil"/>
              <w:bottom w:val="nil"/>
              <w:right w:val="nil"/>
            </w:tcBorders>
            <w:shd w:val="clear" w:color="auto" w:fill="auto"/>
            <w:tcMar>
              <w:top w:w="80" w:type="dxa"/>
              <w:left w:w="80" w:type="dxa"/>
              <w:bottom w:w="80" w:type="dxa"/>
              <w:right w:w="80" w:type="dxa"/>
            </w:tcMar>
            <w:vAlign w:val="bottom"/>
          </w:tcPr>
          <w:p w:rsidR="005031CF" w:rsidRDefault="00042749">
            <w:pPr>
              <w:pStyle w:val="Body"/>
              <w:spacing w:after="0" w:line="240" w:lineRule="auto"/>
              <w:jc w:val="right"/>
            </w:pPr>
            <w:r>
              <w:rPr>
                <w:rFonts w:ascii="Arial" w:hAnsi="Arial"/>
                <w:i/>
                <w:iCs/>
                <w:sz w:val="20"/>
                <w:szCs w:val="20"/>
                <w:lang w:val="en-US"/>
              </w:rPr>
              <w:t>0.4%</w:t>
            </w:r>
          </w:p>
        </w:tc>
        <w:tc>
          <w:tcPr>
            <w:tcW w:w="1096" w:type="dxa"/>
            <w:tcBorders>
              <w:top w:val="nil"/>
              <w:left w:val="nil"/>
              <w:bottom w:val="nil"/>
              <w:right w:val="nil"/>
            </w:tcBorders>
            <w:shd w:val="clear" w:color="auto" w:fill="auto"/>
            <w:tcMar>
              <w:top w:w="80" w:type="dxa"/>
              <w:left w:w="80" w:type="dxa"/>
              <w:bottom w:w="80" w:type="dxa"/>
              <w:right w:w="80" w:type="dxa"/>
            </w:tcMar>
            <w:vAlign w:val="bottom"/>
          </w:tcPr>
          <w:p w:rsidR="005031CF" w:rsidRDefault="00042749">
            <w:pPr>
              <w:pStyle w:val="Body"/>
              <w:spacing w:after="0" w:line="240" w:lineRule="auto"/>
              <w:jc w:val="right"/>
            </w:pPr>
            <w:r>
              <w:rPr>
                <w:rFonts w:ascii="Arial" w:hAnsi="Arial"/>
                <w:i/>
                <w:iCs/>
                <w:sz w:val="20"/>
                <w:szCs w:val="20"/>
                <w:lang w:val="en-US"/>
              </w:rPr>
              <w:t>0.1%</w:t>
            </w:r>
          </w:p>
        </w:tc>
        <w:tc>
          <w:tcPr>
            <w:tcW w:w="1095" w:type="dxa"/>
            <w:tcBorders>
              <w:top w:val="nil"/>
              <w:left w:val="nil"/>
              <w:bottom w:val="nil"/>
              <w:right w:val="nil"/>
            </w:tcBorders>
            <w:shd w:val="clear" w:color="auto" w:fill="auto"/>
            <w:tcMar>
              <w:top w:w="80" w:type="dxa"/>
              <w:left w:w="80" w:type="dxa"/>
              <w:bottom w:w="80" w:type="dxa"/>
              <w:right w:w="80" w:type="dxa"/>
            </w:tcMar>
            <w:vAlign w:val="bottom"/>
          </w:tcPr>
          <w:p w:rsidR="005031CF" w:rsidRDefault="00042749">
            <w:pPr>
              <w:pStyle w:val="Body"/>
              <w:spacing w:after="0" w:line="240" w:lineRule="auto"/>
              <w:jc w:val="right"/>
            </w:pPr>
            <w:r>
              <w:rPr>
                <w:rFonts w:ascii="Arial" w:hAnsi="Arial"/>
                <w:i/>
                <w:iCs/>
                <w:sz w:val="20"/>
                <w:szCs w:val="20"/>
                <w:lang w:val="en-US"/>
              </w:rPr>
              <w:t>0.4%</w:t>
            </w:r>
          </w:p>
        </w:tc>
        <w:tc>
          <w:tcPr>
            <w:tcW w:w="1095" w:type="dxa"/>
            <w:tcBorders>
              <w:top w:val="nil"/>
              <w:left w:val="nil"/>
              <w:bottom w:val="nil"/>
              <w:right w:val="nil"/>
            </w:tcBorders>
            <w:shd w:val="clear" w:color="auto" w:fill="auto"/>
            <w:tcMar>
              <w:top w:w="80" w:type="dxa"/>
              <w:left w:w="80" w:type="dxa"/>
              <w:bottom w:w="80" w:type="dxa"/>
              <w:right w:w="80" w:type="dxa"/>
            </w:tcMar>
            <w:vAlign w:val="bottom"/>
          </w:tcPr>
          <w:p w:rsidR="005031CF" w:rsidRDefault="00042749">
            <w:pPr>
              <w:pStyle w:val="Body"/>
              <w:spacing w:after="0" w:line="240" w:lineRule="auto"/>
              <w:jc w:val="right"/>
            </w:pPr>
            <w:r>
              <w:rPr>
                <w:rFonts w:ascii="Arial" w:hAnsi="Arial"/>
                <w:i/>
                <w:iCs/>
                <w:sz w:val="20"/>
                <w:szCs w:val="20"/>
                <w:lang w:val="en-US"/>
              </w:rPr>
              <w:t>33.8%</w:t>
            </w:r>
          </w:p>
        </w:tc>
        <w:tc>
          <w:tcPr>
            <w:tcW w:w="1095" w:type="dxa"/>
            <w:tcBorders>
              <w:top w:val="nil"/>
              <w:left w:val="nil"/>
              <w:bottom w:val="nil"/>
              <w:right w:val="nil"/>
            </w:tcBorders>
            <w:shd w:val="clear" w:color="auto" w:fill="auto"/>
            <w:tcMar>
              <w:top w:w="80" w:type="dxa"/>
              <w:left w:w="80" w:type="dxa"/>
              <w:bottom w:w="80" w:type="dxa"/>
              <w:right w:w="80" w:type="dxa"/>
            </w:tcMar>
            <w:vAlign w:val="bottom"/>
          </w:tcPr>
          <w:p w:rsidR="005031CF" w:rsidRDefault="00042749">
            <w:pPr>
              <w:pStyle w:val="Body"/>
              <w:spacing w:after="0" w:line="240" w:lineRule="auto"/>
              <w:jc w:val="right"/>
            </w:pPr>
            <w:r>
              <w:rPr>
                <w:rFonts w:ascii="Arial" w:hAnsi="Arial"/>
                <w:i/>
                <w:iCs/>
                <w:sz w:val="20"/>
                <w:szCs w:val="20"/>
                <w:lang w:val="en-US"/>
              </w:rPr>
              <w:t>7.3%</w:t>
            </w:r>
          </w:p>
        </w:tc>
        <w:tc>
          <w:tcPr>
            <w:tcW w:w="1095" w:type="dxa"/>
            <w:tcBorders>
              <w:top w:val="nil"/>
              <w:left w:val="nil"/>
              <w:bottom w:val="nil"/>
              <w:right w:val="nil"/>
            </w:tcBorders>
            <w:shd w:val="clear" w:color="auto" w:fill="auto"/>
            <w:tcMar>
              <w:top w:w="80" w:type="dxa"/>
              <w:left w:w="80" w:type="dxa"/>
              <w:bottom w:w="80" w:type="dxa"/>
              <w:right w:w="80" w:type="dxa"/>
            </w:tcMar>
            <w:vAlign w:val="bottom"/>
          </w:tcPr>
          <w:p w:rsidR="005031CF" w:rsidRDefault="00042749">
            <w:pPr>
              <w:pStyle w:val="Body"/>
              <w:spacing w:after="0" w:line="240" w:lineRule="auto"/>
              <w:jc w:val="right"/>
            </w:pPr>
            <w:r>
              <w:rPr>
                <w:rFonts w:ascii="Arial" w:hAnsi="Arial"/>
                <w:i/>
                <w:iCs/>
                <w:sz w:val="20"/>
                <w:szCs w:val="20"/>
                <w:lang w:val="en-US"/>
              </w:rPr>
              <w:t>100.0%</w:t>
            </w:r>
          </w:p>
        </w:tc>
        <w:tc>
          <w:tcPr>
            <w:tcW w:w="1237" w:type="dxa"/>
            <w:tcBorders>
              <w:top w:val="nil"/>
              <w:left w:val="nil"/>
              <w:bottom w:val="nil"/>
              <w:right w:val="single" w:sz="4" w:space="0" w:color="000000"/>
            </w:tcBorders>
            <w:shd w:val="clear" w:color="auto" w:fill="auto"/>
            <w:tcMar>
              <w:top w:w="80" w:type="dxa"/>
              <w:left w:w="80" w:type="dxa"/>
              <w:bottom w:w="80" w:type="dxa"/>
              <w:right w:w="80" w:type="dxa"/>
            </w:tcMar>
            <w:vAlign w:val="bottom"/>
          </w:tcPr>
          <w:p w:rsidR="005031CF" w:rsidRDefault="00042749">
            <w:pPr>
              <w:pStyle w:val="Body"/>
              <w:spacing w:after="0" w:line="240" w:lineRule="auto"/>
              <w:jc w:val="right"/>
            </w:pPr>
            <w:r>
              <w:rPr>
                <w:rFonts w:ascii="Arial" w:hAnsi="Arial"/>
                <w:i/>
                <w:iCs/>
                <w:sz w:val="20"/>
                <w:szCs w:val="20"/>
                <w:lang w:val="en-US"/>
              </w:rPr>
              <w:t>139,812</w:t>
            </w:r>
          </w:p>
        </w:tc>
      </w:tr>
      <w:tr w:rsidR="005031CF">
        <w:trPr>
          <w:trHeight w:val="448"/>
        </w:trPr>
        <w:tc>
          <w:tcPr>
            <w:tcW w:w="1990" w:type="dxa"/>
            <w:tcBorders>
              <w:top w:val="nil"/>
              <w:left w:val="single" w:sz="4" w:space="0" w:color="000000"/>
              <w:bottom w:val="single" w:sz="4" w:space="0" w:color="000000"/>
              <w:right w:val="nil"/>
            </w:tcBorders>
            <w:shd w:val="clear" w:color="auto" w:fill="auto"/>
            <w:tcMar>
              <w:top w:w="80" w:type="dxa"/>
              <w:left w:w="80" w:type="dxa"/>
              <w:bottom w:w="80" w:type="dxa"/>
              <w:right w:w="80" w:type="dxa"/>
            </w:tcMar>
            <w:vAlign w:val="bottom"/>
          </w:tcPr>
          <w:p w:rsidR="005031CF" w:rsidRDefault="00042749">
            <w:pPr>
              <w:pStyle w:val="Body"/>
              <w:spacing w:after="0" w:line="240" w:lineRule="auto"/>
            </w:pPr>
            <w:r>
              <w:rPr>
                <w:rFonts w:ascii="Arial" w:hAnsi="Arial"/>
                <w:i/>
                <w:iCs/>
                <w:sz w:val="20"/>
                <w:szCs w:val="20"/>
                <w:lang w:val="en-US"/>
              </w:rPr>
              <w:t>Swansea</w:t>
            </w:r>
          </w:p>
        </w:tc>
        <w:tc>
          <w:tcPr>
            <w:tcW w:w="1095" w:type="dxa"/>
            <w:tcBorders>
              <w:top w:val="nil"/>
              <w:left w:val="nil"/>
              <w:bottom w:val="single" w:sz="4" w:space="0" w:color="000000"/>
              <w:right w:val="nil"/>
            </w:tcBorders>
            <w:shd w:val="clear" w:color="auto" w:fill="auto"/>
            <w:tcMar>
              <w:top w:w="80" w:type="dxa"/>
              <w:left w:w="80" w:type="dxa"/>
              <w:bottom w:w="80" w:type="dxa"/>
              <w:right w:w="80" w:type="dxa"/>
            </w:tcMar>
            <w:vAlign w:val="bottom"/>
          </w:tcPr>
          <w:p w:rsidR="005031CF" w:rsidRDefault="00042749">
            <w:pPr>
              <w:pStyle w:val="Body"/>
              <w:spacing w:after="0" w:line="240" w:lineRule="auto"/>
              <w:jc w:val="right"/>
            </w:pPr>
            <w:r>
              <w:rPr>
                <w:rFonts w:ascii="Arial" w:hAnsi="Arial"/>
                <w:i/>
                <w:iCs/>
                <w:sz w:val="20"/>
                <w:szCs w:val="20"/>
                <w:lang w:val="en-US"/>
              </w:rPr>
              <w:t>55.0%</w:t>
            </w:r>
          </w:p>
        </w:tc>
        <w:tc>
          <w:tcPr>
            <w:tcW w:w="1095" w:type="dxa"/>
            <w:tcBorders>
              <w:top w:val="nil"/>
              <w:left w:val="nil"/>
              <w:bottom w:val="single" w:sz="4" w:space="0" w:color="000000"/>
              <w:right w:val="nil"/>
            </w:tcBorders>
            <w:shd w:val="clear" w:color="auto" w:fill="auto"/>
            <w:tcMar>
              <w:top w:w="80" w:type="dxa"/>
              <w:left w:w="80" w:type="dxa"/>
              <w:bottom w:w="80" w:type="dxa"/>
              <w:right w:w="80" w:type="dxa"/>
            </w:tcMar>
            <w:vAlign w:val="bottom"/>
          </w:tcPr>
          <w:p w:rsidR="005031CF" w:rsidRDefault="00042749">
            <w:pPr>
              <w:pStyle w:val="Body"/>
              <w:spacing w:after="0" w:line="240" w:lineRule="auto"/>
              <w:jc w:val="right"/>
            </w:pPr>
            <w:r>
              <w:rPr>
                <w:rFonts w:ascii="Arial" w:hAnsi="Arial"/>
                <w:i/>
                <w:iCs/>
                <w:sz w:val="20"/>
                <w:szCs w:val="20"/>
                <w:lang w:val="en-US"/>
              </w:rPr>
              <w:t>0.4%</w:t>
            </w:r>
          </w:p>
        </w:tc>
        <w:tc>
          <w:tcPr>
            <w:tcW w:w="1096" w:type="dxa"/>
            <w:tcBorders>
              <w:top w:val="nil"/>
              <w:left w:val="nil"/>
              <w:bottom w:val="single" w:sz="4" w:space="0" w:color="000000"/>
              <w:right w:val="nil"/>
            </w:tcBorders>
            <w:shd w:val="clear" w:color="auto" w:fill="auto"/>
            <w:tcMar>
              <w:top w:w="80" w:type="dxa"/>
              <w:left w:w="80" w:type="dxa"/>
              <w:bottom w:w="80" w:type="dxa"/>
              <w:right w:w="80" w:type="dxa"/>
            </w:tcMar>
            <w:vAlign w:val="bottom"/>
          </w:tcPr>
          <w:p w:rsidR="005031CF" w:rsidRDefault="00042749">
            <w:pPr>
              <w:pStyle w:val="Body"/>
              <w:spacing w:after="0" w:line="240" w:lineRule="auto"/>
              <w:jc w:val="right"/>
            </w:pPr>
            <w:r>
              <w:rPr>
                <w:rFonts w:ascii="Arial" w:hAnsi="Arial"/>
                <w:i/>
                <w:iCs/>
                <w:sz w:val="20"/>
                <w:szCs w:val="20"/>
                <w:lang w:val="en-US"/>
              </w:rPr>
              <w:t>0.3%</w:t>
            </w:r>
          </w:p>
        </w:tc>
        <w:tc>
          <w:tcPr>
            <w:tcW w:w="1095" w:type="dxa"/>
            <w:tcBorders>
              <w:top w:val="nil"/>
              <w:left w:val="nil"/>
              <w:bottom w:val="single" w:sz="4" w:space="0" w:color="000000"/>
              <w:right w:val="nil"/>
            </w:tcBorders>
            <w:shd w:val="clear" w:color="auto" w:fill="auto"/>
            <w:tcMar>
              <w:top w:w="80" w:type="dxa"/>
              <w:left w:w="80" w:type="dxa"/>
              <w:bottom w:w="80" w:type="dxa"/>
              <w:right w:w="80" w:type="dxa"/>
            </w:tcMar>
            <w:vAlign w:val="bottom"/>
          </w:tcPr>
          <w:p w:rsidR="005031CF" w:rsidRDefault="00042749">
            <w:pPr>
              <w:pStyle w:val="Body"/>
              <w:spacing w:after="0" w:line="240" w:lineRule="auto"/>
              <w:jc w:val="right"/>
            </w:pPr>
            <w:r>
              <w:rPr>
                <w:rFonts w:ascii="Arial" w:hAnsi="Arial"/>
                <w:i/>
                <w:iCs/>
                <w:sz w:val="20"/>
                <w:szCs w:val="20"/>
                <w:lang w:val="en-US"/>
              </w:rPr>
              <w:t>0.1%</w:t>
            </w:r>
          </w:p>
        </w:tc>
        <w:tc>
          <w:tcPr>
            <w:tcW w:w="1095" w:type="dxa"/>
            <w:tcBorders>
              <w:top w:val="nil"/>
              <w:left w:val="nil"/>
              <w:bottom w:val="single" w:sz="4" w:space="0" w:color="000000"/>
              <w:right w:val="nil"/>
            </w:tcBorders>
            <w:shd w:val="clear" w:color="auto" w:fill="auto"/>
            <w:tcMar>
              <w:top w:w="80" w:type="dxa"/>
              <w:left w:w="80" w:type="dxa"/>
              <w:bottom w:w="80" w:type="dxa"/>
              <w:right w:w="80" w:type="dxa"/>
            </w:tcMar>
            <w:vAlign w:val="bottom"/>
          </w:tcPr>
          <w:p w:rsidR="005031CF" w:rsidRDefault="00042749">
            <w:pPr>
              <w:pStyle w:val="Body"/>
              <w:spacing w:after="0" w:line="240" w:lineRule="auto"/>
              <w:jc w:val="right"/>
            </w:pPr>
            <w:r>
              <w:rPr>
                <w:rFonts w:ascii="Arial" w:hAnsi="Arial"/>
                <w:i/>
                <w:iCs/>
                <w:sz w:val="20"/>
                <w:szCs w:val="20"/>
                <w:lang w:val="en-US"/>
              </w:rPr>
              <w:t>2.3%</w:t>
            </w:r>
          </w:p>
        </w:tc>
        <w:tc>
          <w:tcPr>
            <w:tcW w:w="1096" w:type="dxa"/>
            <w:tcBorders>
              <w:top w:val="nil"/>
              <w:left w:val="nil"/>
              <w:bottom w:val="single" w:sz="4" w:space="0" w:color="000000"/>
              <w:right w:val="nil"/>
            </w:tcBorders>
            <w:shd w:val="clear" w:color="auto" w:fill="auto"/>
            <w:tcMar>
              <w:top w:w="80" w:type="dxa"/>
              <w:left w:w="80" w:type="dxa"/>
              <w:bottom w:w="80" w:type="dxa"/>
              <w:right w:w="80" w:type="dxa"/>
            </w:tcMar>
            <w:vAlign w:val="bottom"/>
          </w:tcPr>
          <w:p w:rsidR="005031CF" w:rsidRDefault="00042749">
            <w:pPr>
              <w:pStyle w:val="Body"/>
              <w:spacing w:after="0" w:line="240" w:lineRule="auto"/>
              <w:jc w:val="right"/>
            </w:pPr>
            <w:r>
              <w:rPr>
                <w:rFonts w:ascii="Arial" w:hAnsi="Arial"/>
                <w:i/>
                <w:iCs/>
                <w:sz w:val="20"/>
                <w:szCs w:val="20"/>
                <w:lang w:val="en-US"/>
              </w:rPr>
              <w:t>0.1%</w:t>
            </w:r>
          </w:p>
        </w:tc>
        <w:tc>
          <w:tcPr>
            <w:tcW w:w="1095" w:type="dxa"/>
            <w:tcBorders>
              <w:top w:val="nil"/>
              <w:left w:val="nil"/>
              <w:bottom w:val="single" w:sz="4" w:space="0" w:color="000000"/>
              <w:right w:val="nil"/>
            </w:tcBorders>
            <w:shd w:val="clear" w:color="auto" w:fill="auto"/>
            <w:tcMar>
              <w:top w:w="80" w:type="dxa"/>
              <w:left w:w="80" w:type="dxa"/>
              <w:bottom w:w="80" w:type="dxa"/>
              <w:right w:w="80" w:type="dxa"/>
            </w:tcMar>
            <w:vAlign w:val="bottom"/>
          </w:tcPr>
          <w:p w:rsidR="005031CF" w:rsidRDefault="00042749">
            <w:pPr>
              <w:pStyle w:val="Body"/>
              <w:spacing w:after="0" w:line="240" w:lineRule="auto"/>
              <w:jc w:val="right"/>
            </w:pPr>
            <w:r>
              <w:rPr>
                <w:rFonts w:ascii="Arial" w:hAnsi="Arial"/>
                <w:i/>
                <w:iCs/>
                <w:sz w:val="20"/>
                <w:szCs w:val="20"/>
                <w:lang w:val="en-US"/>
              </w:rPr>
              <w:t>0.4%</w:t>
            </w:r>
          </w:p>
        </w:tc>
        <w:tc>
          <w:tcPr>
            <w:tcW w:w="1095" w:type="dxa"/>
            <w:tcBorders>
              <w:top w:val="nil"/>
              <w:left w:val="nil"/>
              <w:bottom w:val="single" w:sz="4" w:space="0" w:color="000000"/>
              <w:right w:val="nil"/>
            </w:tcBorders>
            <w:shd w:val="clear" w:color="auto" w:fill="auto"/>
            <w:tcMar>
              <w:top w:w="80" w:type="dxa"/>
              <w:left w:w="80" w:type="dxa"/>
              <w:bottom w:w="80" w:type="dxa"/>
              <w:right w:w="80" w:type="dxa"/>
            </w:tcMar>
            <w:vAlign w:val="bottom"/>
          </w:tcPr>
          <w:p w:rsidR="005031CF" w:rsidRDefault="00042749">
            <w:pPr>
              <w:pStyle w:val="Body"/>
              <w:spacing w:after="0" w:line="240" w:lineRule="auto"/>
              <w:jc w:val="right"/>
            </w:pPr>
            <w:r>
              <w:rPr>
                <w:rFonts w:ascii="Arial" w:hAnsi="Arial"/>
                <w:i/>
                <w:iCs/>
                <w:sz w:val="20"/>
                <w:szCs w:val="20"/>
                <w:lang w:val="en-US"/>
              </w:rPr>
              <w:t>34.0%</w:t>
            </w:r>
          </w:p>
        </w:tc>
        <w:tc>
          <w:tcPr>
            <w:tcW w:w="1095" w:type="dxa"/>
            <w:tcBorders>
              <w:top w:val="nil"/>
              <w:left w:val="nil"/>
              <w:bottom w:val="single" w:sz="4" w:space="0" w:color="000000"/>
              <w:right w:val="nil"/>
            </w:tcBorders>
            <w:shd w:val="clear" w:color="auto" w:fill="auto"/>
            <w:tcMar>
              <w:top w:w="80" w:type="dxa"/>
              <w:left w:w="80" w:type="dxa"/>
              <w:bottom w:w="80" w:type="dxa"/>
              <w:right w:w="80" w:type="dxa"/>
            </w:tcMar>
            <w:vAlign w:val="bottom"/>
          </w:tcPr>
          <w:p w:rsidR="005031CF" w:rsidRDefault="00042749">
            <w:pPr>
              <w:pStyle w:val="Body"/>
              <w:spacing w:after="0" w:line="240" w:lineRule="auto"/>
              <w:jc w:val="right"/>
            </w:pPr>
            <w:r>
              <w:rPr>
                <w:rFonts w:ascii="Arial" w:hAnsi="Arial"/>
                <w:i/>
                <w:iCs/>
                <w:sz w:val="20"/>
                <w:szCs w:val="20"/>
                <w:lang w:val="en-US"/>
              </w:rPr>
              <w:t>7.5%</w:t>
            </w:r>
          </w:p>
        </w:tc>
        <w:tc>
          <w:tcPr>
            <w:tcW w:w="1095" w:type="dxa"/>
            <w:tcBorders>
              <w:top w:val="nil"/>
              <w:left w:val="nil"/>
              <w:bottom w:val="single" w:sz="4" w:space="0" w:color="000000"/>
              <w:right w:val="nil"/>
            </w:tcBorders>
            <w:shd w:val="clear" w:color="auto" w:fill="auto"/>
            <w:tcMar>
              <w:top w:w="80" w:type="dxa"/>
              <w:left w:w="80" w:type="dxa"/>
              <w:bottom w:w="80" w:type="dxa"/>
              <w:right w:w="80" w:type="dxa"/>
            </w:tcMar>
            <w:vAlign w:val="bottom"/>
          </w:tcPr>
          <w:p w:rsidR="005031CF" w:rsidRDefault="00042749">
            <w:pPr>
              <w:pStyle w:val="Body"/>
              <w:spacing w:after="0" w:line="240" w:lineRule="auto"/>
              <w:jc w:val="right"/>
            </w:pPr>
            <w:r>
              <w:rPr>
                <w:rFonts w:ascii="Arial" w:hAnsi="Arial"/>
                <w:i/>
                <w:iCs/>
                <w:sz w:val="20"/>
                <w:szCs w:val="20"/>
                <w:lang w:val="en-US"/>
              </w:rPr>
              <w:t>100.0%</w:t>
            </w:r>
          </w:p>
        </w:tc>
        <w:tc>
          <w:tcPr>
            <w:tcW w:w="1237" w:type="dxa"/>
            <w:tcBorders>
              <w:top w:val="nil"/>
              <w:left w:val="nil"/>
              <w:bottom w:val="single" w:sz="4" w:space="0" w:color="000000"/>
              <w:right w:val="single" w:sz="4" w:space="0" w:color="000000"/>
            </w:tcBorders>
            <w:shd w:val="clear" w:color="auto" w:fill="auto"/>
            <w:tcMar>
              <w:top w:w="80" w:type="dxa"/>
              <w:left w:w="80" w:type="dxa"/>
              <w:bottom w:w="80" w:type="dxa"/>
              <w:right w:w="80" w:type="dxa"/>
            </w:tcMar>
            <w:vAlign w:val="bottom"/>
          </w:tcPr>
          <w:p w:rsidR="005031CF" w:rsidRDefault="00042749">
            <w:pPr>
              <w:pStyle w:val="Body"/>
              <w:spacing w:after="0" w:line="240" w:lineRule="auto"/>
              <w:jc w:val="right"/>
            </w:pPr>
            <w:r>
              <w:rPr>
                <w:rFonts w:ascii="Arial" w:hAnsi="Arial"/>
                <w:i/>
                <w:iCs/>
                <w:sz w:val="20"/>
                <w:szCs w:val="20"/>
                <w:lang w:val="en-US"/>
              </w:rPr>
              <w:t>239,023</w:t>
            </w:r>
          </w:p>
        </w:tc>
      </w:tr>
      <w:tr w:rsidR="005031CF">
        <w:trPr>
          <w:trHeight w:val="453"/>
        </w:trPr>
        <w:tc>
          <w:tcPr>
            <w:tcW w:w="1990" w:type="dxa"/>
            <w:tcBorders>
              <w:top w:val="single" w:sz="4" w:space="0" w:color="000000"/>
              <w:left w:val="single" w:sz="4" w:space="0" w:color="000000"/>
              <w:bottom w:val="single" w:sz="12" w:space="0" w:color="000000"/>
              <w:right w:val="nil"/>
            </w:tcBorders>
            <w:shd w:val="clear" w:color="auto" w:fill="auto"/>
            <w:tcMar>
              <w:top w:w="80" w:type="dxa"/>
              <w:left w:w="80" w:type="dxa"/>
              <w:bottom w:w="80" w:type="dxa"/>
              <w:right w:w="80" w:type="dxa"/>
            </w:tcMar>
            <w:vAlign w:val="bottom"/>
          </w:tcPr>
          <w:p w:rsidR="005031CF" w:rsidRDefault="00042749">
            <w:pPr>
              <w:pStyle w:val="Body"/>
              <w:spacing w:after="0" w:line="240" w:lineRule="auto"/>
            </w:pPr>
            <w:r>
              <w:rPr>
                <w:rFonts w:ascii="Arial" w:hAnsi="Arial"/>
                <w:b/>
                <w:bCs/>
                <w:sz w:val="20"/>
                <w:szCs w:val="20"/>
                <w:lang w:val="en-US"/>
              </w:rPr>
              <w:t>Wales</w:t>
            </w:r>
          </w:p>
        </w:tc>
        <w:tc>
          <w:tcPr>
            <w:tcW w:w="1095" w:type="dxa"/>
            <w:tcBorders>
              <w:top w:val="single" w:sz="4" w:space="0" w:color="000000"/>
              <w:left w:val="nil"/>
              <w:bottom w:val="single" w:sz="12" w:space="0" w:color="000000"/>
              <w:right w:val="nil"/>
            </w:tcBorders>
            <w:shd w:val="clear" w:color="auto" w:fill="auto"/>
            <w:tcMar>
              <w:top w:w="80" w:type="dxa"/>
              <w:left w:w="80" w:type="dxa"/>
              <w:bottom w:w="80" w:type="dxa"/>
              <w:right w:w="80" w:type="dxa"/>
            </w:tcMar>
            <w:vAlign w:val="bottom"/>
          </w:tcPr>
          <w:p w:rsidR="005031CF" w:rsidRDefault="00042749">
            <w:pPr>
              <w:pStyle w:val="Body"/>
              <w:spacing w:after="0" w:line="240" w:lineRule="auto"/>
              <w:jc w:val="right"/>
            </w:pPr>
            <w:r>
              <w:rPr>
                <w:rFonts w:ascii="Arial" w:hAnsi="Arial"/>
                <w:b/>
                <w:bCs/>
                <w:sz w:val="20"/>
                <w:szCs w:val="20"/>
                <w:lang w:val="en-US"/>
              </w:rPr>
              <w:t>57.6%</w:t>
            </w:r>
          </w:p>
        </w:tc>
        <w:tc>
          <w:tcPr>
            <w:tcW w:w="1095" w:type="dxa"/>
            <w:tcBorders>
              <w:top w:val="single" w:sz="4" w:space="0" w:color="000000"/>
              <w:left w:val="nil"/>
              <w:bottom w:val="single" w:sz="12" w:space="0" w:color="000000"/>
              <w:right w:val="nil"/>
            </w:tcBorders>
            <w:shd w:val="clear" w:color="auto" w:fill="auto"/>
            <w:tcMar>
              <w:top w:w="80" w:type="dxa"/>
              <w:left w:w="80" w:type="dxa"/>
              <w:bottom w:w="80" w:type="dxa"/>
              <w:right w:w="80" w:type="dxa"/>
            </w:tcMar>
            <w:vAlign w:val="bottom"/>
          </w:tcPr>
          <w:p w:rsidR="005031CF" w:rsidRDefault="00042749">
            <w:pPr>
              <w:pStyle w:val="Body"/>
              <w:spacing w:after="0" w:line="240" w:lineRule="auto"/>
              <w:jc w:val="right"/>
            </w:pPr>
            <w:r>
              <w:rPr>
                <w:rFonts w:ascii="Arial" w:hAnsi="Arial"/>
                <w:b/>
                <w:bCs/>
                <w:sz w:val="20"/>
                <w:szCs w:val="20"/>
                <w:lang w:val="en-US"/>
              </w:rPr>
              <w:t>0.3%</w:t>
            </w:r>
          </w:p>
        </w:tc>
        <w:tc>
          <w:tcPr>
            <w:tcW w:w="1096" w:type="dxa"/>
            <w:tcBorders>
              <w:top w:val="single" w:sz="4" w:space="0" w:color="000000"/>
              <w:left w:val="nil"/>
              <w:bottom w:val="single" w:sz="12" w:space="0" w:color="000000"/>
              <w:right w:val="nil"/>
            </w:tcBorders>
            <w:shd w:val="clear" w:color="auto" w:fill="auto"/>
            <w:tcMar>
              <w:top w:w="80" w:type="dxa"/>
              <w:left w:w="80" w:type="dxa"/>
              <w:bottom w:w="80" w:type="dxa"/>
              <w:right w:w="80" w:type="dxa"/>
            </w:tcMar>
            <w:vAlign w:val="bottom"/>
          </w:tcPr>
          <w:p w:rsidR="005031CF" w:rsidRDefault="00042749">
            <w:pPr>
              <w:pStyle w:val="Body"/>
              <w:spacing w:after="0" w:line="240" w:lineRule="auto"/>
              <w:jc w:val="right"/>
            </w:pPr>
            <w:r>
              <w:rPr>
                <w:rFonts w:ascii="Arial" w:hAnsi="Arial"/>
                <w:b/>
                <w:bCs/>
                <w:sz w:val="20"/>
                <w:szCs w:val="20"/>
                <w:lang w:val="en-US"/>
              </w:rPr>
              <w:t>0.3%</w:t>
            </w:r>
          </w:p>
        </w:tc>
        <w:tc>
          <w:tcPr>
            <w:tcW w:w="1095" w:type="dxa"/>
            <w:tcBorders>
              <w:top w:val="single" w:sz="4" w:space="0" w:color="000000"/>
              <w:left w:val="nil"/>
              <w:bottom w:val="single" w:sz="12" w:space="0" w:color="000000"/>
              <w:right w:val="nil"/>
            </w:tcBorders>
            <w:shd w:val="clear" w:color="auto" w:fill="auto"/>
            <w:tcMar>
              <w:top w:w="80" w:type="dxa"/>
              <w:left w:w="80" w:type="dxa"/>
              <w:bottom w:w="80" w:type="dxa"/>
              <w:right w:w="80" w:type="dxa"/>
            </w:tcMar>
            <w:vAlign w:val="bottom"/>
          </w:tcPr>
          <w:p w:rsidR="005031CF" w:rsidRDefault="00042749">
            <w:pPr>
              <w:pStyle w:val="Body"/>
              <w:spacing w:after="0" w:line="240" w:lineRule="auto"/>
              <w:jc w:val="right"/>
            </w:pPr>
            <w:r>
              <w:rPr>
                <w:rFonts w:ascii="Arial" w:hAnsi="Arial"/>
                <w:b/>
                <w:bCs/>
                <w:sz w:val="20"/>
                <w:szCs w:val="20"/>
                <w:lang w:val="en-US"/>
              </w:rPr>
              <w:t>0.1%</w:t>
            </w:r>
          </w:p>
        </w:tc>
        <w:tc>
          <w:tcPr>
            <w:tcW w:w="1095" w:type="dxa"/>
            <w:tcBorders>
              <w:top w:val="single" w:sz="4" w:space="0" w:color="000000"/>
              <w:left w:val="nil"/>
              <w:bottom w:val="single" w:sz="12" w:space="0" w:color="000000"/>
              <w:right w:val="nil"/>
            </w:tcBorders>
            <w:shd w:val="clear" w:color="auto" w:fill="auto"/>
            <w:tcMar>
              <w:top w:w="80" w:type="dxa"/>
              <w:left w:w="80" w:type="dxa"/>
              <w:bottom w:w="80" w:type="dxa"/>
              <w:right w:w="80" w:type="dxa"/>
            </w:tcMar>
            <w:vAlign w:val="bottom"/>
          </w:tcPr>
          <w:p w:rsidR="005031CF" w:rsidRDefault="00042749">
            <w:pPr>
              <w:pStyle w:val="Body"/>
              <w:spacing w:after="0" w:line="240" w:lineRule="auto"/>
              <w:jc w:val="right"/>
            </w:pPr>
            <w:r>
              <w:rPr>
                <w:rFonts w:ascii="Arial" w:hAnsi="Arial"/>
                <w:b/>
                <w:bCs/>
                <w:sz w:val="20"/>
                <w:szCs w:val="20"/>
                <w:lang w:val="en-US"/>
              </w:rPr>
              <w:t>1.5%</w:t>
            </w:r>
          </w:p>
        </w:tc>
        <w:tc>
          <w:tcPr>
            <w:tcW w:w="1096" w:type="dxa"/>
            <w:tcBorders>
              <w:top w:val="single" w:sz="4" w:space="0" w:color="000000"/>
              <w:left w:val="nil"/>
              <w:bottom w:val="single" w:sz="12" w:space="0" w:color="000000"/>
              <w:right w:val="nil"/>
            </w:tcBorders>
            <w:shd w:val="clear" w:color="auto" w:fill="auto"/>
            <w:tcMar>
              <w:top w:w="80" w:type="dxa"/>
              <w:left w:w="80" w:type="dxa"/>
              <w:bottom w:w="80" w:type="dxa"/>
              <w:right w:w="80" w:type="dxa"/>
            </w:tcMar>
            <w:vAlign w:val="bottom"/>
          </w:tcPr>
          <w:p w:rsidR="005031CF" w:rsidRDefault="00042749">
            <w:pPr>
              <w:pStyle w:val="Body"/>
              <w:spacing w:after="0" w:line="240" w:lineRule="auto"/>
              <w:jc w:val="right"/>
            </w:pPr>
            <w:r>
              <w:rPr>
                <w:rFonts w:ascii="Arial" w:hAnsi="Arial"/>
                <w:b/>
                <w:bCs/>
                <w:sz w:val="20"/>
                <w:szCs w:val="20"/>
                <w:lang w:val="en-US"/>
              </w:rPr>
              <w:t>0.1%</w:t>
            </w:r>
          </w:p>
        </w:tc>
        <w:tc>
          <w:tcPr>
            <w:tcW w:w="1095" w:type="dxa"/>
            <w:tcBorders>
              <w:top w:val="single" w:sz="4" w:space="0" w:color="000000"/>
              <w:left w:val="nil"/>
              <w:bottom w:val="single" w:sz="12" w:space="0" w:color="000000"/>
              <w:right w:val="nil"/>
            </w:tcBorders>
            <w:shd w:val="clear" w:color="auto" w:fill="auto"/>
            <w:tcMar>
              <w:top w:w="80" w:type="dxa"/>
              <w:left w:w="80" w:type="dxa"/>
              <w:bottom w:w="80" w:type="dxa"/>
              <w:right w:w="80" w:type="dxa"/>
            </w:tcMar>
            <w:vAlign w:val="bottom"/>
          </w:tcPr>
          <w:p w:rsidR="005031CF" w:rsidRDefault="00042749">
            <w:pPr>
              <w:pStyle w:val="Body"/>
              <w:spacing w:after="0" w:line="240" w:lineRule="auto"/>
              <w:jc w:val="right"/>
            </w:pPr>
            <w:r>
              <w:rPr>
                <w:rFonts w:ascii="Arial" w:hAnsi="Arial"/>
                <w:b/>
                <w:bCs/>
                <w:sz w:val="20"/>
                <w:szCs w:val="20"/>
                <w:lang w:val="en-US"/>
              </w:rPr>
              <w:t>0.4%</w:t>
            </w:r>
          </w:p>
        </w:tc>
        <w:tc>
          <w:tcPr>
            <w:tcW w:w="1095" w:type="dxa"/>
            <w:tcBorders>
              <w:top w:val="single" w:sz="4" w:space="0" w:color="000000"/>
              <w:left w:val="nil"/>
              <w:bottom w:val="single" w:sz="12" w:space="0" w:color="000000"/>
              <w:right w:val="nil"/>
            </w:tcBorders>
            <w:shd w:val="clear" w:color="auto" w:fill="auto"/>
            <w:tcMar>
              <w:top w:w="80" w:type="dxa"/>
              <w:left w:w="80" w:type="dxa"/>
              <w:bottom w:w="80" w:type="dxa"/>
              <w:right w:w="80" w:type="dxa"/>
            </w:tcMar>
            <w:vAlign w:val="bottom"/>
          </w:tcPr>
          <w:p w:rsidR="005031CF" w:rsidRDefault="00042749">
            <w:pPr>
              <w:pStyle w:val="Body"/>
              <w:spacing w:after="0" w:line="240" w:lineRule="auto"/>
              <w:jc w:val="right"/>
            </w:pPr>
            <w:r>
              <w:rPr>
                <w:rFonts w:ascii="Arial" w:hAnsi="Arial"/>
                <w:b/>
                <w:bCs/>
                <w:sz w:val="20"/>
                <w:szCs w:val="20"/>
                <w:lang w:val="en-US"/>
              </w:rPr>
              <w:t>32.1%</w:t>
            </w:r>
          </w:p>
        </w:tc>
        <w:tc>
          <w:tcPr>
            <w:tcW w:w="1095" w:type="dxa"/>
            <w:tcBorders>
              <w:top w:val="single" w:sz="4" w:space="0" w:color="000000"/>
              <w:left w:val="nil"/>
              <w:bottom w:val="single" w:sz="12" w:space="0" w:color="000000"/>
              <w:right w:val="nil"/>
            </w:tcBorders>
            <w:shd w:val="clear" w:color="auto" w:fill="auto"/>
            <w:tcMar>
              <w:top w:w="80" w:type="dxa"/>
              <w:left w:w="80" w:type="dxa"/>
              <w:bottom w:w="80" w:type="dxa"/>
              <w:right w:w="80" w:type="dxa"/>
            </w:tcMar>
            <w:vAlign w:val="bottom"/>
          </w:tcPr>
          <w:p w:rsidR="005031CF" w:rsidRDefault="00042749">
            <w:pPr>
              <w:pStyle w:val="Body"/>
              <w:spacing w:after="0" w:line="240" w:lineRule="auto"/>
              <w:jc w:val="right"/>
            </w:pPr>
            <w:r>
              <w:rPr>
                <w:rFonts w:ascii="Arial" w:hAnsi="Arial"/>
                <w:b/>
                <w:bCs/>
                <w:sz w:val="20"/>
                <w:szCs w:val="20"/>
                <w:lang w:val="en-US"/>
              </w:rPr>
              <w:t>7.6%</w:t>
            </w:r>
          </w:p>
        </w:tc>
        <w:tc>
          <w:tcPr>
            <w:tcW w:w="1095" w:type="dxa"/>
            <w:tcBorders>
              <w:top w:val="single" w:sz="4" w:space="0" w:color="000000"/>
              <w:left w:val="nil"/>
              <w:bottom w:val="single" w:sz="12" w:space="0" w:color="000000"/>
              <w:right w:val="nil"/>
            </w:tcBorders>
            <w:shd w:val="clear" w:color="auto" w:fill="auto"/>
            <w:tcMar>
              <w:top w:w="80" w:type="dxa"/>
              <w:left w:w="80" w:type="dxa"/>
              <w:bottom w:w="80" w:type="dxa"/>
              <w:right w:w="80" w:type="dxa"/>
            </w:tcMar>
            <w:vAlign w:val="bottom"/>
          </w:tcPr>
          <w:p w:rsidR="005031CF" w:rsidRDefault="00042749">
            <w:pPr>
              <w:pStyle w:val="Body"/>
              <w:spacing w:after="0" w:line="240" w:lineRule="auto"/>
              <w:jc w:val="right"/>
            </w:pPr>
            <w:r>
              <w:rPr>
                <w:rFonts w:ascii="Arial" w:hAnsi="Arial"/>
                <w:b/>
                <w:bCs/>
                <w:sz w:val="20"/>
                <w:szCs w:val="20"/>
                <w:lang w:val="en-US"/>
              </w:rPr>
              <w:t>100.0%</w:t>
            </w:r>
          </w:p>
        </w:tc>
        <w:tc>
          <w:tcPr>
            <w:tcW w:w="1237" w:type="dxa"/>
            <w:tcBorders>
              <w:top w:val="single" w:sz="4" w:space="0" w:color="000000"/>
              <w:left w:val="nil"/>
              <w:bottom w:val="single" w:sz="12" w:space="0" w:color="000000"/>
              <w:right w:val="single" w:sz="4" w:space="0" w:color="000000"/>
            </w:tcBorders>
            <w:shd w:val="clear" w:color="auto" w:fill="auto"/>
            <w:tcMar>
              <w:top w:w="80" w:type="dxa"/>
              <w:left w:w="80" w:type="dxa"/>
              <w:bottom w:w="80" w:type="dxa"/>
              <w:right w:w="80" w:type="dxa"/>
            </w:tcMar>
            <w:vAlign w:val="bottom"/>
          </w:tcPr>
          <w:p w:rsidR="005031CF" w:rsidRDefault="00042749">
            <w:pPr>
              <w:pStyle w:val="Body"/>
              <w:spacing w:after="0" w:line="240" w:lineRule="auto"/>
              <w:jc w:val="right"/>
            </w:pPr>
            <w:r>
              <w:rPr>
                <w:rFonts w:ascii="Arial" w:hAnsi="Arial"/>
                <w:b/>
                <w:bCs/>
                <w:sz w:val="20"/>
                <w:szCs w:val="20"/>
                <w:lang w:val="en-US"/>
              </w:rPr>
              <w:t>3,063,456</w:t>
            </w:r>
          </w:p>
        </w:tc>
      </w:tr>
    </w:tbl>
    <w:p w:rsidR="005031CF" w:rsidRDefault="005031CF">
      <w:pPr>
        <w:pStyle w:val="Caption"/>
        <w:keepNext/>
        <w:widowControl w:val="0"/>
        <w:spacing w:after="240"/>
        <w:ind w:left="103" w:hanging="103"/>
      </w:pPr>
    </w:p>
    <w:p w:rsidR="005031CF" w:rsidRDefault="00042749">
      <w:pPr>
        <w:pStyle w:val="Body"/>
        <w:spacing w:after="0" w:line="240" w:lineRule="auto"/>
      </w:pPr>
      <w:r>
        <w:rPr>
          <w:rFonts w:ascii="Arial" w:hAnsi="Arial"/>
          <w:sz w:val="24"/>
          <w:szCs w:val="24"/>
          <w:lang w:val="en-US"/>
        </w:rPr>
        <w:t>(Source: Table KS209EW Census 2011, ONS)</w:t>
      </w:r>
    </w:p>
    <w:p w:rsidR="005031CF" w:rsidRDefault="005031CF">
      <w:pPr>
        <w:pStyle w:val="Heading2"/>
      </w:pPr>
    </w:p>
    <w:p w:rsidR="005031CF" w:rsidRDefault="00042749">
      <w:pPr>
        <w:pStyle w:val="Heading2"/>
      </w:pPr>
      <w:r>
        <w:t>Sexual Orientation</w:t>
      </w:r>
    </w:p>
    <w:p w:rsidR="005031CF" w:rsidRDefault="00042749">
      <w:pPr>
        <w:pStyle w:val="Body"/>
        <w:spacing w:after="0" w:line="240" w:lineRule="auto"/>
      </w:pPr>
      <w:r>
        <w:rPr>
          <w:rFonts w:ascii="Arial" w:hAnsi="Arial"/>
          <w:sz w:val="28"/>
          <w:szCs w:val="28"/>
          <w:lang w:val="en-US"/>
        </w:rPr>
        <w:t xml:space="preserve">Sexual orientation is not asked for by the Census so in order to estimate the Lesbian, Gay and Bisexual (LGB) population in Wales we need to use data from the ONS’s Integrated Household Survey (see </w:t>
      </w:r>
      <w:hyperlink w:anchor="Ref519245318" w:history="1">
        <w:r>
          <w:rPr>
            <w:rStyle w:val="Hyperlink0"/>
            <w:lang w:val="fr-FR"/>
          </w:rPr>
          <w:t>Table 10</w:t>
        </w:r>
      </w:hyperlink>
      <w:r>
        <w:rPr>
          <w:rStyle w:val="None"/>
          <w:rFonts w:ascii="Arial" w:hAnsi="Arial"/>
          <w:sz w:val="28"/>
          <w:szCs w:val="28"/>
          <w:lang w:val="en-US"/>
        </w:rPr>
        <w:t>). The Integrated Household Survey does not report findings by local authority, but by regional groupings, and some cells are not reported as they could either identify individuals or they are not sufficiently robust for publication.</w:t>
      </w:r>
    </w:p>
    <w:p w:rsidR="005031CF" w:rsidRDefault="005031CF">
      <w:pPr>
        <w:pStyle w:val="Body"/>
        <w:spacing w:after="0" w:line="240" w:lineRule="auto"/>
      </w:pPr>
    </w:p>
    <w:p w:rsidR="005031CF" w:rsidRDefault="00042749">
      <w:pPr>
        <w:pStyle w:val="Body"/>
        <w:spacing w:after="0" w:line="240" w:lineRule="auto"/>
      </w:pPr>
      <w:r>
        <w:rPr>
          <w:rStyle w:val="None"/>
          <w:rFonts w:ascii="Arial" w:hAnsi="Arial"/>
          <w:sz w:val="28"/>
          <w:szCs w:val="28"/>
          <w:lang w:val="en-US"/>
        </w:rPr>
        <w:t xml:space="preserve">From the Integrated Household Survey data, we can see that the majority of the population in Wales and the regions making up the SBU HB area identify as heterosexual (c.a. 95%).  The percentage of the population identifying as LGB is approximately 1.5% in the SBUHB area, this is higher than the value for Wales as a whole (1.0%) due to the higher LGB populations in Swansea (2.0%).  </w:t>
      </w:r>
      <w:r>
        <w:rPr>
          <w:rStyle w:val="Hyperlink0"/>
          <w:lang w:val="en-US"/>
        </w:rPr>
        <w:t>LGBT people are more likely to experience mental disorder, have issues with substance misuse, deliberate self-harm and commit suicide than the general population due to long term issues of discrimination and living in an unsympathetic society.</w:t>
      </w:r>
    </w:p>
    <w:p w:rsidR="005031CF" w:rsidRDefault="005031CF">
      <w:pPr>
        <w:pStyle w:val="Body"/>
        <w:spacing w:after="0" w:line="240" w:lineRule="auto"/>
      </w:pPr>
    </w:p>
    <w:p w:rsidR="005031CF" w:rsidRDefault="00042749">
      <w:pPr>
        <w:pStyle w:val="Caption"/>
        <w:keepNext/>
        <w:spacing w:after="240"/>
      </w:pPr>
      <w:bookmarkStart w:id="3" w:name="_Ref519245318"/>
      <w:r>
        <w:rPr>
          <w:rStyle w:val="None"/>
          <w:rFonts w:ascii="Arial" w:hAnsi="Arial"/>
          <w:sz w:val="28"/>
          <w:szCs w:val="28"/>
        </w:rPr>
        <w:lastRenderedPageBreak/>
        <w:t>Table 10</w:t>
      </w:r>
      <w:bookmarkEnd w:id="3"/>
      <w:r>
        <w:rPr>
          <w:rStyle w:val="None"/>
          <w:rFonts w:ascii="Arial" w:hAnsi="Arial"/>
          <w:sz w:val="28"/>
          <w:szCs w:val="28"/>
        </w:rPr>
        <w:t>: Sexual orientation by Swansea Bay university Health Board area</w:t>
      </w:r>
    </w:p>
    <w:tbl>
      <w:tblPr>
        <w:tblW w:w="9020"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D0DDEF"/>
        <w:tblLayout w:type="fixed"/>
        <w:tblLook w:val="04A0" w:firstRow="1" w:lastRow="0" w:firstColumn="1" w:lastColumn="0" w:noHBand="0" w:noVBand="1"/>
      </w:tblPr>
      <w:tblGrid>
        <w:gridCol w:w="1629"/>
        <w:gridCol w:w="1002"/>
        <w:gridCol w:w="1128"/>
        <w:gridCol w:w="1002"/>
        <w:gridCol w:w="751"/>
        <w:gridCol w:w="944"/>
        <w:gridCol w:w="1186"/>
        <w:gridCol w:w="1378"/>
      </w:tblGrid>
      <w:tr w:rsidR="005031CF">
        <w:trPr>
          <w:trHeight w:val="883"/>
        </w:trPr>
        <w:tc>
          <w:tcPr>
            <w:tcW w:w="162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Default="00042749">
            <w:pPr>
              <w:pStyle w:val="Body"/>
            </w:pPr>
            <w:r>
              <w:rPr>
                <w:rStyle w:val="None"/>
                <w:rFonts w:ascii="Arial" w:hAnsi="Arial"/>
                <w:b/>
                <w:bCs/>
                <w:sz w:val="20"/>
                <w:szCs w:val="20"/>
                <w:lang w:val="en-US"/>
              </w:rPr>
              <w:t>Region</w:t>
            </w:r>
          </w:p>
        </w:tc>
        <w:tc>
          <w:tcPr>
            <w:tcW w:w="100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Default="00042749">
            <w:pPr>
              <w:pStyle w:val="Body"/>
              <w:spacing w:after="0" w:line="240" w:lineRule="auto"/>
              <w:jc w:val="right"/>
            </w:pPr>
            <w:r>
              <w:rPr>
                <w:rStyle w:val="None"/>
                <w:rFonts w:ascii="Arial" w:hAnsi="Arial"/>
                <w:b/>
                <w:bCs/>
                <w:sz w:val="20"/>
                <w:szCs w:val="20"/>
                <w:lang w:val="en-US"/>
              </w:rPr>
              <w:t>LGB</w:t>
            </w:r>
          </w:p>
        </w:tc>
        <w:tc>
          <w:tcPr>
            <w:tcW w:w="112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Default="00042749">
            <w:pPr>
              <w:pStyle w:val="Body"/>
              <w:spacing w:after="0" w:line="240" w:lineRule="auto"/>
              <w:jc w:val="right"/>
            </w:pPr>
            <w:r>
              <w:rPr>
                <w:rStyle w:val="None"/>
                <w:rFonts w:ascii="Arial" w:hAnsi="Arial"/>
                <w:b/>
                <w:bCs/>
                <w:sz w:val="20"/>
                <w:szCs w:val="20"/>
                <w:lang w:val="en-US"/>
              </w:rPr>
              <w:t>Hetero-</w:t>
            </w:r>
            <w:r>
              <w:rPr>
                <w:rStyle w:val="None"/>
                <w:rFonts w:ascii="Arial Unicode MS" w:eastAsia="Arial Unicode MS" w:hAnsi="Arial Unicode MS" w:cs="Arial Unicode MS"/>
                <w:sz w:val="20"/>
                <w:szCs w:val="20"/>
                <w:lang w:val="en-US"/>
              </w:rPr>
              <w:br/>
            </w:r>
            <w:r>
              <w:rPr>
                <w:rStyle w:val="None"/>
                <w:rFonts w:ascii="Arial" w:hAnsi="Arial"/>
                <w:b/>
                <w:bCs/>
                <w:sz w:val="20"/>
                <w:szCs w:val="20"/>
                <w:lang w:val="en-US"/>
              </w:rPr>
              <w:t>sexual</w:t>
            </w:r>
          </w:p>
        </w:tc>
        <w:tc>
          <w:tcPr>
            <w:tcW w:w="100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Default="00042749">
            <w:pPr>
              <w:pStyle w:val="Body"/>
              <w:spacing w:after="0" w:line="240" w:lineRule="auto"/>
              <w:jc w:val="right"/>
            </w:pPr>
            <w:r>
              <w:rPr>
                <w:rStyle w:val="None"/>
                <w:rFonts w:ascii="Arial" w:hAnsi="Arial"/>
                <w:b/>
                <w:bCs/>
                <w:sz w:val="20"/>
                <w:szCs w:val="20"/>
                <w:lang w:val="en-US"/>
              </w:rPr>
              <w:t>No response</w:t>
            </w:r>
          </w:p>
        </w:tc>
        <w:tc>
          <w:tcPr>
            <w:tcW w:w="75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Default="00042749">
            <w:pPr>
              <w:pStyle w:val="Body"/>
              <w:spacing w:after="0" w:line="240" w:lineRule="auto"/>
              <w:jc w:val="right"/>
            </w:pPr>
            <w:r>
              <w:rPr>
                <w:rStyle w:val="None"/>
                <w:rFonts w:ascii="Arial" w:hAnsi="Arial"/>
                <w:b/>
                <w:bCs/>
                <w:sz w:val="20"/>
                <w:szCs w:val="20"/>
                <w:lang w:val="en-US"/>
              </w:rPr>
              <w:t>Other</w:t>
            </w:r>
          </w:p>
        </w:tc>
        <w:tc>
          <w:tcPr>
            <w:tcW w:w="94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Default="00042749">
            <w:pPr>
              <w:pStyle w:val="Body"/>
              <w:spacing w:after="0" w:line="240" w:lineRule="auto"/>
              <w:jc w:val="right"/>
            </w:pPr>
            <w:r>
              <w:rPr>
                <w:rStyle w:val="None"/>
                <w:rFonts w:ascii="Arial" w:hAnsi="Arial"/>
                <w:b/>
                <w:bCs/>
                <w:sz w:val="20"/>
                <w:szCs w:val="20"/>
                <w:lang w:val="en-US"/>
              </w:rPr>
              <w:t>Don't know</w:t>
            </w:r>
            <w:r>
              <w:rPr>
                <w:rStyle w:val="None"/>
                <w:rFonts w:ascii="Arial Unicode MS" w:eastAsia="Arial Unicode MS" w:hAnsi="Arial Unicode MS" w:cs="Arial Unicode MS"/>
                <w:sz w:val="20"/>
                <w:szCs w:val="20"/>
                <w:lang w:val="en-US"/>
              </w:rPr>
              <w:br/>
            </w:r>
            <w:r>
              <w:rPr>
                <w:rStyle w:val="None"/>
                <w:rFonts w:ascii="Arial" w:hAnsi="Arial"/>
                <w:b/>
                <w:bCs/>
                <w:sz w:val="20"/>
                <w:szCs w:val="20"/>
                <w:lang w:val="en-US"/>
              </w:rPr>
              <w:t>/Refusal</w:t>
            </w:r>
          </w:p>
        </w:tc>
        <w:tc>
          <w:tcPr>
            <w:tcW w:w="118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Default="00042749">
            <w:pPr>
              <w:pStyle w:val="Body"/>
              <w:spacing w:after="0" w:line="240" w:lineRule="auto"/>
              <w:jc w:val="right"/>
            </w:pPr>
            <w:r>
              <w:rPr>
                <w:rStyle w:val="None"/>
                <w:rFonts w:ascii="Arial" w:hAnsi="Arial"/>
                <w:b/>
                <w:bCs/>
                <w:sz w:val="20"/>
                <w:szCs w:val="20"/>
                <w:lang w:val="en-US"/>
              </w:rPr>
              <w:t>Total (%)</w:t>
            </w:r>
          </w:p>
        </w:tc>
        <w:tc>
          <w:tcPr>
            <w:tcW w:w="137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Default="00042749">
            <w:pPr>
              <w:pStyle w:val="Body"/>
              <w:spacing w:after="0" w:line="240" w:lineRule="auto"/>
              <w:jc w:val="right"/>
            </w:pPr>
            <w:r>
              <w:rPr>
                <w:rStyle w:val="None"/>
                <w:rFonts w:ascii="Arial" w:hAnsi="Arial"/>
                <w:b/>
                <w:bCs/>
                <w:sz w:val="20"/>
                <w:szCs w:val="20"/>
                <w:lang w:val="en-US"/>
              </w:rPr>
              <w:t>All people aged 16+</w:t>
            </w:r>
          </w:p>
        </w:tc>
      </w:tr>
      <w:tr w:rsidR="005031CF">
        <w:trPr>
          <w:trHeight w:val="663"/>
        </w:trPr>
        <w:tc>
          <w:tcPr>
            <w:tcW w:w="162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Default="00042749">
            <w:pPr>
              <w:pStyle w:val="Body"/>
              <w:spacing w:after="0" w:line="240" w:lineRule="auto"/>
            </w:pPr>
            <w:r>
              <w:rPr>
                <w:rStyle w:val="None"/>
                <w:rFonts w:ascii="Arial" w:hAnsi="Arial"/>
                <w:sz w:val="20"/>
                <w:szCs w:val="20"/>
                <w:lang w:val="en-US"/>
              </w:rPr>
              <w:t>Bridgend and Neath Port Talbot</w:t>
            </w:r>
          </w:p>
        </w:tc>
        <w:tc>
          <w:tcPr>
            <w:tcW w:w="100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Default="00042749">
            <w:pPr>
              <w:pStyle w:val="Body"/>
              <w:spacing w:after="0" w:line="240" w:lineRule="auto"/>
              <w:jc w:val="right"/>
            </w:pPr>
            <w:r>
              <w:rPr>
                <w:rStyle w:val="None"/>
                <w:rFonts w:ascii="Arial" w:hAnsi="Arial"/>
                <w:sz w:val="20"/>
                <w:szCs w:val="20"/>
                <w:lang w:val="en-US"/>
              </w:rPr>
              <w:t>1.00%</w:t>
            </w:r>
          </w:p>
        </w:tc>
        <w:tc>
          <w:tcPr>
            <w:tcW w:w="112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Default="00042749">
            <w:pPr>
              <w:pStyle w:val="Body"/>
              <w:spacing w:after="0" w:line="240" w:lineRule="auto"/>
              <w:jc w:val="right"/>
            </w:pPr>
            <w:r>
              <w:rPr>
                <w:rStyle w:val="None"/>
                <w:rFonts w:ascii="Arial" w:hAnsi="Arial"/>
                <w:sz w:val="20"/>
                <w:szCs w:val="20"/>
                <w:lang w:val="en-US"/>
              </w:rPr>
              <w:t>95.00%</w:t>
            </w:r>
          </w:p>
        </w:tc>
        <w:tc>
          <w:tcPr>
            <w:tcW w:w="100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Default="00042749">
            <w:pPr>
              <w:pStyle w:val="Body"/>
              <w:spacing w:after="0" w:line="240" w:lineRule="auto"/>
              <w:jc w:val="right"/>
            </w:pPr>
            <w:r>
              <w:rPr>
                <w:rStyle w:val="None"/>
                <w:rFonts w:ascii="Arial" w:hAnsi="Arial"/>
                <w:sz w:val="20"/>
                <w:szCs w:val="20"/>
                <w:lang w:val="en-US"/>
              </w:rPr>
              <w:t>2.00%</w:t>
            </w:r>
          </w:p>
        </w:tc>
        <w:tc>
          <w:tcPr>
            <w:tcW w:w="75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Default="00042749">
            <w:pPr>
              <w:pStyle w:val="Body"/>
              <w:spacing w:after="0" w:line="240" w:lineRule="auto"/>
              <w:jc w:val="right"/>
            </w:pPr>
            <w:r>
              <w:rPr>
                <w:rStyle w:val="None"/>
                <w:rFonts w:ascii="Arial" w:hAnsi="Arial"/>
                <w:b/>
                <w:bCs/>
                <w:sz w:val="20"/>
                <w:szCs w:val="20"/>
                <w:lang w:val="en-US"/>
              </w:rPr>
              <w:t>*</w:t>
            </w:r>
          </w:p>
        </w:tc>
        <w:tc>
          <w:tcPr>
            <w:tcW w:w="94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Default="00042749">
            <w:pPr>
              <w:pStyle w:val="Body"/>
              <w:spacing w:after="0" w:line="240" w:lineRule="auto"/>
              <w:jc w:val="right"/>
            </w:pPr>
            <w:r>
              <w:rPr>
                <w:rStyle w:val="None"/>
                <w:rFonts w:ascii="Arial" w:hAnsi="Arial"/>
                <w:sz w:val="20"/>
                <w:szCs w:val="20"/>
                <w:lang w:val="en-US"/>
              </w:rPr>
              <w:t>2.00%</w:t>
            </w:r>
          </w:p>
        </w:tc>
        <w:tc>
          <w:tcPr>
            <w:tcW w:w="118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Default="00042749">
            <w:pPr>
              <w:pStyle w:val="Body"/>
              <w:spacing w:after="0" w:line="240" w:lineRule="auto"/>
              <w:jc w:val="right"/>
            </w:pPr>
            <w:r>
              <w:rPr>
                <w:rStyle w:val="None"/>
                <w:rFonts w:ascii="Arial" w:hAnsi="Arial"/>
                <w:sz w:val="20"/>
                <w:szCs w:val="20"/>
                <w:lang w:val="en-US"/>
              </w:rPr>
              <w:t>100.00%</w:t>
            </w:r>
          </w:p>
        </w:tc>
        <w:tc>
          <w:tcPr>
            <w:tcW w:w="137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Default="00042749">
            <w:pPr>
              <w:pStyle w:val="Body"/>
              <w:spacing w:after="0" w:line="240" w:lineRule="auto"/>
              <w:jc w:val="right"/>
            </w:pPr>
            <w:r>
              <w:rPr>
                <w:rStyle w:val="None"/>
                <w:rFonts w:ascii="Arial" w:hAnsi="Arial"/>
                <w:sz w:val="20"/>
                <w:szCs w:val="20"/>
                <w:lang w:val="en-US"/>
              </w:rPr>
              <w:t>221,500</w:t>
            </w:r>
          </w:p>
        </w:tc>
      </w:tr>
      <w:tr w:rsidR="005031CF">
        <w:trPr>
          <w:trHeight w:val="223"/>
        </w:trPr>
        <w:tc>
          <w:tcPr>
            <w:tcW w:w="162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Default="00042749">
            <w:pPr>
              <w:pStyle w:val="Body"/>
              <w:spacing w:after="0" w:line="240" w:lineRule="auto"/>
            </w:pPr>
            <w:r>
              <w:rPr>
                <w:rStyle w:val="None"/>
                <w:rFonts w:ascii="Arial" w:hAnsi="Arial"/>
                <w:sz w:val="20"/>
                <w:szCs w:val="20"/>
                <w:lang w:val="en-US"/>
              </w:rPr>
              <w:t>Swansea</w:t>
            </w:r>
          </w:p>
        </w:tc>
        <w:tc>
          <w:tcPr>
            <w:tcW w:w="100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Default="00042749">
            <w:pPr>
              <w:pStyle w:val="Body"/>
              <w:spacing w:after="0" w:line="240" w:lineRule="auto"/>
              <w:jc w:val="right"/>
            </w:pPr>
            <w:r>
              <w:rPr>
                <w:rStyle w:val="None"/>
                <w:rFonts w:ascii="Arial" w:hAnsi="Arial"/>
                <w:sz w:val="20"/>
                <w:szCs w:val="20"/>
                <w:lang w:val="en-US"/>
              </w:rPr>
              <w:t>2.00%</w:t>
            </w:r>
          </w:p>
        </w:tc>
        <w:tc>
          <w:tcPr>
            <w:tcW w:w="112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Default="00042749">
            <w:pPr>
              <w:pStyle w:val="Body"/>
              <w:spacing w:after="0" w:line="240" w:lineRule="auto"/>
              <w:jc w:val="right"/>
            </w:pPr>
            <w:r>
              <w:rPr>
                <w:rStyle w:val="None"/>
                <w:rFonts w:ascii="Arial" w:hAnsi="Arial"/>
                <w:sz w:val="20"/>
                <w:szCs w:val="20"/>
                <w:lang w:val="en-US"/>
              </w:rPr>
              <w:t>95.00%</w:t>
            </w:r>
          </w:p>
        </w:tc>
        <w:tc>
          <w:tcPr>
            <w:tcW w:w="100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Default="00042749">
            <w:pPr>
              <w:pStyle w:val="Body"/>
              <w:spacing w:after="0" w:line="240" w:lineRule="auto"/>
              <w:jc w:val="right"/>
            </w:pPr>
            <w:r>
              <w:rPr>
                <w:rStyle w:val="None"/>
                <w:rFonts w:ascii="Arial" w:hAnsi="Arial"/>
                <w:sz w:val="20"/>
                <w:szCs w:val="20"/>
                <w:lang w:val="en-US"/>
              </w:rPr>
              <w:t>1.00%</w:t>
            </w:r>
          </w:p>
        </w:tc>
        <w:tc>
          <w:tcPr>
            <w:tcW w:w="75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Default="00042749">
            <w:pPr>
              <w:pStyle w:val="Body"/>
              <w:spacing w:after="0" w:line="240" w:lineRule="auto"/>
              <w:jc w:val="right"/>
            </w:pPr>
            <w:r>
              <w:rPr>
                <w:rStyle w:val="None"/>
                <w:rFonts w:ascii="Arial" w:hAnsi="Arial"/>
                <w:b/>
                <w:bCs/>
                <w:sz w:val="20"/>
                <w:szCs w:val="20"/>
                <w:lang w:val="en-US"/>
              </w:rPr>
              <w:t>*</w:t>
            </w:r>
          </w:p>
        </w:tc>
        <w:tc>
          <w:tcPr>
            <w:tcW w:w="94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Default="00042749">
            <w:pPr>
              <w:pStyle w:val="Body"/>
              <w:spacing w:after="0" w:line="240" w:lineRule="auto"/>
              <w:jc w:val="right"/>
            </w:pPr>
            <w:r>
              <w:rPr>
                <w:rStyle w:val="None"/>
                <w:rFonts w:ascii="Arial" w:hAnsi="Arial"/>
                <w:sz w:val="20"/>
                <w:szCs w:val="20"/>
                <w:lang w:val="en-US"/>
              </w:rPr>
              <w:t>1.00%</w:t>
            </w:r>
          </w:p>
        </w:tc>
        <w:tc>
          <w:tcPr>
            <w:tcW w:w="118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Default="00042749">
            <w:pPr>
              <w:pStyle w:val="Body"/>
              <w:spacing w:after="0" w:line="240" w:lineRule="auto"/>
              <w:jc w:val="right"/>
            </w:pPr>
            <w:r>
              <w:rPr>
                <w:rStyle w:val="None"/>
                <w:rFonts w:ascii="Arial" w:hAnsi="Arial"/>
                <w:sz w:val="20"/>
                <w:szCs w:val="20"/>
                <w:lang w:val="en-US"/>
              </w:rPr>
              <w:t>100.00%</w:t>
            </w:r>
          </w:p>
        </w:tc>
        <w:tc>
          <w:tcPr>
            <w:tcW w:w="137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Default="00042749">
            <w:pPr>
              <w:pStyle w:val="Body"/>
              <w:spacing w:after="0" w:line="240" w:lineRule="auto"/>
              <w:jc w:val="right"/>
            </w:pPr>
            <w:r>
              <w:rPr>
                <w:rStyle w:val="None"/>
                <w:rFonts w:ascii="Arial" w:hAnsi="Arial"/>
                <w:sz w:val="20"/>
                <w:szCs w:val="20"/>
                <w:lang w:val="en-US"/>
              </w:rPr>
              <w:t>193,200</w:t>
            </w:r>
          </w:p>
        </w:tc>
      </w:tr>
      <w:tr w:rsidR="005031CF">
        <w:trPr>
          <w:trHeight w:val="223"/>
        </w:trPr>
        <w:tc>
          <w:tcPr>
            <w:tcW w:w="162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Default="00042749">
            <w:pPr>
              <w:pStyle w:val="Body"/>
              <w:spacing w:after="0" w:line="240" w:lineRule="auto"/>
            </w:pPr>
            <w:r>
              <w:rPr>
                <w:rStyle w:val="None"/>
                <w:rFonts w:ascii="Arial" w:hAnsi="Arial"/>
                <w:b/>
                <w:bCs/>
                <w:sz w:val="20"/>
                <w:szCs w:val="20"/>
                <w:lang w:val="en-US"/>
              </w:rPr>
              <w:t>Wales</w:t>
            </w:r>
          </w:p>
        </w:tc>
        <w:tc>
          <w:tcPr>
            <w:tcW w:w="100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Default="00042749">
            <w:pPr>
              <w:pStyle w:val="Body"/>
              <w:spacing w:after="0" w:line="240" w:lineRule="auto"/>
              <w:jc w:val="right"/>
            </w:pPr>
            <w:r>
              <w:rPr>
                <w:rStyle w:val="None"/>
                <w:rFonts w:ascii="Arial" w:hAnsi="Arial"/>
                <w:b/>
                <w:bCs/>
                <w:sz w:val="20"/>
                <w:szCs w:val="20"/>
                <w:lang w:val="en-US"/>
              </w:rPr>
              <w:t>1.00%</w:t>
            </w:r>
          </w:p>
        </w:tc>
        <w:tc>
          <w:tcPr>
            <w:tcW w:w="112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Default="00042749">
            <w:pPr>
              <w:pStyle w:val="Body"/>
              <w:spacing w:after="0" w:line="240" w:lineRule="auto"/>
              <w:jc w:val="right"/>
            </w:pPr>
            <w:r>
              <w:rPr>
                <w:rStyle w:val="None"/>
                <w:rFonts w:ascii="Arial" w:hAnsi="Arial"/>
                <w:b/>
                <w:bCs/>
                <w:sz w:val="20"/>
                <w:szCs w:val="20"/>
                <w:lang w:val="en-US"/>
              </w:rPr>
              <w:t>94.00%</w:t>
            </w:r>
          </w:p>
        </w:tc>
        <w:tc>
          <w:tcPr>
            <w:tcW w:w="100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Default="00042749">
            <w:pPr>
              <w:pStyle w:val="Body"/>
              <w:spacing w:after="0" w:line="240" w:lineRule="auto"/>
              <w:jc w:val="right"/>
            </w:pPr>
            <w:r>
              <w:rPr>
                <w:rStyle w:val="None"/>
                <w:rFonts w:ascii="Arial" w:hAnsi="Arial"/>
                <w:b/>
                <w:bCs/>
                <w:sz w:val="20"/>
                <w:szCs w:val="20"/>
                <w:lang w:val="en-US"/>
              </w:rPr>
              <w:t>1.00%</w:t>
            </w:r>
          </w:p>
        </w:tc>
        <w:tc>
          <w:tcPr>
            <w:tcW w:w="75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Default="00042749">
            <w:pPr>
              <w:pStyle w:val="Body"/>
              <w:spacing w:after="0" w:line="240" w:lineRule="auto"/>
              <w:jc w:val="right"/>
            </w:pPr>
            <w:r>
              <w:rPr>
                <w:rStyle w:val="None"/>
                <w:rFonts w:ascii="Arial" w:hAnsi="Arial"/>
                <w:b/>
                <w:bCs/>
                <w:sz w:val="20"/>
                <w:szCs w:val="20"/>
                <w:lang w:val="en-US"/>
              </w:rPr>
              <w:t>0.00</w:t>
            </w:r>
          </w:p>
        </w:tc>
        <w:tc>
          <w:tcPr>
            <w:tcW w:w="94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Default="00042749">
            <w:pPr>
              <w:pStyle w:val="Body"/>
              <w:spacing w:after="0" w:line="240" w:lineRule="auto"/>
              <w:jc w:val="right"/>
            </w:pPr>
            <w:r>
              <w:rPr>
                <w:rStyle w:val="None"/>
                <w:rFonts w:ascii="Arial" w:hAnsi="Arial"/>
                <w:b/>
                <w:bCs/>
                <w:sz w:val="20"/>
                <w:szCs w:val="20"/>
                <w:lang w:val="en-US"/>
              </w:rPr>
              <w:t>3.00%</w:t>
            </w:r>
          </w:p>
        </w:tc>
        <w:tc>
          <w:tcPr>
            <w:tcW w:w="118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Default="00042749">
            <w:pPr>
              <w:pStyle w:val="Body"/>
              <w:spacing w:after="0" w:line="240" w:lineRule="auto"/>
              <w:jc w:val="right"/>
            </w:pPr>
            <w:r>
              <w:rPr>
                <w:rStyle w:val="None"/>
                <w:rFonts w:ascii="Arial" w:hAnsi="Arial"/>
                <w:b/>
                <w:bCs/>
                <w:sz w:val="20"/>
                <w:szCs w:val="20"/>
                <w:lang w:val="en-US"/>
              </w:rPr>
              <w:t>100.00%</w:t>
            </w:r>
          </w:p>
        </w:tc>
        <w:tc>
          <w:tcPr>
            <w:tcW w:w="137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Default="00042749">
            <w:pPr>
              <w:pStyle w:val="Body"/>
              <w:spacing w:after="0" w:line="240" w:lineRule="auto"/>
              <w:jc w:val="right"/>
            </w:pPr>
            <w:r>
              <w:rPr>
                <w:rStyle w:val="None"/>
                <w:rFonts w:ascii="Arial" w:hAnsi="Arial"/>
                <w:b/>
                <w:bCs/>
                <w:sz w:val="20"/>
                <w:szCs w:val="20"/>
                <w:lang w:val="en-US"/>
              </w:rPr>
              <w:t>2,456,400</w:t>
            </w:r>
          </w:p>
        </w:tc>
      </w:tr>
    </w:tbl>
    <w:p w:rsidR="005031CF" w:rsidRDefault="005031CF">
      <w:pPr>
        <w:pStyle w:val="Caption"/>
        <w:keepNext/>
        <w:widowControl w:val="0"/>
        <w:spacing w:after="240"/>
      </w:pPr>
    </w:p>
    <w:p w:rsidR="005031CF" w:rsidRDefault="00042749">
      <w:pPr>
        <w:pStyle w:val="Body"/>
        <w:spacing w:after="0" w:line="240" w:lineRule="auto"/>
      </w:pPr>
      <w:r>
        <w:rPr>
          <w:rStyle w:val="None"/>
          <w:rFonts w:ascii="Arial" w:hAnsi="Arial"/>
          <w:sz w:val="24"/>
          <w:szCs w:val="24"/>
          <w:lang w:val="en-US"/>
        </w:rPr>
        <w:t>(Source: Integrated Household Survey 2012)</w:t>
      </w:r>
      <w:r>
        <w:rPr>
          <w:rStyle w:val="None"/>
          <w:rFonts w:ascii="Arial" w:eastAsia="Arial" w:hAnsi="Arial" w:cs="Arial"/>
          <w:sz w:val="24"/>
          <w:szCs w:val="24"/>
          <w:vertAlign w:val="superscript"/>
        </w:rPr>
        <w:footnoteReference w:id="3"/>
      </w:r>
    </w:p>
    <w:p w:rsidR="005031CF" w:rsidRDefault="00042749">
      <w:pPr>
        <w:pStyle w:val="Body"/>
        <w:spacing w:after="0" w:line="240" w:lineRule="auto"/>
      </w:pPr>
      <w:r>
        <w:rPr>
          <w:rStyle w:val="None"/>
          <w:rFonts w:ascii="Arial" w:hAnsi="Arial"/>
          <w:sz w:val="24"/>
          <w:szCs w:val="24"/>
          <w:lang w:val="en-US"/>
        </w:rPr>
        <w:t>* The data item could disclose identity or not sufficiently robust for publication.</w:t>
      </w:r>
    </w:p>
    <w:p w:rsidR="005031CF" w:rsidRDefault="005031CF">
      <w:pPr>
        <w:pStyle w:val="Body"/>
        <w:spacing w:after="0" w:line="240" w:lineRule="auto"/>
      </w:pPr>
    </w:p>
    <w:p w:rsidR="005031CF" w:rsidRDefault="00042749">
      <w:pPr>
        <w:pStyle w:val="Body"/>
        <w:spacing w:after="0" w:line="240" w:lineRule="auto"/>
      </w:pPr>
      <w:r>
        <w:rPr>
          <w:rStyle w:val="None"/>
          <w:rFonts w:ascii="Arial" w:hAnsi="Arial"/>
          <w:sz w:val="28"/>
          <w:szCs w:val="28"/>
          <w:lang w:val="en-US"/>
        </w:rPr>
        <w:t>The availability of gender appropriate environments within the proposal rather than “same sex” environments means that the needs of people in terms of shared environments will be accommodated rather than allocating people according to sex.</w:t>
      </w:r>
    </w:p>
    <w:p w:rsidR="005031CF" w:rsidRDefault="00042749">
      <w:pPr>
        <w:pStyle w:val="Body"/>
        <w:spacing w:after="0" w:line="240" w:lineRule="auto"/>
      </w:pPr>
      <w:r>
        <w:rPr>
          <w:rStyle w:val="None"/>
          <w:rFonts w:ascii="Arial" w:hAnsi="Arial"/>
          <w:sz w:val="28"/>
          <w:szCs w:val="28"/>
          <w:lang w:val="en-US"/>
        </w:rPr>
        <w:t>The purposed built at Ysbryd y Coed and the new planned refurbishment of the Suite at Tonna Hospital will allow the service to be able to meet the need associated with an individual’</w:t>
      </w:r>
      <w:r>
        <w:rPr>
          <w:rStyle w:val="None"/>
          <w:rFonts w:ascii="Arial" w:hAnsi="Arial"/>
          <w:sz w:val="28"/>
          <w:szCs w:val="28"/>
          <w:lang w:val="pt-PT"/>
        </w:rPr>
        <w:t>s sexual orientation.</w:t>
      </w:r>
    </w:p>
    <w:p w:rsidR="005031CF" w:rsidRDefault="005031CF">
      <w:pPr>
        <w:pStyle w:val="Body"/>
        <w:spacing w:after="0" w:line="240" w:lineRule="auto"/>
      </w:pPr>
    </w:p>
    <w:p w:rsidR="005031CF" w:rsidRDefault="00042749">
      <w:pPr>
        <w:pStyle w:val="Body"/>
        <w:spacing w:after="0" w:line="240" w:lineRule="auto"/>
      </w:pPr>
      <w:r>
        <w:rPr>
          <w:rStyle w:val="None"/>
          <w:rFonts w:ascii="Arial" w:hAnsi="Arial"/>
          <w:sz w:val="28"/>
          <w:szCs w:val="28"/>
          <w:lang w:val="en-US"/>
        </w:rPr>
        <w:t>Shifting the balance of care towards community settings and home based care could have a positive impact for older people who may feel more comfortable in their own environment.</w:t>
      </w:r>
    </w:p>
    <w:p w:rsidR="005031CF" w:rsidRDefault="005031CF">
      <w:pPr>
        <w:pStyle w:val="Body"/>
        <w:spacing w:after="0" w:line="240" w:lineRule="auto"/>
      </w:pPr>
    </w:p>
    <w:p w:rsidR="005031CF" w:rsidRDefault="00042749">
      <w:pPr>
        <w:pStyle w:val="Body"/>
        <w:spacing w:after="0" w:line="240" w:lineRule="auto"/>
      </w:pPr>
      <w:r>
        <w:rPr>
          <w:rStyle w:val="None"/>
          <w:rFonts w:ascii="Arial" w:hAnsi="Arial"/>
          <w:sz w:val="28"/>
          <w:szCs w:val="28"/>
          <w:lang w:val="en-US"/>
        </w:rPr>
        <w:t xml:space="preserve">Further work is needed to explore whether there is potential differential impact in respect of sexual orientation in respect of access to services specifically for Older People. </w:t>
      </w:r>
      <w:r>
        <w:rPr>
          <w:rStyle w:val="Hyperlink0"/>
          <w:lang w:val="en-US"/>
        </w:rPr>
        <w:t>However, based on the currently available evidence, no impact is anticipated on this protected characteristic group at this stage.</w:t>
      </w:r>
    </w:p>
    <w:p w:rsidR="005031CF" w:rsidRDefault="005031CF">
      <w:pPr>
        <w:pStyle w:val="Body"/>
        <w:spacing w:after="0" w:line="240" w:lineRule="auto"/>
      </w:pPr>
    </w:p>
    <w:p w:rsidR="005031CF" w:rsidRDefault="005031CF">
      <w:pPr>
        <w:pStyle w:val="Body"/>
        <w:spacing w:after="0" w:line="240" w:lineRule="auto"/>
      </w:pPr>
    </w:p>
    <w:p w:rsidR="005031CF" w:rsidRDefault="005031CF">
      <w:pPr>
        <w:pStyle w:val="Body"/>
        <w:spacing w:after="0" w:line="240" w:lineRule="auto"/>
      </w:pPr>
    </w:p>
    <w:p w:rsidR="005031CF" w:rsidRDefault="00042749">
      <w:pPr>
        <w:pStyle w:val="Heading2"/>
      </w:pPr>
      <w:r>
        <w:t>Other characteristics considered</w:t>
      </w:r>
    </w:p>
    <w:p w:rsidR="005031CF" w:rsidRDefault="00042749">
      <w:pPr>
        <w:pStyle w:val="Body"/>
        <w:spacing w:after="0" w:line="240" w:lineRule="auto"/>
      </w:pPr>
      <w:r>
        <w:rPr>
          <w:rStyle w:val="None"/>
          <w:rFonts w:ascii="Arial" w:hAnsi="Arial"/>
          <w:sz w:val="28"/>
          <w:szCs w:val="28"/>
          <w:lang w:val="en-US"/>
        </w:rPr>
        <w:t>The following characteristics described below are not Protected Characteristics under the Equality Act 2010.  However, SBUHB believe they are key factors that influence healthy outcomes and underpin our organisational values.  We will, therefore, endeavour to explore any potential differential impact in respect of the following:</w:t>
      </w:r>
    </w:p>
    <w:p w:rsidR="005031CF" w:rsidRDefault="005031CF">
      <w:pPr>
        <w:pStyle w:val="Body"/>
        <w:spacing w:after="0" w:line="240" w:lineRule="auto"/>
      </w:pPr>
    </w:p>
    <w:p w:rsidR="005031CF" w:rsidRDefault="00042749">
      <w:pPr>
        <w:pStyle w:val="ListParagraph"/>
        <w:numPr>
          <w:ilvl w:val="0"/>
          <w:numId w:val="9"/>
        </w:numPr>
        <w:spacing w:after="0" w:line="240" w:lineRule="auto"/>
        <w:rPr>
          <w:rFonts w:ascii="Arial" w:hAnsi="Arial"/>
          <w:sz w:val="28"/>
          <w:szCs w:val="28"/>
        </w:rPr>
      </w:pPr>
      <w:r>
        <w:rPr>
          <w:rStyle w:val="None"/>
          <w:rFonts w:ascii="Arial" w:hAnsi="Arial"/>
          <w:sz w:val="28"/>
          <w:szCs w:val="28"/>
        </w:rPr>
        <w:t>Welsh Language</w:t>
      </w:r>
    </w:p>
    <w:p w:rsidR="005031CF" w:rsidRDefault="00042749">
      <w:pPr>
        <w:pStyle w:val="ListParagraph"/>
        <w:numPr>
          <w:ilvl w:val="0"/>
          <w:numId w:val="9"/>
        </w:numPr>
        <w:spacing w:after="0" w:line="240" w:lineRule="auto"/>
        <w:rPr>
          <w:rFonts w:ascii="Arial" w:hAnsi="Arial"/>
          <w:sz w:val="28"/>
          <w:szCs w:val="28"/>
        </w:rPr>
      </w:pPr>
      <w:r>
        <w:rPr>
          <w:rStyle w:val="None"/>
          <w:rFonts w:ascii="Arial" w:hAnsi="Arial"/>
          <w:sz w:val="28"/>
          <w:szCs w:val="28"/>
        </w:rPr>
        <w:t>Unpaid carers</w:t>
      </w:r>
    </w:p>
    <w:p w:rsidR="005031CF" w:rsidRDefault="00042749">
      <w:pPr>
        <w:pStyle w:val="ListParagraph"/>
        <w:numPr>
          <w:ilvl w:val="0"/>
          <w:numId w:val="9"/>
        </w:numPr>
        <w:spacing w:after="0" w:line="240" w:lineRule="auto"/>
        <w:rPr>
          <w:rFonts w:ascii="Arial" w:hAnsi="Arial"/>
          <w:sz w:val="28"/>
          <w:szCs w:val="28"/>
        </w:rPr>
      </w:pPr>
      <w:r>
        <w:rPr>
          <w:rStyle w:val="None"/>
          <w:rFonts w:ascii="Arial" w:hAnsi="Arial"/>
          <w:sz w:val="28"/>
          <w:szCs w:val="28"/>
        </w:rPr>
        <w:t>Socio-economic status</w:t>
      </w:r>
    </w:p>
    <w:p w:rsidR="005031CF" w:rsidRDefault="005031CF">
      <w:pPr>
        <w:pStyle w:val="Body"/>
        <w:spacing w:after="0" w:line="240" w:lineRule="auto"/>
      </w:pPr>
    </w:p>
    <w:p w:rsidR="005031CF" w:rsidRDefault="00042749">
      <w:pPr>
        <w:pStyle w:val="Heading3"/>
        <w:ind w:left="360"/>
      </w:pPr>
      <w:r>
        <w:rPr>
          <w:rStyle w:val="None"/>
          <w:b/>
          <w:bCs/>
          <w:i/>
          <w:iCs/>
          <w:sz w:val="28"/>
          <w:szCs w:val="28"/>
        </w:rPr>
        <w:t>Welsh Language</w:t>
      </w:r>
    </w:p>
    <w:p w:rsidR="005031CF" w:rsidRDefault="00042749">
      <w:pPr>
        <w:pStyle w:val="Body"/>
        <w:spacing w:after="0" w:line="240" w:lineRule="auto"/>
      </w:pPr>
      <w:r>
        <w:rPr>
          <w:rStyle w:val="None"/>
          <w:rFonts w:ascii="Arial" w:hAnsi="Arial"/>
          <w:sz w:val="24"/>
          <w:szCs w:val="24"/>
          <w:lang w:val="en-US"/>
        </w:rPr>
        <w:t xml:space="preserve">Welsh language skills in the SBUHB area are lower than in Wales as a whole (see </w:t>
      </w:r>
      <w:hyperlink w:anchor="Ref519235501" w:history="1">
        <w:r>
          <w:rPr>
            <w:rStyle w:val="Hyperlink2"/>
            <w:lang w:val="fr-FR"/>
          </w:rPr>
          <w:t>Table 11</w:t>
        </w:r>
      </w:hyperlink>
      <w:r>
        <w:rPr>
          <w:rStyle w:val="None"/>
          <w:rFonts w:ascii="Arial" w:hAnsi="Arial"/>
          <w:sz w:val="24"/>
          <w:szCs w:val="24"/>
          <w:lang w:val="en-US"/>
        </w:rPr>
        <w:t xml:space="preserve">).  While the SBUHB area is comparable to the Welsh figure for the proportion of the population that can understand spoken Welsh only, (5.4% vs 5.3% for Wales), it is significantly lower than Wales as a whole when considering ‘Can speak Welsh’ (12.0% vs 19.0%) and ‘Can read and write Welsh’ (8.6% compared to 14.6%). </w:t>
      </w:r>
    </w:p>
    <w:p w:rsidR="005031CF" w:rsidRDefault="005031CF">
      <w:pPr>
        <w:pStyle w:val="Body"/>
        <w:spacing w:after="0" w:line="240" w:lineRule="auto"/>
      </w:pPr>
    </w:p>
    <w:p w:rsidR="005031CF" w:rsidRDefault="00042749">
      <w:pPr>
        <w:pStyle w:val="Caption"/>
        <w:keepNext/>
        <w:spacing w:after="240"/>
      </w:pPr>
      <w:bookmarkStart w:id="4" w:name="_Ref519235501"/>
      <w:r>
        <w:rPr>
          <w:rStyle w:val="None"/>
          <w:rFonts w:ascii="Arial" w:hAnsi="Arial"/>
          <w:sz w:val="24"/>
          <w:szCs w:val="24"/>
        </w:rPr>
        <w:t>Table 11</w:t>
      </w:r>
      <w:bookmarkEnd w:id="4"/>
      <w:r>
        <w:rPr>
          <w:rStyle w:val="None"/>
          <w:rFonts w:ascii="Arial" w:hAnsi="Arial"/>
          <w:sz w:val="24"/>
          <w:szCs w:val="24"/>
        </w:rPr>
        <w:t>: Welsh language profile by Swansea Bay University Health Board area</w:t>
      </w:r>
    </w:p>
    <w:tbl>
      <w:tblPr>
        <w:tblW w:w="7796" w:type="dxa"/>
        <w:tblInd w:w="216"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D0DDEF"/>
        <w:tblLayout w:type="fixed"/>
        <w:tblLook w:val="04A0" w:firstRow="1" w:lastRow="0" w:firstColumn="1" w:lastColumn="0" w:noHBand="0" w:noVBand="1"/>
      </w:tblPr>
      <w:tblGrid>
        <w:gridCol w:w="2552"/>
        <w:gridCol w:w="1440"/>
        <w:gridCol w:w="1158"/>
        <w:gridCol w:w="1158"/>
        <w:gridCol w:w="1488"/>
      </w:tblGrid>
      <w:tr w:rsidR="005031CF">
        <w:trPr>
          <w:trHeight w:val="1223"/>
        </w:trPr>
        <w:tc>
          <w:tcPr>
            <w:tcW w:w="2552" w:type="dxa"/>
            <w:tcBorders>
              <w:top w:val="single" w:sz="12" w:space="0" w:color="000000"/>
              <w:left w:val="single" w:sz="4" w:space="0" w:color="000000"/>
              <w:bottom w:val="single" w:sz="12" w:space="0" w:color="000000"/>
              <w:right w:val="nil"/>
            </w:tcBorders>
            <w:shd w:val="clear" w:color="auto" w:fill="FFFFFF"/>
            <w:tcMar>
              <w:top w:w="80" w:type="dxa"/>
              <w:left w:w="80" w:type="dxa"/>
              <w:bottom w:w="80" w:type="dxa"/>
              <w:right w:w="80" w:type="dxa"/>
            </w:tcMar>
          </w:tcPr>
          <w:p w:rsidR="005031CF" w:rsidRDefault="00042749">
            <w:pPr>
              <w:pStyle w:val="Body"/>
              <w:spacing w:after="0" w:line="240" w:lineRule="auto"/>
            </w:pPr>
            <w:r>
              <w:rPr>
                <w:rStyle w:val="None"/>
                <w:rFonts w:ascii="Arial" w:hAnsi="Arial"/>
                <w:b/>
                <w:bCs/>
                <w:lang w:val="en-US"/>
              </w:rPr>
              <w:t>Region</w:t>
            </w:r>
          </w:p>
        </w:tc>
        <w:tc>
          <w:tcPr>
            <w:tcW w:w="1440" w:type="dxa"/>
            <w:tcBorders>
              <w:top w:val="single" w:sz="12" w:space="0" w:color="000000"/>
              <w:left w:val="nil"/>
              <w:bottom w:val="single" w:sz="12" w:space="0" w:color="000000"/>
              <w:right w:val="nil"/>
            </w:tcBorders>
            <w:shd w:val="clear" w:color="auto" w:fill="FFFFFF"/>
            <w:tcMar>
              <w:top w:w="80" w:type="dxa"/>
              <w:left w:w="80" w:type="dxa"/>
              <w:bottom w:w="80" w:type="dxa"/>
              <w:right w:w="80" w:type="dxa"/>
            </w:tcMar>
          </w:tcPr>
          <w:p w:rsidR="005031CF" w:rsidRDefault="00042749">
            <w:pPr>
              <w:pStyle w:val="Body"/>
              <w:spacing w:after="0" w:line="240" w:lineRule="auto"/>
              <w:jc w:val="right"/>
            </w:pPr>
            <w:r>
              <w:rPr>
                <w:rStyle w:val="None"/>
                <w:rFonts w:ascii="Arial" w:hAnsi="Arial"/>
                <w:b/>
                <w:bCs/>
                <w:lang w:val="en-US"/>
              </w:rPr>
              <w:t>Can understand spoken Welsh only</w:t>
            </w:r>
          </w:p>
        </w:tc>
        <w:tc>
          <w:tcPr>
            <w:tcW w:w="1158" w:type="dxa"/>
            <w:tcBorders>
              <w:top w:val="single" w:sz="12" w:space="0" w:color="000000"/>
              <w:left w:val="nil"/>
              <w:bottom w:val="single" w:sz="12" w:space="0" w:color="000000"/>
              <w:right w:val="nil"/>
            </w:tcBorders>
            <w:shd w:val="clear" w:color="auto" w:fill="FFFFFF"/>
            <w:tcMar>
              <w:top w:w="80" w:type="dxa"/>
              <w:left w:w="80" w:type="dxa"/>
              <w:bottom w:w="80" w:type="dxa"/>
              <w:right w:w="80" w:type="dxa"/>
            </w:tcMar>
          </w:tcPr>
          <w:p w:rsidR="005031CF" w:rsidRDefault="00042749">
            <w:pPr>
              <w:pStyle w:val="Body"/>
              <w:spacing w:after="0" w:line="240" w:lineRule="auto"/>
              <w:jc w:val="right"/>
            </w:pPr>
            <w:r>
              <w:rPr>
                <w:rStyle w:val="None"/>
                <w:rFonts w:ascii="Arial" w:hAnsi="Arial"/>
                <w:b/>
                <w:bCs/>
                <w:lang w:val="en-US"/>
              </w:rPr>
              <w:t>Can speak Welsh</w:t>
            </w:r>
          </w:p>
        </w:tc>
        <w:tc>
          <w:tcPr>
            <w:tcW w:w="1158" w:type="dxa"/>
            <w:tcBorders>
              <w:top w:val="single" w:sz="12" w:space="0" w:color="000000"/>
              <w:left w:val="nil"/>
              <w:bottom w:val="single" w:sz="12" w:space="0" w:color="000000"/>
              <w:right w:val="nil"/>
            </w:tcBorders>
            <w:shd w:val="clear" w:color="auto" w:fill="FFFFFF"/>
            <w:tcMar>
              <w:top w:w="80" w:type="dxa"/>
              <w:left w:w="80" w:type="dxa"/>
              <w:bottom w:w="80" w:type="dxa"/>
              <w:right w:w="80" w:type="dxa"/>
            </w:tcMar>
          </w:tcPr>
          <w:p w:rsidR="005031CF" w:rsidRDefault="00042749">
            <w:pPr>
              <w:pStyle w:val="Body"/>
              <w:spacing w:after="0" w:line="240" w:lineRule="auto"/>
              <w:jc w:val="right"/>
            </w:pPr>
            <w:r>
              <w:rPr>
                <w:rStyle w:val="None"/>
                <w:rFonts w:ascii="Arial" w:hAnsi="Arial"/>
                <w:b/>
                <w:bCs/>
                <w:lang w:val="en-US"/>
              </w:rPr>
              <w:t>Can speak, read and write Welsh</w:t>
            </w:r>
          </w:p>
        </w:tc>
        <w:tc>
          <w:tcPr>
            <w:tcW w:w="1488" w:type="dxa"/>
            <w:tcBorders>
              <w:top w:val="single" w:sz="12" w:space="0" w:color="000000"/>
              <w:left w:val="nil"/>
              <w:bottom w:val="single" w:sz="12" w:space="0" w:color="000000"/>
              <w:right w:val="single" w:sz="4" w:space="0" w:color="000000"/>
            </w:tcBorders>
            <w:shd w:val="clear" w:color="auto" w:fill="FFFFFF"/>
            <w:tcMar>
              <w:top w:w="80" w:type="dxa"/>
              <w:left w:w="80" w:type="dxa"/>
              <w:bottom w:w="80" w:type="dxa"/>
              <w:right w:w="80" w:type="dxa"/>
            </w:tcMar>
          </w:tcPr>
          <w:p w:rsidR="005031CF" w:rsidRDefault="00042749">
            <w:pPr>
              <w:pStyle w:val="Body"/>
              <w:spacing w:after="0" w:line="240" w:lineRule="auto"/>
              <w:jc w:val="right"/>
            </w:pPr>
            <w:r>
              <w:rPr>
                <w:rStyle w:val="None"/>
                <w:rFonts w:ascii="Arial" w:hAnsi="Arial"/>
                <w:b/>
                <w:bCs/>
                <w:lang w:val="en-US"/>
              </w:rPr>
              <w:t>Total</w:t>
            </w:r>
          </w:p>
        </w:tc>
      </w:tr>
      <w:tr w:rsidR="005031CF">
        <w:trPr>
          <w:trHeight w:val="258"/>
        </w:trPr>
        <w:tc>
          <w:tcPr>
            <w:tcW w:w="2552" w:type="dxa"/>
            <w:tcBorders>
              <w:top w:val="single" w:sz="12" w:space="0" w:color="000000"/>
              <w:left w:val="single" w:sz="4" w:space="0" w:color="000000"/>
              <w:bottom w:val="nil"/>
              <w:right w:val="nil"/>
            </w:tcBorders>
            <w:shd w:val="clear" w:color="auto" w:fill="BFBFBF"/>
            <w:tcMar>
              <w:top w:w="80" w:type="dxa"/>
              <w:left w:w="80" w:type="dxa"/>
              <w:bottom w:w="80" w:type="dxa"/>
              <w:right w:w="80" w:type="dxa"/>
            </w:tcMar>
            <w:vAlign w:val="bottom"/>
          </w:tcPr>
          <w:p w:rsidR="005031CF" w:rsidRDefault="00042749">
            <w:pPr>
              <w:pStyle w:val="Body"/>
              <w:spacing w:after="0" w:line="240" w:lineRule="auto"/>
            </w:pPr>
            <w:r>
              <w:rPr>
                <w:rStyle w:val="None"/>
                <w:rFonts w:ascii="Arial" w:hAnsi="Arial"/>
                <w:lang w:val="en-US"/>
              </w:rPr>
              <w:t>SBUHB</w:t>
            </w:r>
          </w:p>
        </w:tc>
        <w:tc>
          <w:tcPr>
            <w:tcW w:w="1440" w:type="dxa"/>
            <w:tcBorders>
              <w:top w:val="single" w:sz="12" w:space="0" w:color="000000"/>
              <w:left w:val="nil"/>
              <w:bottom w:val="nil"/>
              <w:right w:val="nil"/>
            </w:tcBorders>
            <w:shd w:val="clear" w:color="auto" w:fill="BFBFBF"/>
            <w:tcMar>
              <w:top w:w="80" w:type="dxa"/>
              <w:left w:w="80" w:type="dxa"/>
              <w:bottom w:w="80" w:type="dxa"/>
              <w:right w:w="80" w:type="dxa"/>
            </w:tcMar>
            <w:vAlign w:val="bottom"/>
          </w:tcPr>
          <w:p w:rsidR="005031CF" w:rsidRDefault="00042749">
            <w:pPr>
              <w:pStyle w:val="Body"/>
              <w:spacing w:after="0" w:line="240" w:lineRule="auto"/>
              <w:jc w:val="right"/>
            </w:pPr>
            <w:r>
              <w:rPr>
                <w:rStyle w:val="None"/>
                <w:rFonts w:ascii="Arial" w:hAnsi="Arial"/>
                <w:lang w:val="en-US"/>
              </w:rPr>
              <w:t>5.4%</w:t>
            </w:r>
          </w:p>
        </w:tc>
        <w:tc>
          <w:tcPr>
            <w:tcW w:w="1158" w:type="dxa"/>
            <w:tcBorders>
              <w:top w:val="single" w:sz="12" w:space="0" w:color="000000"/>
              <w:left w:val="nil"/>
              <w:bottom w:val="nil"/>
              <w:right w:val="nil"/>
            </w:tcBorders>
            <w:shd w:val="clear" w:color="auto" w:fill="BFBFBF"/>
            <w:tcMar>
              <w:top w:w="80" w:type="dxa"/>
              <w:left w:w="80" w:type="dxa"/>
              <w:bottom w:w="80" w:type="dxa"/>
              <w:right w:w="80" w:type="dxa"/>
            </w:tcMar>
            <w:vAlign w:val="bottom"/>
          </w:tcPr>
          <w:p w:rsidR="005031CF" w:rsidRDefault="00042749">
            <w:pPr>
              <w:pStyle w:val="Body"/>
              <w:spacing w:after="0" w:line="240" w:lineRule="auto"/>
              <w:jc w:val="right"/>
            </w:pPr>
            <w:r>
              <w:rPr>
                <w:rStyle w:val="None"/>
                <w:rFonts w:ascii="Arial" w:hAnsi="Arial"/>
                <w:lang w:val="en-US"/>
              </w:rPr>
              <w:t>12.0%</w:t>
            </w:r>
          </w:p>
        </w:tc>
        <w:tc>
          <w:tcPr>
            <w:tcW w:w="1158" w:type="dxa"/>
            <w:tcBorders>
              <w:top w:val="single" w:sz="12" w:space="0" w:color="000000"/>
              <w:left w:val="nil"/>
              <w:bottom w:val="nil"/>
              <w:right w:val="nil"/>
            </w:tcBorders>
            <w:shd w:val="clear" w:color="auto" w:fill="BFBFBF"/>
            <w:tcMar>
              <w:top w:w="80" w:type="dxa"/>
              <w:left w:w="80" w:type="dxa"/>
              <w:bottom w:w="80" w:type="dxa"/>
              <w:right w:w="80" w:type="dxa"/>
            </w:tcMar>
            <w:vAlign w:val="bottom"/>
          </w:tcPr>
          <w:p w:rsidR="005031CF" w:rsidRDefault="00042749">
            <w:pPr>
              <w:pStyle w:val="Body"/>
              <w:spacing w:after="0" w:line="240" w:lineRule="auto"/>
              <w:jc w:val="right"/>
            </w:pPr>
            <w:r>
              <w:rPr>
                <w:rStyle w:val="None"/>
                <w:rFonts w:ascii="Arial" w:hAnsi="Arial"/>
                <w:lang w:val="en-US"/>
              </w:rPr>
              <w:t>8.6%</w:t>
            </w:r>
          </w:p>
        </w:tc>
        <w:tc>
          <w:tcPr>
            <w:tcW w:w="1488" w:type="dxa"/>
            <w:tcBorders>
              <w:top w:val="single" w:sz="12" w:space="0" w:color="000000"/>
              <w:left w:val="nil"/>
              <w:bottom w:val="nil"/>
              <w:right w:val="single" w:sz="4" w:space="0" w:color="000000"/>
            </w:tcBorders>
            <w:shd w:val="clear" w:color="auto" w:fill="BFBFBF"/>
            <w:tcMar>
              <w:top w:w="80" w:type="dxa"/>
              <w:left w:w="80" w:type="dxa"/>
              <w:bottom w:w="80" w:type="dxa"/>
              <w:right w:w="80" w:type="dxa"/>
            </w:tcMar>
            <w:vAlign w:val="bottom"/>
          </w:tcPr>
          <w:p w:rsidR="005031CF" w:rsidRDefault="00042749">
            <w:pPr>
              <w:pStyle w:val="Body"/>
              <w:spacing w:after="0" w:line="240" w:lineRule="auto"/>
              <w:jc w:val="right"/>
            </w:pPr>
            <w:r>
              <w:rPr>
                <w:rStyle w:val="None"/>
                <w:rFonts w:ascii="Arial" w:hAnsi="Arial"/>
                <w:lang w:val="en-US"/>
              </w:rPr>
              <w:t>378,835</w:t>
            </w:r>
          </w:p>
        </w:tc>
      </w:tr>
      <w:tr w:rsidR="005031CF">
        <w:trPr>
          <w:trHeight w:val="253"/>
        </w:trPr>
        <w:tc>
          <w:tcPr>
            <w:tcW w:w="2552" w:type="dxa"/>
            <w:tcBorders>
              <w:top w:val="nil"/>
              <w:left w:val="single" w:sz="4" w:space="0" w:color="000000"/>
              <w:bottom w:val="nil"/>
              <w:right w:val="nil"/>
            </w:tcBorders>
            <w:shd w:val="clear" w:color="auto" w:fill="auto"/>
            <w:tcMar>
              <w:top w:w="80" w:type="dxa"/>
              <w:left w:w="80" w:type="dxa"/>
              <w:bottom w:w="80" w:type="dxa"/>
              <w:right w:w="80" w:type="dxa"/>
            </w:tcMar>
            <w:vAlign w:val="bottom"/>
          </w:tcPr>
          <w:p w:rsidR="005031CF" w:rsidRDefault="005031CF"/>
        </w:tc>
        <w:tc>
          <w:tcPr>
            <w:tcW w:w="1440" w:type="dxa"/>
            <w:tcBorders>
              <w:top w:val="nil"/>
              <w:left w:val="nil"/>
              <w:bottom w:val="nil"/>
              <w:right w:val="nil"/>
            </w:tcBorders>
            <w:shd w:val="clear" w:color="auto" w:fill="auto"/>
            <w:tcMar>
              <w:top w:w="80" w:type="dxa"/>
              <w:left w:w="80" w:type="dxa"/>
              <w:bottom w:w="80" w:type="dxa"/>
              <w:right w:w="80" w:type="dxa"/>
            </w:tcMar>
            <w:vAlign w:val="bottom"/>
          </w:tcPr>
          <w:p w:rsidR="005031CF" w:rsidRDefault="005031CF"/>
        </w:tc>
        <w:tc>
          <w:tcPr>
            <w:tcW w:w="1158" w:type="dxa"/>
            <w:tcBorders>
              <w:top w:val="nil"/>
              <w:left w:val="nil"/>
              <w:bottom w:val="nil"/>
              <w:right w:val="nil"/>
            </w:tcBorders>
            <w:shd w:val="clear" w:color="auto" w:fill="auto"/>
            <w:tcMar>
              <w:top w:w="80" w:type="dxa"/>
              <w:left w:w="80" w:type="dxa"/>
              <w:bottom w:w="80" w:type="dxa"/>
              <w:right w:w="80" w:type="dxa"/>
            </w:tcMar>
            <w:vAlign w:val="bottom"/>
          </w:tcPr>
          <w:p w:rsidR="005031CF" w:rsidRDefault="005031CF"/>
        </w:tc>
        <w:tc>
          <w:tcPr>
            <w:tcW w:w="1158" w:type="dxa"/>
            <w:tcBorders>
              <w:top w:val="nil"/>
              <w:left w:val="nil"/>
              <w:bottom w:val="nil"/>
              <w:right w:val="nil"/>
            </w:tcBorders>
            <w:shd w:val="clear" w:color="auto" w:fill="auto"/>
            <w:tcMar>
              <w:top w:w="80" w:type="dxa"/>
              <w:left w:w="80" w:type="dxa"/>
              <w:bottom w:w="80" w:type="dxa"/>
              <w:right w:w="80" w:type="dxa"/>
            </w:tcMar>
            <w:vAlign w:val="bottom"/>
          </w:tcPr>
          <w:p w:rsidR="005031CF" w:rsidRDefault="005031CF"/>
        </w:tc>
        <w:tc>
          <w:tcPr>
            <w:tcW w:w="1488" w:type="dxa"/>
            <w:tcBorders>
              <w:top w:val="nil"/>
              <w:left w:val="nil"/>
              <w:bottom w:val="nil"/>
              <w:right w:val="single" w:sz="4" w:space="0" w:color="000000"/>
            </w:tcBorders>
            <w:shd w:val="clear" w:color="auto" w:fill="auto"/>
            <w:tcMar>
              <w:top w:w="80" w:type="dxa"/>
              <w:left w:w="80" w:type="dxa"/>
              <w:bottom w:w="80" w:type="dxa"/>
              <w:right w:w="80" w:type="dxa"/>
            </w:tcMar>
            <w:vAlign w:val="bottom"/>
          </w:tcPr>
          <w:p w:rsidR="005031CF" w:rsidRDefault="005031CF"/>
        </w:tc>
      </w:tr>
      <w:tr w:rsidR="005031CF">
        <w:trPr>
          <w:trHeight w:val="253"/>
        </w:trPr>
        <w:tc>
          <w:tcPr>
            <w:tcW w:w="2552" w:type="dxa"/>
            <w:tcBorders>
              <w:top w:val="nil"/>
              <w:left w:val="single" w:sz="4" w:space="0" w:color="000000"/>
              <w:bottom w:val="nil"/>
              <w:right w:val="nil"/>
            </w:tcBorders>
            <w:shd w:val="clear" w:color="auto" w:fill="auto"/>
            <w:tcMar>
              <w:top w:w="80" w:type="dxa"/>
              <w:left w:w="80" w:type="dxa"/>
              <w:bottom w:w="80" w:type="dxa"/>
              <w:right w:w="80" w:type="dxa"/>
            </w:tcMar>
            <w:vAlign w:val="bottom"/>
          </w:tcPr>
          <w:p w:rsidR="005031CF" w:rsidRDefault="00042749">
            <w:pPr>
              <w:pStyle w:val="Body"/>
              <w:spacing w:after="0" w:line="240" w:lineRule="auto"/>
              <w:ind w:firstLine="220"/>
            </w:pPr>
            <w:r>
              <w:rPr>
                <w:rStyle w:val="None"/>
                <w:rFonts w:ascii="Arial" w:hAnsi="Arial"/>
                <w:i/>
                <w:iCs/>
                <w:lang w:val="en-US"/>
              </w:rPr>
              <w:t>Neath Port Talbot</w:t>
            </w:r>
          </w:p>
        </w:tc>
        <w:tc>
          <w:tcPr>
            <w:tcW w:w="1440" w:type="dxa"/>
            <w:tcBorders>
              <w:top w:val="nil"/>
              <w:left w:val="nil"/>
              <w:bottom w:val="nil"/>
              <w:right w:val="nil"/>
            </w:tcBorders>
            <w:shd w:val="clear" w:color="auto" w:fill="auto"/>
            <w:tcMar>
              <w:top w:w="80" w:type="dxa"/>
              <w:left w:w="80" w:type="dxa"/>
              <w:bottom w:w="80" w:type="dxa"/>
              <w:right w:w="80" w:type="dxa"/>
            </w:tcMar>
            <w:vAlign w:val="bottom"/>
          </w:tcPr>
          <w:p w:rsidR="005031CF" w:rsidRDefault="00042749">
            <w:pPr>
              <w:pStyle w:val="Body"/>
              <w:spacing w:after="0" w:line="240" w:lineRule="auto"/>
              <w:jc w:val="right"/>
            </w:pPr>
            <w:r>
              <w:rPr>
                <w:rStyle w:val="None"/>
                <w:rFonts w:ascii="Arial" w:hAnsi="Arial"/>
                <w:i/>
                <w:iCs/>
                <w:lang w:val="en-US"/>
              </w:rPr>
              <w:t>6.4%</w:t>
            </w:r>
          </w:p>
        </w:tc>
        <w:tc>
          <w:tcPr>
            <w:tcW w:w="1158" w:type="dxa"/>
            <w:tcBorders>
              <w:top w:val="nil"/>
              <w:left w:val="nil"/>
              <w:bottom w:val="nil"/>
              <w:right w:val="nil"/>
            </w:tcBorders>
            <w:shd w:val="clear" w:color="auto" w:fill="auto"/>
            <w:tcMar>
              <w:top w:w="80" w:type="dxa"/>
              <w:left w:w="80" w:type="dxa"/>
              <w:bottom w:w="80" w:type="dxa"/>
              <w:right w:w="80" w:type="dxa"/>
            </w:tcMar>
            <w:vAlign w:val="bottom"/>
          </w:tcPr>
          <w:p w:rsidR="005031CF" w:rsidRDefault="00042749">
            <w:pPr>
              <w:pStyle w:val="Body"/>
              <w:spacing w:after="0" w:line="240" w:lineRule="auto"/>
              <w:jc w:val="right"/>
            </w:pPr>
            <w:r>
              <w:rPr>
                <w:rStyle w:val="None"/>
                <w:rFonts w:ascii="Arial" w:hAnsi="Arial"/>
                <w:i/>
                <w:iCs/>
                <w:lang w:val="en-US"/>
              </w:rPr>
              <w:t>15.3%</w:t>
            </w:r>
          </w:p>
        </w:tc>
        <w:tc>
          <w:tcPr>
            <w:tcW w:w="1158" w:type="dxa"/>
            <w:tcBorders>
              <w:top w:val="nil"/>
              <w:left w:val="nil"/>
              <w:bottom w:val="nil"/>
              <w:right w:val="nil"/>
            </w:tcBorders>
            <w:shd w:val="clear" w:color="auto" w:fill="auto"/>
            <w:tcMar>
              <w:top w:w="80" w:type="dxa"/>
              <w:left w:w="80" w:type="dxa"/>
              <w:bottom w:w="80" w:type="dxa"/>
              <w:right w:w="80" w:type="dxa"/>
            </w:tcMar>
            <w:vAlign w:val="bottom"/>
          </w:tcPr>
          <w:p w:rsidR="005031CF" w:rsidRDefault="00042749">
            <w:pPr>
              <w:pStyle w:val="Body"/>
              <w:spacing w:after="0" w:line="240" w:lineRule="auto"/>
              <w:jc w:val="right"/>
            </w:pPr>
            <w:r>
              <w:rPr>
                <w:rStyle w:val="None"/>
                <w:rFonts w:ascii="Arial" w:hAnsi="Arial"/>
                <w:i/>
                <w:iCs/>
                <w:lang w:val="en-US"/>
              </w:rPr>
              <w:t>10.8%</w:t>
            </w:r>
          </w:p>
        </w:tc>
        <w:tc>
          <w:tcPr>
            <w:tcW w:w="1488" w:type="dxa"/>
            <w:tcBorders>
              <w:top w:val="nil"/>
              <w:left w:val="nil"/>
              <w:bottom w:val="nil"/>
              <w:right w:val="single" w:sz="4" w:space="0" w:color="000000"/>
            </w:tcBorders>
            <w:shd w:val="clear" w:color="auto" w:fill="auto"/>
            <w:tcMar>
              <w:top w:w="80" w:type="dxa"/>
              <w:left w:w="80" w:type="dxa"/>
              <w:bottom w:w="80" w:type="dxa"/>
              <w:right w:w="80" w:type="dxa"/>
            </w:tcMar>
            <w:vAlign w:val="bottom"/>
          </w:tcPr>
          <w:p w:rsidR="005031CF" w:rsidRDefault="00042749">
            <w:pPr>
              <w:pStyle w:val="Body"/>
              <w:spacing w:after="0" w:line="240" w:lineRule="auto"/>
              <w:jc w:val="right"/>
            </w:pPr>
            <w:r>
              <w:rPr>
                <w:rStyle w:val="None"/>
                <w:rFonts w:ascii="Arial" w:hAnsi="Arial"/>
                <w:i/>
                <w:iCs/>
                <w:lang w:val="en-US"/>
              </w:rPr>
              <w:t>135,278</w:t>
            </w:r>
          </w:p>
        </w:tc>
      </w:tr>
      <w:tr w:rsidR="005031CF">
        <w:trPr>
          <w:trHeight w:val="248"/>
        </w:trPr>
        <w:tc>
          <w:tcPr>
            <w:tcW w:w="2552" w:type="dxa"/>
            <w:tcBorders>
              <w:top w:val="nil"/>
              <w:left w:val="single" w:sz="4" w:space="0" w:color="000000"/>
              <w:bottom w:val="single" w:sz="4" w:space="0" w:color="000000"/>
              <w:right w:val="nil"/>
            </w:tcBorders>
            <w:shd w:val="clear" w:color="auto" w:fill="auto"/>
            <w:tcMar>
              <w:top w:w="80" w:type="dxa"/>
              <w:left w:w="80" w:type="dxa"/>
              <w:bottom w:w="80" w:type="dxa"/>
              <w:right w:w="80" w:type="dxa"/>
            </w:tcMar>
            <w:vAlign w:val="bottom"/>
          </w:tcPr>
          <w:p w:rsidR="005031CF" w:rsidRDefault="00042749">
            <w:pPr>
              <w:pStyle w:val="Body"/>
              <w:spacing w:after="0" w:line="240" w:lineRule="auto"/>
              <w:ind w:firstLine="220"/>
            </w:pPr>
            <w:r>
              <w:rPr>
                <w:rStyle w:val="None"/>
                <w:rFonts w:ascii="Arial" w:hAnsi="Arial"/>
                <w:i/>
                <w:iCs/>
                <w:lang w:val="en-US"/>
              </w:rPr>
              <w:t>Swansea</w:t>
            </w:r>
          </w:p>
        </w:tc>
        <w:tc>
          <w:tcPr>
            <w:tcW w:w="1440" w:type="dxa"/>
            <w:tcBorders>
              <w:top w:val="nil"/>
              <w:left w:val="nil"/>
              <w:bottom w:val="single" w:sz="4" w:space="0" w:color="000000"/>
              <w:right w:val="nil"/>
            </w:tcBorders>
            <w:shd w:val="clear" w:color="auto" w:fill="auto"/>
            <w:tcMar>
              <w:top w:w="80" w:type="dxa"/>
              <w:left w:w="80" w:type="dxa"/>
              <w:bottom w:w="80" w:type="dxa"/>
              <w:right w:w="80" w:type="dxa"/>
            </w:tcMar>
            <w:vAlign w:val="bottom"/>
          </w:tcPr>
          <w:p w:rsidR="005031CF" w:rsidRDefault="00042749">
            <w:pPr>
              <w:pStyle w:val="Body"/>
              <w:spacing w:after="0" w:line="240" w:lineRule="auto"/>
              <w:jc w:val="right"/>
            </w:pPr>
            <w:r>
              <w:rPr>
                <w:rStyle w:val="None"/>
                <w:rFonts w:ascii="Arial" w:hAnsi="Arial"/>
                <w:i/>
                <w:iCs/>
                <w:lang w:val="en-US"/>
              </w:rPr>
              <w:t>5.5%</w:t>
            </w:r>
          </w:p>
        </w:tc>
        <w:tc>
          <w:tcPr>
            <w:tcW w:w="1158" w:type="dxa"/>
            <w:tcBorders>
              <w:top w:val="nil"/>
              <w:left w:val="nil"/>
              <w:bottom w:val="single" w:sz="4" w:space="0" w:color="000000"/>
              <w:right w:val="nil"/>
            </w:tcBorders>
            <w:shd w:val="clear" w:color="auto" w:fill="auto"/>
            <w:tcMar>
              <w:top w:w="80" w:type="dxa"/>
              <w:left w:w="80" w:type="dxa"/>
              <w:bottom w:w="80" w:type="dxa"/>
              <w:right w:w="80" w:type="dxa"/>
            </w:tcMar>
            <w:vAlign w:val="bottom"/>
          </w:tcPr>
          <w:p w:rsidR="005031CF" w:rsidRDefault="00042749">
            <w:pPr>
              <w:pStyle w:val="Body"/>
              <w:spacing w:after="0" w:line="240" w:lineRule="auto"/>
              <w:jc w:val="right"/>
            </w:pPr>
            <w:r>
              <w:rPr>
                <w:rStyle w:val="None"/>
                <w:rFonts w:ascii="Arial" w:hAnsi="Arial"/>
                <w:i/>
                <w:iCs/>
                <w:lang w:val="en-US"/>
              </w:rPr>
              <w:t>11.4%</w:t>
            </w:r>
          </w:p>
        </w:tc>
        <w:tc>
          <w:tcPr>
            <w:tcW w:w="1158" w:type="dxa"/>
            <w:tcBorders>
              <w:top w:val="nil"/>
              <w:left w:val="nil"/>
              <w:bottom w:val="single" w:sz="4" w:space="0" w:color="000000"/>
              <w:right w:val="nil"/>
            </w:tcBorders>
            <w:shd w:val="clear" w:color="auto" w:fill="auto"/>
            <w:tcMar>
              <w:top w:w="80" w:type="dxa"/>
              <w:left w:w="80" w:type="dxa"/>
              <w:bottom w:w="80" w:type="dxa"/>
              <w:right w:w="80" w:type="dxa"/>
            </w:tcMar>
            <w:vAlign w:val="bottom"/>
          </w:tcPr>
          <w:p w:rsidR="005031CF" w:rsidRDefault="00042749">
            <w:pPr>
              <w:pStyle w:val="Body"/>
              <w:spacing w:after="0" w:line="240" w:lineRule="auto"/>
              <w:jc w:val="right"/>
            </w:pPr>
            <w:r>
              <w:rPr>
                <w:rStyle w:val="None"/>
                <w:rFonts w:ascii="Arial" w:hAnsi="Arial"/>
                <w:i/>
                <w:iCs/>
                <w:lang w:val="en-US"/>
              </w:rPr>
              <w:t>8.1%</w:t>
            </w:r>
          </w:p>
        </w:tc>
        <w:tc>
          <w:tcPr>
            <w:tcW w:w="1488" w:type="dxa"/>
            <w:tcBorders>
              <w:top w:val="nil"/>
              <w:left w:val="nil"/>
              <w:bottom w:val="single" w:sz="4" w:space="0" w:color="000000"/>
              <w:right w:val="single" w:sz="4" w:space="0" w:color="000000"/>
            </w:tcBorders>
            <w:shd w:val="clear" w:color="auto" w:fill="auto"/>
            <w:tcMar>
              <w:top w:w="80" w:type="dxa"/>
              <w:left w:w="80" w:type="dxa"/>
              <w:bottom w:w="80" w:type="dxa"/>
              <w:right w:w="80" w:type="dxa"/>
            </w:tcMar>
            <w:vAlign w:val="bottom"/>
          </w:tcPr>
          <w:p w:rsidR="005031CF" w:rsidRDefault="00042749">
            <w:pPr>
              <w:pStyle w:val="Body"/>
              <w:spacing w:after="0" w:line="240" w:lineRule="auto"/>
              <w:jc w:val="right"/>
            </w:pPr>
            <w:r>
              <w:rPr>
                <w:rStyle w:val="None"/>
                <w:rFonts w:ascii="Arial" w:hAnsi="Arial"/>
                <w:i/>
                <w:iCs/>
                <w:lang w:val="en-US"/>
              </w:rPr>
              <w:t>231,155</w:t>
            </w:r>
          </w:p>
        </w:tc>
      </w:tr>
      <w:tr w:rsidR="005031CF">
        <w:trPr>
          <w:trHeight w:val="253"/>
        </w:trPr>
        <w:tc>
          <w:tcPr>
            <w:tcW w:w="2552" w:type="dxa"/>
            <w:tcBorders>
              <w:top w:val="single" w:sz="4" w:space="0" w:color="000000"/>
              <w:left w:val="single" w:sz="4" w:space="0" w:color="000000"/>
              <w:bottom w:val="single" w:sz="12" w:space="0" w:color="000000"/>
              <w:right w:val="nil"/>
            </w:tcBorders>
            <w:shd w:val="clear" w:color="auto" w:fill="auto"/>
            <w:tcMar>
              <w:top w:w="80" w:type="dxa"/>
              <w:left w:w="80" w:type="dxa"/>
              <w:bottom w:w="80" w:type="dxa"/>
              <w:right w:w="80" w:type="dxa"/>
            </w:tcMar>
            <w:vAlign w:val="bottom"/>
          </w:tcPr>
          <w:p w:rsidR="005031CF" w:rsidRDefault="00042749">
            <w:pPr>
              <w:pStyle w:val="Body"/>
              <w:spacing w:after="0" w:line="240" w:lineRule="auto"/>
            </w:pPr>
            <w:r>
              <w:rPr>
                <w:rStyle w:val="None"/>
                <w:rFonts w:ascii="Arial" w:hAnsi="Arial"/>
                <w:b/>
                <w:bCs/>
                <w:lang w:val="en-US"/>
              </w:rPr>
              <w:t>Wales</w:t>
            </w:r>
          </w:p>
        </w:tc>
        <w:tc>
          <w:tcPr>
            <w:tcW w:w="1440" w:type="dxa"/>
            <w:tcBorders>
              <w:top w:val="single" w:sz="4" w:space="0" w:color="000000"/>
              <w:left w:val="nil"/>
              <w:bottom w:val="single" w:sz="12" w:space="0" w:color="000000"/>
              <w:right w:val="nil"/>
            </w:tcBorders>
            <w:shd w:val="clear" w:color="auto" w:fill="auto"/>
            <w:tcMar>
              <w:top w:w="80" w:type="dxa"/>
              <w:left w:w="80" w:type="dxa"/>
              <w:bottom w:w="80" w:type="dxa"/>
              <w:right w:w="80" w:type="dxa"/>
            </w:tcMar>
            <w:vAlign w:val="bottom"/>
          </w:tcPr>
          <w:p w:rsidR="005031CF" w:rsidRDefault="00042749">
            <w:pPr>
              <w:pStyle w:val="Body"/>
              <w:spacing w:after="0" w:line="240" w:lineRule="auto"/>
              <w:jc w:val="right"/>
            </w:pPr>
            <w:r>
              <w:rPr>
                <w:rStyle w:val="None"/>
                <w:rFonts w:ascii="Arial" w:hAnsi="Arial"/>
                <w:b/>
                <w:bCs/>
                <w:lang w:val="en-US"/>
              </w:rPr>
              <w:t>5.3%</w:t>
            </w:r>
          </w:p>
        </w:tc>
        <w:tc>
          <w:tcPr>
            <w:tcW w:w="1158" w:type="dxa"/>
            <w:tcBorders>
              <w:top w:val="single" w:sz="4" w:space="0" w:color="000000"/>
              <w:left w:val="nil"/>
              <w:bottom w:val="single" w:sz="12" w:space="0" w:color="000000"/>
              <w:right w:val="nil"/>
            </w:tcBorders>
            <w:shd w:val="clear" w:color="auto" w:fill="auto"/>
            <w:tcMar>
              <w:top w:w="80" w:type="dxa"/>
              <w:left w:w="80" w:type="dxa"/>
              <w:bottom w:w="80" w:type="dxa"/>
              <w:right w:w="80" w:type="dxa"/>
            </w:tcMar>
            <w:vAlign w:val="bottom"/>
          </w:tcPr>
          <w:p w:rsidR="005031CF" w:rsidRDefault="00042749">
            <w:pPr>
              <w:pStyle w:val="Body"/>
              <w:spacing w:after="0" w:line="240" w:lineRule="auto"/>
              <w:jc w:val="right"/>
            </w:pPr>
            <w:r>
              <w:rPr>
                <w:rStyle w:val="None"/>
                <w:rFonts w:ascii="Arial" w:hAnsi="Arial"/>
                <w:b/>
                <w:bCs/>
                <w:lang w:val="en-US"/>
              </w:rPr>
              <w:t>19.0%</w:t>
            </w:r>
          </w:p>
        </w:tc>
        <w:tc>
          <w:tcPr>
            <w:tcW w:w="1158" w:type="dxa"/>
            <w:tcBorders>
              <w:top w:val="single" w:sz="4" w:space="0" w:color="000000"/>
              <w:left w:val="nil"/>
              <w:bottom w:val="single" w:sz="12" w:space="0" w:color="000000"/>
              <w:right w:val="nil"/>
            </w:tcBorders>
            <w:shd w:val="clear" w:color="auto" w:fill="auto"/>
            <w:tcMar>
              <w:top w:w="80" w:type="dxa"/>
              <w:left w:w="80" w:type="dxa"/>
              <w:bottom w:w="80" w:type="dxa"/>
              <w:right w:w="80" w:type="dxa"/>
            </w:tcMar>
            <w:vAlign w:val="bottom"/>
          </w:tcPr>
          <w:p w:rsidR="005031CF" w:rsidRDefault="00042749">
            <w:pPr>
              <w:pStyle w:val="Body"/>
              <w:spacing w:after="0" w:line="240" w:lineRule="auto"/>
              <w:jc w:val="right"/>
            </w:pPr>
            <w:r>
              <w:rPr>
                <w:rStyle w:val="None"/>
                <w:rFonts w:ascii="Arial" w:hAnsi="Arial"/>
                <w:b/>
                <w:bCs/>
                <w:lang w:val="en-US"/>
              </w:rPr>
              <w:t>14.6%</w:t>
            </w:r>
          </w:p>
        </w:tc>
        <w:tc>
          <w:tcPr>
            <w:tcW w:w="1488" w:type="dxa"/>
            <w:tcBorders>
              <w:top w:val="single" w:sz="4" w:space="0" w:color="000000"/>
              <w:left w:val="nil"/>
              <w:bottom w:val="single" w:sz="12" w:space="0" w:color="000000"/>
              <w:right w:val="single" w:sz="4" w:space="0" w:color="000000"/>
            </w:tcBorders>
            <w:shd w:val="clear" w:color="auto" w:fill="auto"/>
            <w:tcMar>
              <w:top w:w="80" w:type="dxa"/>
              <w:left w:w="80" w:type="dxa"/>
              <w:bottom w:w="80" w:type="dxa"/>
              <w:right w:w="80" w:type="dxa"/>
            </w:tcMar>
            <w:vAlign w:val="bottom"/>
          </w:tcPr>
          <w:p w:rsidR="005031CF" w:rsidRDefault="00042749">
            <w:pPr>
              <w:pStyle w:val="Body"/>
              <w:spacing w:after="0" w:line="240" w:lineRule="auto"/>
              <w:jc w:val="right"/>
            </w:pPr>
            <w:r>
              <w:rPr>
                <w:rStyle w:val="None"/>
                <w:rFonts w:ascii="Arial" w:hAnsi="Arial"/>
                <w:b/>
                <w:bCs/>
                <w:lang w:val="en-US"/>
              </w:rPr>
              <w:t>2,955,841</w:t>
            </w:r>
          </w:p>
        </w:tc>
      </w:tr>
    </w:tbl>
    <w:p w:rsidR="005031CF" w:rsidRDefault="005031CF">
      <w:pPr>
        <w:pStyle w:val="Caption"/>
        <w:keepNext/>
        <w:widowControl w:val="0"/>
        <w:spacing w:after="240"/>
        <w:ind w:left="108" w:hanging="108"/>
      </w:pPr>
    </w:p>
    <w:p w:rsidR="005031CF" w:rsidRDefault="00042749">
      <w:pPr>
        <w:pStyle w:val="Body"/>
        <w:spacing w:after="0" w:line="240" w:lineRule="auto"/>
      </w:pPr>
      <w:r>
        <w:rPr>
          <w:rStyle w:val="Hyperlink2"/>
          <w:lang w:val="en-US"/>
        </w:rPr>
        <w:t>(Source: Table KS208WA 2011 Census, ONS. All usual residents aged 3 years and over)</w:t>
      </w:r>
    </w:p>
    <w:p w:rsidR="005031CF" w:rsidRDefault="005031CF">
      <w:pPr>
        <w:pStyle w:val="Body"/>
        <w:spacing w:after="0" w:line="240" w:lineRule="auto"/>
      </w:pPr>
    </w:p>
    <w:p w:rsidR="005031CF" w:rsidRDefault="00042749">
      <w:pPr>
        <w:pStyle w:val="Body"/>
        <w:spacing w:after="0" w:line="240" w:lineRule="auto"/>
      </w:pPr>
      <w:r>
        <w:rPr>
          <w:rStyle w:val="None"/>
          <w:rFonts w:ascii="Arial" w:hAnsi="Arial"/>
          <w:sz w:val="28"/>
          <w:szCs w:val="28"/>
          <w:lang w:val="en-US"/>
        </w:rPr>
        <w:t>At the local authority level there are noticeable differences between the local authorities.</w:t>
      </w:r>
    </w:p>
    <w:p w:rsidR="005031CF" w:rsidRDefault="005031CF">
      <w:pPr>
        <w:pStyle w:val="Body"/>
        <w:spacing w:after="0" w:line="240" w:lineRule="auto"/>
      </w:pPr>
    </w:p>
    <w:p w:rsidR="005031CF" w:rsidRDefault="00042749">
      <w:pPr>
        <w:pStyle w:val="Body"/>
        <w:spacing w:after="0" w:line="240" w:lineRule="auto"/>
      </w:pPr>
      <w:r>
        <w:rPr>
          <w:rStyle w:val="None"/>
          <w:rFonts w:ascii="Arial" w:hAnsi="Arial"/>
          <w:sz w:val="28"/>
          <w:szCs w:val="28"/>
          <w:lang w:val="en-US"/>
        </w:rPr>
        <w:t>It is anticipated that any impact the proposed service changes may have relating to the Welsh Language is upon the ability of patients to receive and communicate about their health care provision in the language of their preference, as staff may not be Welsh language speakers. The service does however have a list of staff within the Health Board that are Welsh Language speakers and these can be accessed currently prior to this proposed change and would continue to be accessible if the change was to proceed.</w:t>
      </w:r>
    </w:p>
    <w:p w:rsidR="005031CF" w:rsidRDefault="005031CF">
      <w:pPr>
        <w:pStyle w:val="Body"/>
        <w:spacing w:after="0" w:line="240" w:lineRule="auto"/>
      </w:pPr>
    </w:p>
    <w:p w:rsidR="005031CF" w:rsidRDefault="00042749">
      <w:pPr>
        <w:pStyle w:val="Body"/>
        <w:spacing w:after="0" w:line="240" w:lineRule="auto"/>
      </w:pPr>
      <w:r>
        <w:rPr>
          <w:rStyle w:val="None"/>
          <w:rFonts w:ascii="Arial" w:hAnsi="Arial"/>
          <w:sz w:val="28"/>
          <w:szCs w:val="28"/>
          <w:lang w:val="en-US"/>
        </w:rPr>
        <w:lastRenderedPageBreak/>
        <w:t>Further work is needed to explore whether there is potential differential impact in respect of the use of the Welsh Language.  However, based on the currently available evidence, no impact is anticipated on this protected characteristic group at this stage.</w:t>
      </w:r>
    </w:p>
    <w:p w:rsidR="005031CF" w:rsidRDefault="005031CF">
      <w:pPr>
        <w:pStyle w:val="Body"/>
        <w:spacing w:after="0" w:line="240" w:lineRule="auto"/>
      </w:pPr>
    </w:p>
    <w:p w:rsidR="005031CF" w:rsidRDefault="00042749">
      <w:pPr>
        <w:pStyle w:val="Heading3"/>
        <w:ind w:left="360"/>
      </w:pPr>
      <w:r>
        <w:rPr>
          <w:rStyle w:val="None"/>
          <w:b/>
          <w:bCs/>
          <w:i/>
          <w:iCs/>
          <w:sz w:val="28"/>
          <w:szCs w:val="28"/>
        </w:rPr>
        <w:t xml:space="preserve">Unpaid Carers </w:t>
      </w:r>
    </w:p>
    <w:p w:rsidR="005031CF" w:rsidRDefault="005031CF">
      <w:pPr>
        <w:pStyle w:val="Body"/>
        <w:spacing w:after="0" w:line="240" w:lineRule="auto"/>
      </w:pPr>
    </w:p>
    <w:p w:rsidR="005031CF" w:rsidRDefault="00042749">
      <w:pPr>
        <w:pStyle w:val="Default"/>
      </w:pPr>
      <w:r>
        <w:rPr>
          <w:rStyle w:val="None"/>
          <w:sz w:val="28"/>
          <w:szCs w:val="28"/>
        </w:rPr>
        <w:t xml:space="preserve">The majority of residents in the SBUHB area (86.8%) and Wales (87.9%) provide no unpaid care. This is relatively consistent across the health board. The 2011 Census data shows that the proportion of people providing unpaid care in the ABMUHB area is around 7% for one to 19 hours of unpaid care, decreasing to 2% for 20 to 49 hours of unpaid care, but then increasing to 4% to 5% for 50 or more hours of unpaid care. </w:t>
      </w:r>
    </w:p>
    <w:p w:rsidR="005031CF" w:rsidRDefault="005031CF">
      <w:pPr>
        <w:pStyle w:val="Default"/>
      </w:pPr>
    </w:p>
    <w:p w:rsidR="005031CF" w:rsidRDefault="00042749">
      <w:pPr>
        <w:pStyle w:val="Default"/>
      </w:pPr>
      <w:r>
        <w:rPr>
          <w:rStyle w:val="None"/>
          <w:sz w:val="28"/>
          <w:szCs w:val="28"/>
        </w:rPr>
        <w:t xml:space="preserve">At a health board level, SBUHB has the highest proportions of unpaid care provision, both reporting 2.0% for 20 to 49 hours of unpaid care, and 4% for 50 or more hours of unpaid care.  At a local authority level for 20 to 49 hours of unpaid care, Neath Port Talbot has the highest proportion of unpaid care, reporting 2.3%. For 50 or more hours of unpaid care at a local authority level, Neath Port Talbot has the highest proportion (4.8%). </w:t>
      </w:r>
    </w:p>
    <w:p w:rsidR="005031CF" w:rsidRDefault="005031CF">
      <w:pPr>
        <w:pStyle w:val="Default"/>
      </w:pPr>
    </w:p>
    <w:p w:rsidR="005031CF" w:rsidRDefault="00042749">
      <w:pPr>
        <w:pStyle w:val="Default"/>
      </w:pPr>
      <w:r>
        <w:rPr>
          <w:rStyle w:val="None"/>
          <w:sz w:val="28"/>
          <w:szCs w:val="28"/>
        </w:rPr>
        <w:t>Data from Carers UK</w:t>
      </w:r>
      <w:r>
        <w:rPr>
          <w:rStyle w:val="None"/>
          <w:rFonts w:eastAsia="Arial" w:cs="Arial"/>
          <w:sz w:val="28"/>
          <w:szCs w:val="28"/>
          <w:vertAlign w:val="superscript"/>
        </w:rPr>
        <w:footnoteReference w:id="4"/>
      </w:r>
      <w:r>
        <w:rPr>
          <w:rStyle w:val="None"/>
          <w:sz w:val="28"/>
          <w:szCs w:val="28"/>
        </w:rPr>
        <w:t xml:space="preserve"> shows that: </w:t>
      </w:r>
    </w:p>
    <w:p w:rsidR="005031CF" w:rsidRDefault="00042749">
      <w:pPr>
        <w:pStyle w:val="Default"/>
        <w:numPr>
          <w:ilvl w:val="0"/>
          <w:numId w:val="11"/>
        </w:numPr>
        <w:rPr>
          <w:sz w:val="28"/>
          <w:szCs w:val="28"/>
        </w:rPr>
      </w:pPr>
      <w:r>
        <w:rPr>
          <w:rStyle w:val="None"/>
          <w:sz w:val="28"/>
          <w:szCs w:val="28"/>
        </w:rPr>
        <w:t>58% of carers are women, and 42% are men</w:t>
      </w:r>
    </w:p>
    <w:p w:rsidR="005031CF" w:rsidRDefault="00042749">
      <w:pPr>
        <w:pStyle w:val="Default"/>
        <w:numPr>
          <w:ilvl w:val="0"/>
          <w:numId w:val="11"/>
        </w:numPr>
        <w:rPr>
          <w:sz w:val="28"/>
          <w:szCs w:val="28"/>
        </w:rPr>
      </w:pPr>
      <w:r>
        <w:rPr>
          <w:rStyle w:val="None"/>
          <w:sz w:val="28"/>
          <w:szCs w:val="28"/>
        </w:rPr>
        <w:t>Over 1 million people care for more than one person.</w:t>
      </w:r>
    </w:p>
    <w:p w:rsidR="005031CF" w:rsidRDefault="00042749">
      <w:pPr>
        <w:pStyle w:val="Default"/>
        <w:numPr>
          <w:ilvl w:val="0"/>
          <w:numId w:val="11"/>
        </w:numPr>
        <w:rPr>
          <w:sz w:val="28"/>
          <w:szCs w:val="28"/>
        </w:rPr>
      </w:pPr>
      <w:r>
        <w:rPr>
          <w:rStyle w:val="None"/>
          <w:sz w:val="28"/>
          <w:szCs w:val="28"/>
        </w:rPr>
        <w:t>72% of carers responding to Carers UK's State of Caring Survey said they had suffered mental ill health as a result of caring.</w:t>
      </w:r>
    </w:p>
    <w:p w:rsidR="005031CF" w:rsidRDefault="00042749">
      <w:pPr>
        <w:pStyle w:val="Default"/>
        <w:numPr>
          <w:ilvl w:val="0"/>
          <w:numId w:val="11"/>
        </w:numPr>
        <w:rPr>
          <w:sz w:val="28"/>
          <w:szCs w:val="28"/>
        </w:rPr>
      </w:pPr>
      <w:r>
        <w:rPr>
          <w:rStyle w:val="None"/>
          <w:sz w:val="28"/>
          <w:szCs w:val="28"/>
        </w:rPr>
        <w:t>61% of carers responding to Carers UK's State of Caring Survey said they had suffered physical ill health as a result of caring.</w:t>
      </w:r>
    </w:p>
    <w:p w:rsidR="005031CF" w:rsidRDefault="00042749">
      <w:pPr>
        <w:pStyle w:val="Default"/>
        <w:numPr>
          <w:ilvl w:val="0"/>
          <w:numId w:val="11"/>
        </w:numPr>
        <w:rPr>
          <w:sz w:val="28"/>
          <w:szCs w:val="28"/>
        </w:rPr>
      </w:pPr>
      <w:r>
        <w:rPr>
          <w:rStyle w:val="None"/>
          <w:sz w:val="28"/>
          <w:szCs w:val="28"/>
        </w:rPr>
        <w:t>Over 1.3 million people provide over 50 hours of care per week.</w:t>
      </w:r>
    </w:p>
    <w:p w:rsidR="005031CF" w:rsidRDefault="005031CF">
      <w:pPr>
        <w:pStyle w:val="Default"/>
      </w:pPr>
    </w:p>
    <w:p w:rsidR="005031CF" w:rsidRDefault="00042749">
      <w:pPr>
        <w:pStyle w:val="Default"/>
      </w:pPr>
      <w:r>
        <w:rPr>
          <w:rStyle w:val="None"/>
          <w:sz w:val="28"/>
          <w:szCs w:val="28"/>
        </w:rPr>
        <w:t>The change in service model may have an impact on the demands of this particular group in relation to the caring role which would need further exploration as part of the engagement process specifically for the group that would be accessing the service described in the change.</w:t>
      </w:r>
    </w:p>
    <w:p w:rsidR="005031CF" w:rsidRDefault="005031CF">
      <w:pPr>
        <w:pStyle w:val="Default"/>
      </w:pPr>
    </w:p>
    <w:p w:rsidR="005031CF" w:rsidRDefault="00042749">
      <w:pPr>
        <w:pStyle w:val="Heading3"/>
        <w:ind w:left="360"/>
      </w:pPr>
      <w:bookmarkStart w:id="5" w:name="_Ref519062781"/>
      <w:r>
        <w:rPr>
          <w:rStyle w:val="None"/>
          <w:b/>
          <w:bCs/>
          <w:i/>
          <w:iCs/>
          <w:sz w:val="28"/>
          <w:szCs w:val="28"/>
          <w:lang w:val="it-IT"/>
        </w:rPr>
        <w:t>Socio-economic status</w:t>
      </w:r>
      <w:bookmarkEnd w:id="5"/>
    </w:p>
    <w:p w:rsidR="005031CF" w:rsidRDefault="00042749">
      <w:pPr>
        <w:pStyle w:val="Body"/>
      </w:pPr>
      <w:r>
        <w:rPr>
          <w:rStyle w:val="Hyperlink0"/>
          <w:lang w:val="en-US"/>
        </w:rPr>
        <w:t xml:space="preserve">The Socio-economic Duty came into force on the 31 March 2021 in Wales. It will need to ensure that those taking strategic decisions take account of evidence and potential impact, through consultation and </w:t>
      </w:r>
      <w:r>
        <w:rPr>
          <w:rStyle w:val="Hyperlink0"/>
          <w:lang w:val="en-US"/>
        </w:rPr>
        <w:lastRenderedPageBreak/>
        <w:t>engagement, understand the views and needs of those impacted by the decision, particularly those who suffer socio-economic disadvantage, welcome challenge and scrutiny, and drive a change in the way that decisions are made and the way that decision makers operate.</w:t>
      </w:r>
    </w:p>
    <w:p w:rsidR="005031CF" w:rsidRDefault="005031CF">
      <w:pPr>
        <w:pStyle w:val="NormalWeb"/>
        <w:spacing w:before="0" w:after="0"/>
      </w:pPr>
    </w:p>
    <w:p w:rsidR="005031CF" w:rsidRDefault="00042749">
      <w:pPr>
        <w:pStyle w:val="NormalWeb"/>
        <w:spacing w:before="0" w:after="0"/>
      </w:pPr>
      <w:r>
        <w:rPr>
          <w:rStyle w:val="None"/>
          <w:rFonts w:ascii="Arial" w:hAnsi="Arial"/>
          <w:sz w:val="28"/>
          <w:szCs w:val="28"/>
        </w:rPr>
        <w:t>The World Health Organisation (2004)</w:t>
      </w:r>
      <w:r>
        <w:rPr>
          <w:rStyle w:val="None"/>
          <w:rFonts w:ascii="Arial" w:eastAsia="Arial" w:hAnsi="Arial" w:cs="Arial"/>
          <w:sz w:val="28"/>
          <w:szCs w:val="28"/>
          <w:vertAlign w:val="superscript"/>
        </w:rPr>
        <w:footnoteReference w:id="5"/>
      </w:r>
      <w:r>
        <w:rPr>
          <w:rStyle w:val="None"/>
          <w:rFonts w:ascii="Arial" w:hAnsi="Arial"/>
          <w:sz w:val="28"/>
          <w:szCs w:val="28"/>
        </w:rPr>
        <w:t xml:space="preserve"> notes that:</w:t>
      </w:r>
    </w:p>
    <w:p w:rsidR="005031CF" w:rsidRDefault="00042749">
      <w:pPr>
        <w:pStyle w:val="Body"/>
        <w:spacing w:after="0" w:line="240" w:lineRule="auto"/>
        <w:ind w:left="284" w:right="284"/>
      </w:pPr>
      <w:r>
        <w:rPr>
          <w:rStyle w:val="None"/>
          <w:rFonts w:ascii="Arial" w:hAnsi="Arial"/>
          <w:sz w:val="28"/>
          <w:szCs w:val="28"/>
          <w:lang w:val="en-US"/>
        </w:rPr>
        <w:t>“</w:t>
      </w:r>
      <w:r>
        <w:rPr>
          <w:rStyle w:val="None"/>
          <w:rFonts w:ascii="Arial" w:hAnsi="Arial"/>
          <w:i/>
          <w:iCs/>
          <w:sz w:val="28"/>
          <w:szCs w:val="28"/>
          <w:lang w:val="en-US"/>
        </w:rPr>
        <w:t>The social conditions in which people live powerfully influence their chances to be healthy. Indeed, factors such as poverty, social exclusion and discrimination, poor housing, unhealthy early childhood conditions and low occupational status are important determinants of most diseases, deaths and health inequalities between and within countries</w:t>
      </w:r>
      <w:r>
        <w:rPr>
          <w:rStyle w:val="None"/>
          <w:rFonts w:ascii="Arial" w:hAnsi="Arial"/>
          <w:sz w:val="28"/>
          <w:szCs w:val="28"/>
          <w:lang w:val="en-US"/>
        </w:rPr>
        <w:t>”</w:t>
      </w:r>
    </w:p>
    <w:p w:rsidR="005031CF" w:rsidRDefault="005031CF">
      <w:pPr>
        <w:pStyle w:val="Body"/>
        <w:spacing w:after="0" w:line="240" w:lineRule="auto"/>
        <w:ind w:right="284"/>
      </w:pPr>
    </w:p>
    <w:p w:rsidR="005031CF" w:rsidRDefault="00042749">
      <w:pPr>
        <w:pStyle w:val="Body"/>
        <w:spacing w:after="0" w:line="240" w:lineRule="auto"/>
      </w:pPr>
      <w:r>
        <w:rPr>
          <w:rStyle w:val="Hyperlink0"/>
          <w:lang w:val="en-US"/>
        </w:rPr>
        <w:t>SBUHB covers a large geographical area and is one of the most densely populated Health Boards in Wales with 466 persons per square km. Within the Health Board there are almost twice as many people living per square km in Swansea compared to Neath Port Talbot.</w:t>
      </w:r>
    </w:p>
    <w:p w:rsidR="005031CF" w:rsidRDefault="005031CF">
      <w:pPr>
        <w:pStyle w:val="Body"/>
        <w:spacing w:after="0"/>
      </w:pPr>
    </w:p>
    <w:p w:rsidR="005031CF" w:rsidRDefault="00042749">
      <w:pPr>
        <w:pStyle w:val="ListParagraph"/>
        <w:spacing w:line="240" w:lineRule="auto"/>
        <w:ind w:hanging="578"/>
      </w:pPr>
      <w:r>
        <w:rPr>
          <w:rStyle w:val="None"/>
          <w:rFonts w:ascii="Arial" w:hAnsi="Arial"/>
          <w:b/>
          <w:bCs/>
          <w:sz w:val="24"/>
          <w:szCs w:val="24"/>
        </w:rPr>
        <w:t>Table 12: Population density for Swansea Bay University Health Board area</w:t>
      </w:r>
    </w:p>
    <w:tbl>
      <w:tblPr>
        <w:tblW w:w="6660" w:type="dxa"/>
        <w:tblInd w:w="216"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D0DDEF"/>
        <w:tblLayout w:type="fixed"/>
        <w:tblLook w:val="04A0" w:firstRow="1" w:lastRow="0" w:firstColumn="1" w:lastColumn="0" w:noHBand="0" w:noVBand="1"/>
      </w:tblPr>
      <w:tblGrid>
        <w:gridCol w:w="4140"/>
        <w:gridCol w:w="2520"/>
      </w:tblGrid>
      <w:tr w:rsidR="005031CF">
        <w:trPr>
          <w:trHeight w:val="282"/>
        </w:trPr>
        <w:tc>
          <w:tcPr>
            <w:tcW w:w="4140"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5031CF" w:rsidRDefault="00042749">
            <w:pPr>
              <w:pStyle w:val="Body"/>
              <w:spacing w:after="0" w:line="240" w:lineRule="auto"/>
            </w:pPr>
            <w:r>
              <w:rPr>
                <w:rStyle w:val="None"/>
                <w:rFonts w:ascii="Arial" w:hAnsi="Arial"/>
                <w:b/>
                <w:bCs/>
                <w:sz w:val="24"/>
                <w:szCs w:val="24"/>
                <w:lang w:val="en-US"/>
              </w:rPr>
              <w:t>Locality</w:t>
            </w:r>
          </w:p>
        </w:tc>
        <w:tc>
          <w:tcPr>
            <w:tcW w:w="2520"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5031CF" w:rsidRDefault="00042749">
            <w:pPr>
              <w:pStyle w:val="Body"/>
              <w:spacing w:after="0" w:line="240" w:lineRule="auto"/>
              <w:jc w:val="right"/>
            </w:pPr>
            <w:r>
              <w:rPr>
                <w:rStyle w:val="None"/>
                <w:rFonts w:ascii="Arial" w:hAnsi="Arial"/>
                <w:b/>
                <w:bCs/>
                <w:sz w:val="24"/>
                <w:szCs w:val="24"/>
                <w:lang w:val="en-US"/>
              </w:rPr>
              <w:t>Population per km</w:t>
            </w:r>
            <w:r>
              <w:rPr>
                <w:rStyle w:val="None"/>
                <w:rFonts w:ascii="Arial" w:hAnsi="Arial"/>
                <w:b/>
                <w:bCs/>
                <w:sz w:val="24"/>
                <w:szCs w:val="24"/>
                <w:vertAlign w:val="superscript"/>
                <w:lang w:val="en-US"/>
              </w:rPr>
              <w:t>2</w:t>
            </w:r>
          </w:p>
        </w:tc>
      </w:tr>
      <w:tr w:rsidR="005031CF">
        <w:trPr>
          <w:trHeight w:val="282"/>
        </w:trPr>
        <w:tc>
          <w:tcPr>
            <w:tcW w:w="414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Default="00042749">
            <w:pPr>
              <w:pStyle w:val="Body"/>
              <w:spacing w:after="0" w:line="240" w:lineRule="auto"/>
            </w:pPr>
            <w:r>
              <w:rPr>
                <w:rStyle w:val="None"/>
                <w:rFonts w:ascii="Arial" w:hAnsi="Arial"/>
                <w:sz w:val="24"/>
                <w:szCs w:val="24"/>
                <w:lang w:val="en-US"/>
              </w:rPr>
              <w:t>Swansea</w:t>
            </w:r>
          </w:p>
        </w:tc>
        <w:tc>
          <w:tcPr>
            <w:tcW w:w="252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Default="00042749">
            <w:pPr>
              <w:pStyle w:val="Body"/>
              <w:spacing w:after="0" w:line="240" w:lineRule="auto"/>
              <w:jc w:val="right"/>
            </w:pPr>
            <w:r>
              <w:rPr>
                <w:rStyle w:val="None"/>
                <w:rFonts w:ascii="Arial" w:hAnsi="Arial"/>
                <w:sz w:val="24"/>
                <w:szCs w:val="24"/>
                <w:lang w:val="en-US"/>
              </w:rPr>
              <w:t>603.2</w:t>
            </w:r>
          </w:p>
        </w:tc>
      </w:tr>
      <w:tr w:rsidR="005031CF">
        <w:trPr>
          <w:trHeight w:val="282"/>
        </w:trPr>
        <w:tc>
          <w:tcPr>
            <w:tcW w:w="414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Default="00042749">
            <w:pPr>
              <w:pStyle w:val="Body"/>
              <w:spacing w:after="0" w:line="240" w:lineRule="auto"/>
            </w:pPr>
            <w:r>
              <w:rPr>
                <w:rStyle w:val="None"/>
                <w:rFonts w:ascii="Arial" w:hAnsi="Arial"/>
                <w:sz w:val="24"/>
                <w:szCs w:val="24"/>
                <w:lang w:val="en-US"/>
              </w:rPr>
              <w:t>Neath Port Talbot</w:t>
            </w:r>
          </w:p>
        </w:tc>
        <w:tc>
          <w:tcPr>
            <w:tcW w:w="252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031CF" w:rsidRDefault="00042749">
            <w:pPr>
              <w:pStyle w:val="Body"/>
              <w:spacing w:after="0" w:line="240" w:lineRule="auto"/>
              <w:jc w:val="right"/>
            </w:pPr>
            <w:r>
              <w:rPr>
                <w:rStyle w:val="None"/>
                <w:rFonts w:ascii="Arial" w:hAnsi="Arial"/>
                <w:sz w:val="24"/>
                <w:szCs w:val="24"/>
                <w:lang w:val="en-US"/>
              </w:rPr>
              <w:t>310.6</w:t>
            </w:r>
          </w:p>
        </w:tc>
      </w:tr>
    </w:tbl>
    <w:p w:rsidR="005031CF" w:rsidRDefault="005031CF">
      <w:pPr>
        <w:pStyle w:val="ListParagraph"/>
        <w:widowControl w:val="0"/>
        <w:spacing w:line="240" w:lineRule="auto"/>
        <w:ind w:left="108" w:hanging="108"/>
      </w:pPr>
    </w:p>
    <w:p w:rsidR="005031CF" w:rsidRDefault="005031CF">
      <w:pPr>
        <w:pStyle w:val="Body"/>
        <w:spacing w:after="0" w:line="240" w:lineRule="auto"/>
        <w:ind w:right="284"/>
      </w:pPr>
    </w:p>
    <w:p w:rsidR="005031CF" w:rsidRDefault="00042749">
      <w:pPr>
        <w:pStyle w:val="Body"/>
      </w:pPr>
      <w:r>
        <w:rPr>
          <w:rStyle w:val="Hyperlink0"/>
          <w:lang w:val="en-US"/>
        </w:rPr>
        <w:t>Further work is needed to explore whether there is potential differential impact in respect of the proposed change would have regarding the social economic status of the people that maybe be affected by the proposed change in the Older Peoples Mental Health Services.</w:t>
      </w:r>
      <w:r>
        <w:rPr>
          <w:rStyle w:val="Hyperlink0"/>
          <w:lang w:val="en-US"/>
        </w:rPr>
        <w:br/>
      </w:r>
    </w:p>
    <w:p w:rsidR="005031CF" w:rsidRDefault="00042749">
      <w:pPr>
        <w:pStyle w:val="Body"/>
      </w:pPr>
      <w:r>
        <w:rPr>
          <w:rStyle w:val="Hyperlink0"/>
          <w:lang w:val="en-US"/>
        </w:rPr>
        <w:t>The proposed changes are still maintaining levels of services for the whole population for the SBUHB area regarding the provision of Older Peoples Mental Health services, but just in a different type of model.</w:t>
      </w:r>
    </w:p>
    <w:p w:rsidR="005031CF" w:rsidRDefault="005031CF">
      <w:pPr>
        <w:pStyle w:val="Body"/>
      </w:pPr>
    </w:p>
    <w:p w:rsidR="005031CF" w:rsidRDefault="005031CF">
      <w:pPr>
        <w:pStyle w:val="Body"/>
      </w:pPr>
    </w:p>
    <w:p w:rsidR="005031CF" w:rsidRDefault="005031CF">
      <w:pPr>
        <w:pStyle w:val="Body"/>
      </w:pPr>
    </w:p>
    <w:p w:rsidR="005031CF" w:rsidRDefault="005031CF">
      <w:pPr>
        <w:pStyle w:val="Caption"/>
        <w:keepNext/>
        <w:spacing w:after="240"/>
        <w:sectPr w:rsidR="005031CF">
          <w:pgSz w:w="11900" w:h="16840"/>
          <w:pgMar w:top="1440" w:right="1440" w:bottom="1440" w:left="1440" w:header="708" w:footer="708" w:gutter="0"/>
          <w:cols w:space="720"/>
        </w:sectPr>
      </w:pPr>
    </w:p>
    <w:p w:rsidR="005031CF" w:rsidRDefault="005031CF">
      <w:pPr>
        <w:pStyle w:val="Body"/>
        <w:spacing w:after="0" w:line="240" w:lineRule="auto"/>
      </w:pPr>
    </w:p>
    <w:p w:rsidR="005031CF" w:rsidRDefault="005031CF">
      <w:pPr>
        <w:pStyle w:val="Body"/>
        <w:spacing w:after="0" w:line="240" w:lineRule="auto"/>
        <w:ind w:right="284"/>
      </w:pPr>
    </w:p>
    <w:p w:rsidR="005031CF" w:rsidRDefault="005031CF">
      <w:pPr>
        <w:pStyle w:val="Body"/>
        <w:spacing w:after="0" w:line="240" w:lineRule="auto"/>
        <w:ind w:right="284"/>
      </w:pPr>
    </w:p>
    <w:p w:rsidR="005031CF" w:rsidRDefault="00042749">
      <w:pPr>
        <w:pStyle w:val="Heading"/>
        <w:numPr>
          <w:ilvl w:val="0"/>
          <w:numId w:val="12"/>
        </w:numPr>
      </w:pPr>
      <w:r>
        <w:rPr>
          <w:lang w:val="en-US"/>
        </w:rPr>
        <w:t>Assessment of relevance and impact on SBUHB Staff</w:t>
      </w:r>
    </w:p>
    <w:p w:rsidR="005031CF" w:rsidRDefault="00042749">
      <w:pPr>
        <w:pStyle w:val="Body"/>
        <w:spacing w:after="0" w:line="240" w:lineRule="auto"/>
      </w:pPr>
      <w:r>
        <w:rPr>
          <w:rStyle w:val="None"/>
          <w:rFonts w:ascii="Arial" w:hAnsi="Arial"/>
          <w:sz w:val="28"/>
          <w:szCs w:val="28"/>
          <w:lang w:val="en-US"/>
        </w:rPr>
        <w:t xml:space="preserve">The preceding section focused on </w:t>
      </w:r>
      <w:r>
        <w:rPr>
          <w:rStyle w:val="Hyperlink0"/>
          <w:lang w:val="en-US"/>
        </w:rPr>
        <w:t xml:space="preserve">the potential for impact on the public by each protected characteristic. </w:t>
      </w:r>
    </w:p>
    <w:p w:rsidR="005031CF" w:rsidRDefault="005031CF">
      <w:pPr>
        <w:pStyle w:val="Body"/>
        <w:spacing w:after="0" w:line="240" w:lineRule="auto"/>
        <w:ind w:right="284"/>
      </w:pPr>
    </w:p>
    <w:p w:rsidR="005031CF" w:rsidRDefault="00042749">
      <w:pPr>
        <w:pStyle w:val="Body"/>
        <w:spacing w:after="0" w:line="240" w:lineRule="auto"/>
        <w:ind w:right="284"/>
      </w:pPr>
      <w:r>
        <w:rPr>
          <w:rStyle w:val="None"/>
          <w:rFonts w:ascii="Arial" w:hAnsi="Arial"/>
          <w:sz w:val="28"/>
          <w:szCs w:val="28"/>
          <w:lang w:val="en-US"/>
        </w:rPr>
        <w:t xml:space="preserve">All staff currently working within Older Peoples Mental Health Services within SBUHB are in scope of these service changes. Staff who are on secondment will be managed in accordance with their permanent/substantive post and secondment agreements will transfer to their substantive posts. </w:t>
      </w:r>
    </w:p>
    <w:p w:rsidR="005031CF" w:rsidRDefault="005031CF">
      <w:pPr>
        <w:pStyle w:val="Body"/>
        <w:spacing w:after="0" w:line="240" w:lineRule="auto"/>
        <w:ind w:right="284"/>
      </w:pPr>
    </w:p>
    <w:p w:rsidR="005031CF" w:rsidRDefault="00042749">
      <w:pPr>
        <w:pStyle w:val="Body"/>
        <w:spacing w:after="0" w:line="240" w:lineRule="auto"/>
        <w:ind w:right="284"/>
      </w:pPr>
      <w:r>
        <w:rPr>
          <w:rStyle w:val="None"/>
          <w:rFonts w:ascii="Arial" w:hAnsi="Arial"/>
          <w:sz w:val="28"/>
          <w:szCs w:val="28"/>
          <w:lang w:val="en-US"/>
        </w:rPr>
        <w:t>For some of our staff this will mean a permanent change of base for their work.  Any staff affected by these proposed changes will be provided with the available options for redeployment into existing vacancies or utilised across other areas with their individual needs addressed as far as possible.  There is no risk to the employment of any of our staff.</w:t>
      </w:r>
    </w:p>
    <w:p w:rsidR="005031CF" w:rsidRDefault="005031CF">
      <w:pPr>
        <w:pStyle w:val="Body"/>
        <w:spacing w:after="0" w:line="240" w:lineRule="auto"/>
        <w:ind w:right="284"/>
      </w:pPr>
    </w:p>
    <w:p w:rsidR="005031CF" w:rsidRDefault="00042749">
      <w:pPr>
        <w:pStyle w:val="Body"/>
        <w:spacing w:after="0" w:line="240" w:lineRule="auto"/>
        <w:ind w:right="284"/>
      </w:pPr>
      <w:r>
        <w:rPr>
          <w:rStyle w:val="None"/>
          <w:rFonts w:ascii="Arial" w:hAnsi="Arial"/>
          <w:sz w:val="28"/>
          <w:szCs w:val="28"/>
          <w:lang w:val="en-US"/>
        </w:rPr>
        <w:t>It is not possible at this stage of the EIA to assess fully the potential equality impact on staff and this will need to be further explored throughout the process.  All staff will be part of the formal process of Organisational Change within the Health Board and full engagement will take place with all staff and their staff side organisations in a planned and constructive manner.</w:t>
      </w:r>
    </w:p>
    <w:p w:rsidR="005031CF" w:rsidRDefault="005031CF">
      <w:pPr>
        <w:pStyle w:val="Body"/>
        <w:spacing w:after="0" w:line="240" w:lineRule="auto"/>
        <w:ind w:right="284"/>
      </w:pPr>
    </w:p>
    <w:p w:rsidR="005031CF" w:rsidRDefault="00042749">
      <w:pPr>
        <w:pStyle w:val="Body"/>
        <w:spacing w:after="0" w:line="240" w:lineRule="auto"/>
        <w:ind w:right="284"/>
      </w:pPr>
      <w:r>
        <w:rPr>
          <w:rStyle w:val="None"/>
          <w:rFonts w:ascii="Arial" w:hAnsi="Arial"/>
          <w:sz w:val="28"/>
          <w:szCs w:val="28"/>
          <w:lang w:val="en-US"/>
        </w:rPr>
        <w:t>However, the ongoing use of agency staff is costing the Health Board both financial and also has the potential to impact on the quality of services provided to the patients, which is better provided by permanent staffing.</w:t>
      </w:r>
    </w:p>
    <w:p w:rsidR="005031CF" w:rsidRDefault="005031CF">
      <w:pPr>
        <w:pStyle w:val="Body"/>
        <w:spacing w:after="0" w:line="240" w:lineRule="auto"/>
        <w:ind w:right="284"/>
      </w:pPr>
    </w:p>
    <w:p w:rsidR="005031CF" w:rsidRDefault="00042749">
      <w:pPr>
        <w:pStyle w:val="Body"/>
        <w:spacing w:after="0" w:line="240" w:lineRule="auto"/>
        <w:ind w:right="284"/>
      </w:pPr>
      <w:r>
        <w:rPr>
          <w:rStyle w:val="None"/>
          <w:rFonts w:ascii="Arial" w:hAnsi="Arial"/>
          <w:sz w:val="28"/>
          <w:szCs w:val="28"/>
          <w:lang w:val="en-US"/>
        </w:rPr>
        <w:t xml:space="preserve">The proposed bed reduction in Older People’s Mental Health beds within SBUHB will provide a cost saving of £1.1milion.  This saving will be achieved while still delivering the same levels of service to the same numbers of patients with less reliance on the inpatient model and more focus on the community model of service.  </w:t>
      </w:r>
    </w:p>
    <w:p w:rsidR="005031CF" w:rsidRDefault="005031CF">
      <w:pPr>
        <w:pStyle w:val="Body"/>
        <w:spacing w:after="0" w:line="240" w:lineRule="auto"/>
        <w:ind w:right="284"/>
      </w:pPr>
    </w:p>
    <w:p w:rsidR="005031CF" w:rsidRDefault="005031CF">
      <w:pPr>
        <w:pStyle w:val="Body"/>
        <w:spacing w:after="0" w:line="240" w:lineRule="auto"/>
        <w:ind w:right="284"/>
      </w:pPr>
    </w:p>
    <w:p w:rsidR="005031CF" w:rsidRDefault="005031CF">
      <w:pPr>
        <w:pStyle w:val="Body"/>
        <w:spacing w:after="0" w:line="240" w:lineRule="auto"/>
        <w:ind w:right="284"/>
      </w:pPr>
    </w:p>
    <w:p w:rsidR="00042749" w:rsidRDefault="00042749">
      <w:pPr>
        <w:pStyle w:val="Body"/>
        <w:spacing w:after="0" w:line="240" w:lineRule="auto"/>
        <w:ind w:right="284"/>
      </w:pPr>
    </w:p>
    <w:p w:rsidR="00042749" w:rsidRDefault="00042749">
      <w:pPr>
        <w:pStyle w:val="Body"/>
        <w:spacing w:after="0" w:line="240" w:lineRule="auto"/>
        <w:ind w:right="284"/>
      </w:pPr>
    </w:p>
    <w:p w:rsidR="005031CF" w:rsidRDefault="005031CF">
      <w:pPr>
        <w:pStyle w:val="Body"/>
        <w:spacing w:after="0" w:line="240" w:lineRule="auto"/>
        <w:ind w:right="284"/>
      </w:pPr>
    </w:p>
    <w:p w:rsidR="005031CF" w:rsidRDefault="005031CF">
      <w:pPr>
        <w:pStyle w:val="Body"/>
        <w:spacing w:after="0" w:line="240" w:lineRule="auto"/>
        <w:ind w:right="284"/>
      </w:pPr>
    </w:p>
    <w:p w:rsidR="005031CF" w:rsidRDefault="00042749">
      <w:pPr>
        <w:pStyle w:val="Body"/>
      </w:pPr>
      <w:r>
        <w:rPr>
          <w:rStyle w:val="None"/>
          <w:rFonts w:ascii="Arial" w:hAnsi="Arial"/>
          <w:b/>
          <w:bCs/>
          <w:sz w:val="32"/>
          <w:szCs w:val="32"/>
          <w:lang w:val="en-US"/>
        </w:rPr>
        <w:lastRenderedPageBreak/>
        <w:t>Human Rights</w:t>
      </w:r>
    </w:p>
    <w:p w:rsidR="005031CF" w:rsidRDefault="00042749">
      <w:pPr>
        <w:pStyle w:val="Body"/>
        <w:spacing w:after="0" w:line="240" w:lineRule="auto"/>
      </w:pPr>
      <w:r>
        <w:rPr>
          <w:rStyle w:val="None"/>
          <w:rFonts w:ascii="Arial" w:hAnsi="Arial"/>
          <w:sz w:val="28"/>
          <w:szCs w:val="28"/>
          <w:lang w:val="en-US"/>
        </w:rPr>
        <w:t>This Stage 1 draft EIA needs to be cognisant of the European Convention on Human Rights incorporated into domestic law through the Human Rights Act 1998</w:t>
      </w:r>
      <w:r>
        <w:rPr>
          <w:rStyle w:val="None"/>
          <w:rFonts w:ascii="Arial" w:eastAsia="Arial" w:hAnsi="Arial" w:cs="Arial"/>
          <w:sz w:val="28"/>
          <w:szCs w:val="28"/>
          <w:vertAlign w:val="superscript"/>
        </w:rPr>
        <w:footnoteReference w:id="6"/>
      </w:r>
      <w:r>
        <w:rPr>
          <w:rStyle w:val="None"/>
          <w:rFonts w:ascii="Arial" w:hAnsi="Arial"/>
          <w:sz w:val="28"/>
          <w:szCs w:val="28"/>
          <w:lang w:val="en-US"/>
        </w:rPr>
        <w:t xml:space="preserve"> as well as international treaties. Everyone has the right to participate in decisions which affect their human rights. The convention on the rights of people with disabilities contains protection of the right to participate in decisions and access to support for participation and access to information.</w:t>
      </w:r>
    </w:p>
    <w:p w:rsidR="005031CF" w:rsidRDefault="005031CF">
      <w:pPr>
        <w:pStyle w:val="Body"/>
        <w:spacing w:after="0" w:line="240" w:lineRule="auto"/>
      </w:pPr>
    </w:p>
    <w:p w:rsidR="005031CF" w:rsidRDefault="00042749">
      <w:pPr>
        <w:pStyle w:val="Body"/>
        <w:spacing w:after="0" w:line="240" w:lineRule="auto"/>
      </w:pPr>
      <w:r>
        <w:rPr>
          <w:rStyle w:val="None"/>
          <w:rFonts w:ascii="Arial" w:hAnsi="Arial"/>
          <w:sz w:val="28"/>
          <w:szCs w:val="28"/>
          <w:lang w:val="en-US"/>
        </w:rPr>
        <w:t>In producing this EIA we have considered the potential of the proposed service changes to impact upon the following rights under the Human Rights Act 1998:</w:t>
      </w:r>
    </w:p>
    <w:p w:rsidR="005031CF" w:rsidRDefault="005031CF">
      <w:pPr>
        <w:pStyle w:val="Body"/>
        <w:spacing w:after="0" w:line="240" w:lineRule="auto"/>
      </w:pPr>
    </w:p>
    <w:p w:rsidR="005031CF" w:rsidRDefault="00042749">
      <w:pPr>
        <w:pStyle w:val="ListParagraph"/>
        <w:numPr>
          <w:ilvl w:val="0"/>
          <w:numId w:val="14"/>
        </w:numPr>
        <w:spacing w:after="0" w:line="240" w:lineRule="auto"/>
        <w:rPr>
          <w:rFonts w:ascii="Arial" w:hAnsi="Arial"/>
          <w:sz w:val="28"/>
          <w:szCs w:val="28"/>
        </w:rPr>
      </w:pPr>
      <w:r>
        <w:rPr>
          <w:rStyle w:val="None"/>
          <w:rFonts w:ascii="Arial" w:hAnsi="Arial"/>
          <w:sz w:val="28"/>
          <w:szCs w:val="28"/>
        </w:rPr>
        <w:t>Article 2: The right to life</w:t>
      </w:r>
    </w:p>
    <w:p w:rsidR="005031CF" w:rsidRDefault="00042749">
      <w:pPr>
        <w:pStyle w:val="ListParagraph"/>
        <w:numPr>
          <w:ilvl w:val="0"/>
          <w:numId w:val="14"/>
        </w:numPr>
        <w:spacing w:after="0" w:line="240" w:lineRule="auto"/>
        <w:rPr>
          <w:rFonts w:ascii="Arial" w:hAnsi="Arial"/>
          <w:sz w:val="28"/>
          <w:szCs w:val="28"/>
        </w:rPr>
      </w:pPr>
      <w:r>
        <w:rPr>
          <w:rStyle w:val="None"/>
          <w:rFonts w:ascii="Arial" w:hAnsi="Arial"/>
          <w:sz w:val="28"/>
          <w:szCs w:val="28"/>
        </w:rPr>
        <w:t>Article 3: The right to freedom from torture or inhuman or degrading treatment</w:t>
      </w:r>
    </w:p>
    <w:p w:rsidR="005031CF" w:rsidRDefault="00042749">
      <w:pPr>
        <w:pStyle w:val="ListParagraph"/>
        <w:numPr>
          <w:ilvl w:val="0"/>
          <w:numId w:val="14"/>
        </w:numPr>
        <w:spacing w:after="0" w:line="240" w:lineRule="auto"/>
        <w:rPr>
          <w:rFonts w:ascii="Arial" w:hAnsi="Arial"/>
          <w:sz w:val="28"/>
          <w:szCs w:val="28"/>
        </w:rPr>
      </w:pPr>
      <w:r>
        <w:rPr>
          <w:rStyle w:val="None"/>
          <w:rFonts w:ascii="Arial" w:hAnsi="Arial"/>
          <w:sz w:val="28"/>
          <w:szCs w:val="28"/>
        </w:rPr>
        <w:t>Article 5: The right to freedom and liberty</w:t>
      </w:r>
    </w:p>
    <w:p w:rsidR="005031CF" w:rsidRDefault="00042749">
      <w:pPr>
        <w:pStyle w:val="ListParagraph"/>
        <w:numPr>
          <w:ilvl w:val="0"/>
          <w:numId w:val="14"/>
        </w:numPr>
        <w:spacing w:after="0" w:line="240" w:lineRule="auto"/>
        <w:rPr>
          <w:rFonts w:ascii="Arial" w:hAnsi="Arial"/>
          <w:sz w:val="28"/>
          <w:szCs w:val="28"/>
        </w:rPr>
      </w:pPr>
      <w:r>
        <w:rPr>
          <w:rStyle w:val="None"/>
          <w:rFonts w:ascii="Arial" w:hAnsi="Arial"/>
          <w:sz w:val="28"/>
          <w:szCs w:val="28"/>
        </w:rPr>
        <w:t>Article 6: The right to a fair trial</w:t>
      </w:r>
    </w:p>
    <w:p w:rsidR="005031CF" w:rsidRDefault="00042749">
      <w:pPr>
        <w:pStyle w:val="ListParagraph"/>
        <w:numPr>
          <w:ilvl w:val="0"/>
          <w:numId w:val="14"/>
        </w:numPr>
        <w:spacing w:after="0" w:line="240" w:lineRule="auto"/>
        <w:rPr>
          <w:rFonts w:ascii="Arial" w:hAnsi="Arial"/>
          <w:sz w:val="28"/>
          <w:szCs w:val="28"/>
        </w:rPr>
      </w:pPr>
      <w:r>
        <w:rPr>
          <w:rStyle w:val="None"/>
          <w:rFonts w:ascii="Arial" w:hAnsi="Arial"/>
          <w:sz w:val="28"/>
          <w:szCs w:val="28"/>
        </w:rPr>
        <w:t>Article 7: The right to no punishment without law</w:t>
      </w:r>
    </w:p>
    <w:p w:rsidR="005031CF" w:rsidRDefault="00042749">
      <w:pPr>
        <w:pStyle w:val="ListParagraph"/>
        <w:numPr>
          <w:ilvl w:val="0"/>
          <w:numId w:val="14"/>
        </w:numPr>
        <w:spacing w:after="0" w:line="240" w:lineRule="auto"/>
        <w:rPr>
          <w:rFonts w:ascii="Arial" w:hAnsi="Arial"/>
          <w:sz w:val="28"/>
          <w:szCs w:val="28"/>
        </w:rPr>
      </w:pPr>
      <w:r>
        <w:rPr>
          <w:rStyle w:val="None"/>
          <w:rFonts w:ascii="Arial" w:hAnsi="Arial"/>
          <w:sz w:val="28"/>
          <w:szCs w:val="28"/>
        </w:rPr>
        <w:t>Article 8: The right to respect for private and family life, home and correspondence</w:t>
      </w:r>
    </w:p>
    <w:p w:rsidR="005031CF" w:rsidRDefault="00042749">
      <w:pPr>
        <w:pStyle w:val="ListParagraph"/>
        <w:numPr>
          <w:ilvl w:val="0"/>
          <w:numId w:val="14"/>
        </w:numPr>
        <w:spacing w:after="0" w:line="240" w:lineRule="auto"/>
        <w:rPr>
          <w:rFonts w:ascii="Arial" w:hAnsi="Arial"/>
          <w:sz w:val="28"/>
          <w:szCs w:val="28"/>
        </w:rPr>
      </w:pPr>
      <w:r>
        <w:rPr>
          <w:rStyle w:val="None"/>
          <w:rFonts w:ascii="Arial" w:hAnsi="Arial"/>
          <w:sz w:val="28"/>
          <w:szCs w:val="28"/>
        </w:rPr>
        <w:t>Article 9: The right to freedom of thought, conscience and religion</w:t>
      </w:r>
    </w:p>
    <w:p w:rsidR="005031CF" w:rsidRDefault="00042749">
      <w:pPr>
        <w:pStyle w:val="ListParagraph"/>
        <w:numPr>
          <w:ilvl w:val="0"/>
          <w:numId w:val="14"/>
        </w:numPr>
        <w:spacing w:after="0" w:line="240" w:lineRule="auto"/>
        <w:rPr>
          <w:rFonts w:ascii="Arial" w:hAnsi="Arial"/>
          <w:sz w:val="28"/>
          <w:szCs w:val="28"/>
        </w:rPr>
      </w:pPr>
      <w:r>
        <w:rPr>
          <w:rStyle w:val="None"/>
          <w:rFonts w:ascii="Arial" w:hAnsi="Arial"/>
          <w:sz w:val="28"/>
          <w:szCs w:val="28"/>
        </w:rPr>
        <w:t>Article 10: The right to freedom of expression</w:t>
      </w:r>
    </w:p>
    <w:p w:rsidR="005031CF" w:rsidRDefault="00042749">
      <w:pPr>
        <w:pStyle w:val="ListParagraph"/>
        <w:numPr>
          <w:ilvl w:val="0"/>
          <w:numId w:val="14"/>
        </w:numPr>
        <w:spacing w:after="0" w:line="240" w:lineRule="auto"/>
        <w:rPr>
          <w:rFonts w:ascii="Arial" w:hAnsi="Arial"/>
          <w:sz w:val="28"/>
          <w:szCs w:val="28"/>
        </w:rPr>
      </w:pPr>
      <w:r>
        <w:rPr>
          <w:rStyle w:val="None"/>
          <w:rFonts w:ascii="Arial" w:hAnsi="Arial"/>
          <w:sz w:val="28"/>
          <w:szCs w:val="28"/>
        </w:rPr>
        <w:t>Article 11: Freedom of assembly and association.</w:t>
      </w:r>
    </w:p>
    <w:p w:rsidR="005031CF" w:rsidRDefault="00042749">
      <w:pPr>
        <w:pStyle w:val="ListParagraph"/>
        <w:numPr>
          <w:ilvl w:val="0"/>
          <w:numId w:val="14"/>
        </w:numPr>
        <w:spacing w:after="0" w:line="240" w:lineRule="auto"/>
        <w:rPr>
          <w:rFonts w:ascii="Arial" w:hAnsi="Arial"/>
          <w:sz w:val="28"/>
          <w:szCs w:val="28"/>
        </w:rPr>
      </w:pPr>
      <w:r>
        <w:rPr>
          <w:rStyle w:val="None"/>
          <w:rFonts w:ascii="Arial" w:hAnsi="Arial"/>
          <w:sz w:val="28"/>
          <w:szCs w:val="28"/>
        </w:rPr>
        <w:t>Article 12: The right to marry and found a family</w:t>
      </w:r>
    </w:p>
    <w:p w:rsidR="005031CF" w:rsidRDefault="00042749">
      <w:pPr>
        <w:pStyle w:val="ListParagraph"/>
        <w:numPr>
          <w:ilvl w:val="0"/>
          <w:numId w:val="14"/>
        </w:numPr>
        <w:spacing w:after="0" w:line="240" w:lineRule="auto"/>
        <w:rPr>
          <w:rFonts w:ascii="Arial" w:hAnsi="Arial"/>
          <w:sz w:val="28"/>
          <w:szCs w:val="28"/>
        </w:rPr>
      </w:pPr>
      <w:r>
        <w:rPr>
          <w:rStyle w:val="None"/>
          <w:rFonts w:ascii="Arial" w:hAnsi="Arial"/>
          <w:sz w:val="28"/>
          <w:szCs w:val="28"/>
        </w:rPr>
        <w:t>Article 14: The right not to be discriminated against in relation to any of the rights contained in the European Convention</w:t>
      </w:r>
    </w:p>
    <w:p w:rsidR="005031CF" w:rsidRDefault="005031CF">
      <w:pPr>
        <w:pStyle w:val="Body"/>
        <w:spacing w:after="0" w:line="240" w:lineRule="auto"/>
      </w:pPr>
    </w:p>
    <w:p w:rsidR="005031CF" w:rsidRDefault="00042749">
      <w:pPr>
        <w:pStyle w:val="Body"/>
        <w:spacing w:after="0" w:line="240" w:lineRule="auto"/>
      </w:pPr>
      <w:r>
        <w:rPr>
          <w:rStyle w:val="None"/>
          <w:rFonts w:ascii="Arial" w:hAnsi="Arial"/>
          <w:sz w:val="28"/>
          <w:szCs w:val="28"/>
          <w:lang w:val="en-US"/>
        </w:rPr>
        <w:t>People without a home will be differentially affected by a shift in focus to home based care and any circumstances like this would be identified as part of the individual’s assessment when referred to the service and appropriate action taken to rectify this particular situation.</w:t>
      </w:r>
    </w:p>
    <w:p w:rsidR="005031CF" w:rsidRDefault="005031CF">
      <w:pPr>
        <w:pStyle w:val="Body"/>
        <w:spacing w:after="0" w:line="240" w:lineRule="auto"/>
      </w:pPr>
    </w:p>
    <w:p w:rsidR="005031CF" w:rsidRDefault="00042749">
      <w:pPr>
        <w:pStyle w:val="Body"/>
        <w:spacing w:after="0" w:line="240" w:lineRule="auto"/>
      </w:pPr>
      <w:r>
        <w:rPr>
          <w:rStyle w:val="None"/>
          <w:rFonts w:ascii="Arial" w:hAnsi="Arial"/>
          <w:sz w:val="28"/>
          <w:szCs w:val="28"/>
          <w:lang w:val="en-US"/>
        </w:rPr>
        <w:t xml:space="preserve">In the previous temporary changes families had expressed concern that alongside the reduction on capacity combining wards would leave patients with less space as a consequence of restricting the wander loop within suite two at Tonna Hospital by a locked door to keep male and female patients apart.  There concerns were this could potentially increase anxiety in patients as they come up against barriers.  The review of this change and the monitoring of the aspects relating to this </w:t>
      </w:r>
      <w:r>
        <w:rPr>
          <w:rStyle w:val="None"/>
          <w:rFonts w:ascii="Arial" w:hAnsi="Arial"/>
          <w:sz w:val="28"/>
          <w:szCs w:val="28"/>
          <w:lang w:val="en-US"/>
        </w:rPr>
        <w:lastRenderedPageBreak/>
        <w:t>concern were monitoring over the past 12 months on suite two. The use of the locked door was not required as anticipated and it usage across that period of time has been very rare and the dividing door has remained open consistently during that time. The service has review the Health Boards Datix incident reporting system since the implementation of that temporary change and there has only been three incidents between both patients from both genders during that tie with no negative outcome of either patient. Mitigation to be employed includes the higher ratio of therapy staff to patients by combining wards which increases opportunities for off ward activities.</w:t>
      </w:r>
    </w:p>
    <w:p w:rsidR="005031CF" w:rsidRDefault="005031CF">
      <w:pPr>
        <w:pStyle w:val="Body"/>
        <w:spacing w:after="0" w:line="240" w:lineRule="auto"/>
      </w:pPr>
    </w:p>
    <w:p w:rsidR="005031CF" w:rsidRDefault="005031CF">
      <w:pPr>
        <w:pStyle w:val="Body"/>
        <w:spacing w:after="0" w:line="240" w:lineRule="auto"/>
      </w:pPr>
    </w:p>
    <w:p w:rsidR="005031CF" w:rsidRDefault="00042749">
      <w:pPr>
        <w:pStyle w:val="Body"/>
        <w:spacing w:after="0" w:line="240" w:lineRule="auto"/>
      </w:pPr>
      <w:r>
        <w:rPr>
          <w:rStyle w:val="None"/>
          <w:rFonts w:ascii="Arial" w:hAnsi="Arial"/>
          <w:sz w:val="28"/>
          <w:szCs w:val="28"/>
          <w:lang w:val="en-US"/>
        </w:rPr>
        <w:t xml:space="preserve">Based on the available evidence we do not anticipate that the proposed service changes will impinge upon patients’ or staff’s rights protected under the Human Rights Act. </w:t>
      </w:r>
    </w:p>
    <w:p w:rsidR="005031CF" w:rsidRDefault="00042749">
      <w:pPr>
        <w:pStyle w:val="Body"/>
        <w:spacing w:after="0" w:line="240" w:lineRule="auto"/>
      </w:pPr>
      <w:r>
        <w:rPr>
          <w:rStyle w:val="None"/>
          <w:rFonts w:ascii="Arial" w:hAnsi="Arial"/>
          <w:sz w:val="28"/>
          <w:szCs w:val="28"/>
          <w:lang w:val="en-US"/>
        </w:rPr>
        <w:t>However, we acknowledge that further work is needed to explore whether there is potential differential impact specifically for Older People and we will take on board all views and information gather as part of the engagement process.</w:t>
      </w:r>
    </w:p>
    <w:p w:rsidR="005031CF" w:rsidRDefault="005031CF">
      <w:pPr>
        <w:pStyle w:val="Body"/>
        <w:spacing w:after="0" w:line="240" w:lineRule="auto"/>
        <w:ind w:right="284"/>
      </w:pPr>
    </w:p>
    <w:p w:rsidR="005031CF" w:rsidRDefault="00042749">
      <w:pPr>
        <w:pStyle w:val="Heading"/>
        <w:numPr>
          <w:ilvl w:val="0"/>
          <w:numId w:val="15"/>
        </w:numPr>
      </w:pPr>
      <w:r>
        <w:rPr>
          <w:lang w:val="en-US"/>
        </w:rPr>
        <w:t>Summary of impact</w:t>
      </w:r>
    </w:p>
    <w:p w:rsidR="005031CF" w:rsidRDefault="00042749">
      <w:pPr>
        <w:pStyle w:val="ListParagraph"/>
        <w:ind w:left="0"/>
      </w:pPr>
      <w:r>
        <w:rPr>
          <w:rStyle w:val="Hyperlink0"/>
        </w:rPr>
        <w:t>At this stage of the Stage 1 EIA process feedback from patients, wider stakeholders, carers and staff has not been captured/evidenced. The anticipated impacts on the protected characteristic groups will be updated once that feedback has been collected via the proposed engagement plan which will start following formal discussion with the Community Health Council.</w:t>
      </w:r>
    </w:p>
    <w:p w:rsidR="005031CF" w:rsidRDefault="00042749">
      <w:pPr>
        <w:pStyle w:val="ListParagraph"/>
        <w:ind w:left="0"/>
      </w:pPr>
      <w:r>
        <w:rPr>
          <w:rStyle w:val="Hyperlink0"/>
        </w:rPr>
        <w:t>The Health Board is committed to ensure that this EIA will continue to be a live document and will incorporated all information reviewed throughout the process.</w:t>
      </w:r>
    </w:p>
    <w:p w:rsidR="005031CF" w:rsidRDefault="005031CF">
      <w:pPr>
        <w:pStyle w:val="ListParagraph"/>
        <w:spacing w:after="0"/>
        <w:ind w:left="0"/>
      </w:pPr>
    </w:p>
    <w:p w:rsidR="005031CF" w:rsidRDefault="00042749">
      <w:pPr>
        <w:pStyle w:val="Heading"/>
        <w:numPr>
          <w:ilvl w:val="0"/>
          <w:numId w:val="5"/>
        </w:numPr>
      </w:pPr>
      <w:r>
        <w:rPr>
          <w:lang w:val="en-US"/>
        </w:rPr>
        <w:t>Next Steps</w:t>
      </w:r>
    </w:p>
    <w:p w:rsidR="005031CF" w:rsidRDefault="00042749">
      <w:pPr>
        <w:pStyle w:val="Body"/>
        <w:spacing w:after="0" w:line="240" w:lineRule="auto"/>
      </w:pPr>
      <w:r>
        <w:rPr>
          <w:rStyle w:val="Hyperlink0"/>
          <w:lang w:val="en-US"/>
        </w:rPr>
        <w:t xml:space="preserve">As part of the engagement on the proposed reduction in the overall number of Older Peoples Mental Health beds within SBUHB the following actions are proposed to inform the Stage 2 EIA: </w:t>
      </w:r>
    </w:p>
    <w:p w:rsidR="005031CF" w:rsidRDefault="005031CF">
      <w:pPr>
        <w:pStyle w:val="Body"/>
        <w:spacing w:after="0" w:line="240" w:lineRule="auto"/>
      </w:pPr>
    </w:p>
    <w:p w:rsidR="005031CF" w:rsidRDefault="00042749">
      <w:pPr>
        <w:pStyle w:val="ListParagraph"/>
        <w:numPr>
          <w:ilvl w:val="0"/>
          <w:numId w:val="17"/>
        </w:numPr>
        <w:spacing w:after="0" w:line="240" w:lineRule="auto"/>
        <w:rPr>
          <w:rFonts w:ascii="Arial" w:hAnsi="Arial"/>
          <w:sz w:val="28"/>
          <w:szCs w:val="28"/>
        </w:rPr>
      </w:pPr>
      <w:r>
        <w:rPr>
          <w:rStyle w:val="None"/>
          <w:rFonts w:ascii="Arial" w:hAnsi="Arial"/>
          <w:sz w:val="28"/>
          <w:szCs w:val="28"/>
        </w:rPr>
        <w:t>Analysis of demographic/protected characteristic data of staff affected by the proposed bed reduction to assess for differential impact.</w:t>
      </w:r>
    </w:p>
    <w:p w:rsidR="005031CF" w:rsidRDefault="00042749">
      <w:pPr>
        <w:pStyle w:val="ListParagraph"/>
        <w:numPr>
          <w:ilvl w:val="0"/>
          <w:numId w:val="17"/>
        </w:numPr>
        <w:spacing w:after="0" w:line="240" w:lineRule="auto"/>
        <w:rPr>
          <w:rFonts w:ascii="Arial" w:hAnsi="Arial"/>
          <w:sz w:val="28"/>
          <w:szCs w:val="28"/>
        </w:rPr>
      </w:pPr>
      <w:r>
        <w:rPr>
          <w:rStyle w:val="None"/>
          <w:rFonts w:ascii="Arial" w:hAnsi="Arial"/>
          <w:sz w:val="28"/>
          <w:szCs w:val="28"/>
        </w:rPr>
        <w:lastRenderedPageBreak/>
        <w:t>Analysis of demographic/protected characteristic data of patients affected by the proposed ward closure to assess for differential impact.</w:t>
      </w:r>
    </w:p>
    <w:p w:rsidR="005031CF" w:rsidRDefault="00042749">
      <w:pPr>
        <w:pStyle w:val="ListParagraph"/>
        <w:numPr>
          <w:ilvl w:val="0"/>
          <w:numId w:val="17"/>
        </w:numPr>
        <w:spacing w:after="0" w:line="240" w:lineRule="auto"/>
        <w:rPr>
          <w:rFonts w:ascii="Arial" w:hAnsi="Arial"/>
          <w:sz w:val="28"/>
          <w:szCs w:val="28"/>
        </w:rPr>
      </w:pPr>
      <w:r>
        <w:rPr>
          <w:rStyle w:val="None"/>
          <w:rFonts w:ascii="Arial" w:hAnsi="Arial"/>
          <w:sz w:val="28"/>
          <w:szCs w:val="28"/>
        </w:rPr>
        <w:t>Analysis of demographic/protected characteristic data of carers affected by the proposed ward closure to assess for differential impact.</w:t>
      </w:r>
    </w:p>
    <w:p w:rsidR="005031CF" w:rsidRDefault="00042749">
      <w:pPr>
        <w:pStyle w:val="ListParagraph"/>
        <w:numPr>
          <w:ilvl w:val="0"/>
          <w:numId w:val="17"/>
        </w:numPr>
        <w:spacing w:after="0" w:line="240" w:lineRule="auto"/>
        <w:rPr>
          <w:rFonts w:ascii="Arial" w:hAnsi="Arial"/>
          <w:sz w:val="28"/>
          <w:szCs w:val="28"/>
        </w:rPr>
      </w:pPr>
      <w:r>
        <w:rPr>
          <w:rStyle w:val="None"/>
          <w:rFonts w:ascii="Arial" w:hAnsi="Arial"/>
          <w:sz w:val="28"/>
          <w:szCs w:val="28"/>
        </w:rPr>
        <w:t xml:space="preserve">Conduct engagement activity with patients, carers, staff and wider public stakeholder groups. </w:t>
      </w:r>
    </w:p>
    <w:p w:rsidR="005031CF" w:rsidRDefault="00042749">
      <w:pPr>
        <w:pStyle w:val="ListParagraph"/>
        <w:numPr>
          <w:ilvl w:val="0"/>
          <w:numId w:val="17"/>
        </w:numPr>
        <w:spacing w:after="0" w:line="240" w:lineRule="auto"/>
        <w:rPr>
          <w:rFonts w:ascii="Arial" w:hAnsi="Arial"/>
          <w:sz w:val="28"/>
          <w:szCs w:val="28"/>
        </w:rPr>
      </w:pPr>
      <w:r>
        <w:rPr>
          <w:rStyle w:val="None"/>
          <w:rFonts w:ascii="Arial" w:hAnsi="Arial"/>
          <w:sz w:val="28"/>
          <w:szCs w:val="28"/>
        </w:rPr>
        <w:t>Incorporate patients, carers, wider stakeholders and staff feedback on proposed changes.</w:t>
      </w:r>
    </w:p>
    <w:p w:rsidR="005031CF" w:rsidRDefault="00042749">
      <w:pPr>
        <w:pStyle w:val="ListParagraph"/>
        <w:numPr>
          <w:ilvl w:val="0"/>
          <w:numId w:val="17"/>
        </w:numPr>
        <w:spacing w:after="0" w:line="240" w:lineRule="auto"/>
        <w:rPr>
          <w:rFonts w:ascii="Arial" w:hAnsi="Arial"/>
          <w:sz w:val="28"/>
          <w:szCs w:val="28"/>
        </w:rPr>
      </w:pPr>
      <w:r>
        <w:rPr>
          <w:rStyle w:val="None"/>
          <w:rFonts w:ascii="Arial" w:hAnsi="Arial"/>
          <w:sz w:val="28"/>
          <w:szCs w:val="28"/>
        </w:rPr>
        <w:t xml:space="preserve">Develop a Stage 2 EIA incorporating an analysis of feedback from the engagement activity outlined above with stakeholders, patients, carers, staff and the public with any new evidence identified.  </w:t>
      </w:r>
    </w:p>
    <w:sectPr w:rsidR="005031CF">
      <w:pgSz w:w="11900" w:h="16840"/>
      <w:pgMar w:top="1440" w:right="1440" w:bottom="1440" w:left="144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77FFC" w:rsidRDefault="00042749">
      <w:r>
        <w:separator/>
      </w:r>
    </w:p>
  </w:endnote>
  <w:endnote w:type="continuationSeparator" w:id="0">
    <w:p w:rsidR="00C77FFC" w:rsidRDefault="0004274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Arial Unicode MS">
    <w:altName w:val="Arial"/>
    <w:panose1 w:val="020B0604020202020204"/>
    <w:charset w:val="00"/>
    <w:family w:val="roman"/>
    <w:pitch w:val="default"/>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Helvetica">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C12B6" w:rsidRDefault="00EC12B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031CF" w:rsidRDefault="00042749">
    <w:pPr>
      <w:pStyle w:val="Footer"/>
      <w:tabs>
        <w:tab w:val="clear" w:pos="9026"/>
        <w:tab w:val="right" w:pos="9000"/>
      </w:tabs>
      <w:jc w:val="right"/>
    </w:pPr>
    <w:r>
      <w:rPr>
        <w:rFonts w:ascii="Arial" w:eastAsia="Arial" w:hAnsi="Arial" w:cs="Arial"/>
        <w:sz w:val="24"/>
        <w:szCs w:val="24"/>
      </w:rPr>
      <w:fldChar w:fldCharType="begin"/>
    </w:r>
    <w:r>
      <w:rPr>
        <w:rFonts w:ascii="Arial" w:eastAsia="Arial" w:hAnsi="Arial" w:cs="Arial"/>
        <w:sz w:val="24"/>
        <w:szCs w:val="24"/>
      </w:rPr>
      <w:instrText xml:space="preserve"> PAGE </w:instrText>
    </w:r>
    <w:r>
      <w:rPr>
        <w:rFonts w:ascii="Arial" w:eastAsia="Arial" w:hAnsi="Arial" w:cs="Arial"/>
        <w:sz w:val="24"/>
        <w:szCs w:val="24"/>
      </w:rPr>
      <w:fldChar w:fldCharType="separate"/>
    </w:r>
    <w:r w:rsidR="00EC12B6">
      <w:rPr>
        <w:rFonts w:ascii="Arial" w:eastAsia="Arial" w:hAnsi="Arial" w:cs="Arial"/>
        <w:noProof/>
        <w:sz w:val="24"/>
        <w:szCs w:val="24"/>
      </w:rPr>
      <w:t>3</w:t>
    </w:r>
    <w:r>
      <w:rPr>
        <w:rFonts w:ascii="Arial" w:eastAsia="Arial" w:hAnsi="Arial" w:cs="Arial"/>
        <w:sz w:val="24"/>
        <w:szCs w:val="24"/>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C12B6" w:rsidRDefault="00EC12B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031CF" w:rsidRDefault="00042749">
      <w:r>
        <w:separator/>
      </w:r>
    </w:p>
  </w:footnote>
  <w:footnote w:type="continuationSeparator" w:id="0">
    <w:p w:rsidR="005031CF" w:rsidRDefault="00042749">
      <w:r>
        <w:continuationSeparator/>
      </w:r>
    </w:p>
  </w:footnote>
  <w:footnote w:type="continuationNotice" w:id="1">
    <w:p w:rsidR="005031CF" w:rsidRDefault="005031CF"/>
  </w:footnote>
  <w:footnote w:id="2">
    <w:p w:rsidR="005031CF" w:rsidRDefault="00042749">
      <w:pPr>
        <w:pStyle w:val="FootnoteText"/>
      </w:pPr>
      <w:r>
        <w:rPr>
          <w:rFonts w:ascii="Arial" w:eastAsia="Arial" w:hAnsi="Arial" w:cs="Arial"/>
          <w:sz w:val="28"/>
          <w:szCs w:val="28"/>
          <w:vertAlign w:val="superscript"/>
        </w:rPr>
        <w:footnoteRef/>
      </w:r>
      <w:r>
        <w:rPr>
          <w:rFonts w:ascii="Arial" w:hAnsi="Arial"/>
        </w:rPr>
        <w:t xml:space="preserve"> The Protected Characteristics outlined in the Equality Act 2010 are:  Age; Disability; Gender; Gender Reassignment; Marriage and Civil Partnership; Pregnancy and Maternity; Religion and Belief (including non-belief); Race and Sexual Orientation.</w:t>
      </w:r>
    </w:p>
  </w:footnote>
  <w:footnote w:id="3">
    <w:p w:rsidR="005031CF" w:rsidRDefault="00042749">
      <w:pPr>
        <w:pStyle w:val="FootnoteText"/>
      </w:pPr>
      <w:r>
        <w:rPr>
          <w:rStyle w:val="None"/>
          <w:rFonts w:ascii="Arial" w:eastAsia="Arial" w:hAnsi="Arial" w:cs="Arial"/>
          <w:sz w:val="24"/>
          <w:szCs w:val="24"/>
          <w:vertAlign w:val="superscript"/>
        </w:rPr>
        <w:footnoteRef/>
      </w:r>
      <w:r>
        <w:rPr>
          <w:rStyle w:val="None"/>
          <w:rFonts w:ascii="Arial" w:hAnsi="Arial"/>
        </w:rPr>
        <w:t xml:space="preserve"> </w:t>
      </w:r>
      <w:hyperlink r:id="rId1" w:history="1">
        <w:r>
          <w:rPr>
            <w:rStyle w:val="Hyperlink1"/>
          </w:rPr>
          <w:t>https://statswales.wales.gov.uk/Catalogue/Equality-and-Diversity/Sexual-Identity/SexualIdentity-by-Area-IdentityStatus</w:t>
        </w:r>
      </w:hyperlink>
    </w:p>
  </w:footnote>
  <w:footnote w:id="4">
    <w:p w:rsidR="005031CF" w:rsidRDefault="00042749">
      <w:pPr>
        <w:pStyle w:val="FootnoteText"/>
      </w:pPr>
      <w:r>
        <w:rPr>
          <w:rStyle w:val="None"/>
          <w:sz w:val="28"/>
          <w:szCs w:val="28"/>
          <w:vertAlign w:val="superscript"/>
        </w:rPr>
        <w:footnoteRef/>
      </w:r>
      <w:r>
        <w:rPr>
          <w:rStyle w:val="None"/>
          <w:rFonts w:ascii="Arial" w:hAnsi="Arial"/>
        </w:rPr>
        <w:t xml:space="preserve"> https://www.carersuk.org/news-and-campaigns/press-releases/facts-and-figures</w:t>
      </w:r>
    </w:p>
  </w:footnote>
  <w:footnote w:id="5">
    <w:p w:rsidR="005031CF" w:rsidRDefault="00042749">
      <w:pPr>
        <w:pStyle w:val="FootnoteText"/>
      </w:pPr>
      <w:r>
        <w:rPr>
          <w:rStyle w:val="None"/>
          <w:rFonts w:ascii="Arial" w:eastAsia="Arial" w:hAnsi="Arial" w:cs="Arial"/>
          <w:sz w:val="28"/>
          <w:szCs w:val="28"/>
          <w:vertAlign w:val="superscript"/>
        </w:rPr>
        <w:footnoteRef/>
      </w:r>
      <w:r>
        <w:rPr>
          <w:rStyle w:val="None"/>
          <w:rFonts w:ascii="Arial" w:hAnsi="Arial"/>
        </w:rPr>
        <w:t xml:space="preserve"> World Health Organization. (2004). </w:t>
      </w:r>
      <w:r>
        <w:rPr>
          <w:rStyle w:val="None"/>
          <w:rFonts w:ascii="Arial" w:hAnsi="Arial"/>
          <w:i/>
          <w:iCs/>
        </w:rPr>
        <w:t>Commission on social determinants of health</w:t>
      </w:r>
      <w:r>
        <w:rPr>
          <w:rStyle w:val="None"/>
          <w:rFonts w:ascii="Arial" w:hAnsi="Arial"/>
        </w:rPr>
        <w:t>. Geneva: World Health Organization.</w:t>
      </w:r>
    </w:p>
  </w:footnote>
  <w:footnote w:id="6">
    <w:p w:rsidR="005031CF" w:rsidRDefault="00042749">
      <w:pPr>
        <w:pStyle w:val="FootnoteText"/>
      </w:pPr>
      <w:r>
        <w:rPr>
          <w:rStyle w:val="None"/>
          <w:rFonts w:ascii="Arial" w:eastAsia="Arial" w:hAnsi="Arial" w:cs="Arial"/>
          <w:sz w:val="28"/>
          <w:szCs w:val="28"/>
          <w:vertAlign w:val="superscript"/>
        </w:rPr>
        <w:footnoteRef/>
      </w:r>
      <w:r>
        <w:rPr>
          <w:rStyle w:val="None"/>
          <w:rFonts w:ascii="Arial" w:hAnsi="Arial"/>
        </w:rPr>
        <w:t xml:space="preserve"> </w:t>
      </w:r>
      <w:hyperlink r:id="rId2" w:history="1">
        <w:r>
          <w:rPr>
            <w:rStyle w:val="Hyperlink1"/>
          </w:rPr>
          <w:t>https://www.legislation.gov.uk/ukpga/1998/42/contents</w:t>
        </w:r>
      </w:hyperlink>
      <w:r>
        <w:rPr>
          <w:rStyle w:val="None"/>
          <w:rFonts w:ascii="Arial" w:hAnsi="Arial"/>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C12B6" w:rsidRDefault="00EC12B6">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031CF" w:rsidRDefault="005031CF">
    <w:pPr>
      <w:pStyle w:val="Header"/>
      <w:tabs>
        <w:tab w:val="clear" w:pos="9026"/>
        <w:tab w:val="right" w:pos="9000"/>
      </w:tabs>
    </w:pPr>
    <w:bookmarkStart w:id="2" w:name="_GoBack"/>
    <w:bookmarkEnd w:id="2"/>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C12B6" w:rsidRDefault="00EC12B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E84863"/>
    <w:multiLevelType w:val="hybridMultilevel"/>
    <w:tmpl w:val="9BC44248"/>
    <w:styleLink w:val="ImportedStyle5"/>
    <w:lvl w:ilvl="0" w:tplc="34A4F4C6">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F1780C74">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18C8306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A09C186C">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5C7A2BC8">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FF7E2984">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F1747B06">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2554536A">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A35EF3C4">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 w15:restartNumberingAfterBreak="0">
    <w:nsid w:val="069946C9"/>
    <w:multiLevelType w:val="hybridMultilevel"/>
    <w:tmpl w:val="49025626"/>
    <w:numStyleLink w:val="ImportedStyle3"/>
  </w:abstractNum>
  <w:abstractNum w:abstractNumId="2" w15:restartNumberingAfterBreak="0">
    <w:nsid w:val="16433E4F"/>
    <w:multiLevelType w:val="hybridMultilevel"/>
    <w:tmpl w:val="469EA388"/>
    <w:styleLink w:val="ImportedStyle7"/>
    <w:lvl w:ilvl="0" w:tplc="207EF69A">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068EBC98">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A89CE4FE">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7CD0BC7C">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7ACC7E46">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E632D1BE">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06DEC05E">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708E6AE0">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6AA81E5E">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3" w15:restartNumberingAfterBreak="0">
    <w:nsid w:val="25C644B7"/>
    <w:multiLevelType w:val="hybridMultilevel"/>
    <w:tmpl w:val="D5DAC772"/>
    <w:styleLink w:val="ImportedStyle6"/>
    <w:lvl w:ilvl="0" w:tplc="1C1CA520">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3CAABD44">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7534C8E0">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C1F2F150">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31505782">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B0AC5DF6">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16480B2C">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D35E71EC">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E8CA465E">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4" w15:restartNumberingAfterBreak="0">
    <w:nsid w:val="2AE26B3A"/>
    <w:multiLevelType w:val="hybridMultilevel"/>
    <w:tmpl w:val="D1E255E0"/>
    <w:numStyleLink w:val="ImportedStyle1"/>
  </w:abstractNum>
  <w:abstractNum w:abstractNumId="5" w15:restartNumberingAfterBreak="0">
    <w:nsid w:val="2B6E4722"/>
    <w:multiLevelType w:val="hybridMultilevel"/>
    <w:tmpl w:val="D5DAC772"/>
    <w:numStyleLink w:val="ImportedStyle6"/>
  </w:abstractNum>
  <w:abstractNum w:abstractNumId="6" w15:restartNumberingAfterBreak="0">
    <w:nsid w:val="405F376A"/>
    <w:multiLevelType w:val="hybridMultilevel"/>
    <w:tmpl w:val="49F0D8A6"/>
    <w:numStyleLink w:val="ImportedStyle8"/>
  </w:abstractNum>
  <w:abstractNum w:abstractNumId="7" w15:restartNumberingAfterBreak="0">
    <w:nsid w:val="48A05427"/>
    <w:multiLevelType w:val="hybridMultilevel"/>
    <w:tmpl w:val="49025626"/>
    <w:styleLink w:val="ImportedStyle3"/>
    <w:lvl w:ilvl="0" w:tplc="6062FAF6">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55D686D0">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79C86CF0">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D478ACE0">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AD1EC1FE">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E2AED664">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7AEE5F8E">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33047AE4">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DDC6B4B6">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8" w15:restartNumberingAfterBreak="0">
    <w:nsid w:val="55086A70"/>
    <w:multiLevelType w:val="hybridMultilevel"/>
    <w:tmpl w:val="24FC311E"/>
    <w:numStyleLink w:val="ImportedStyle4"/>
  </w:abstractNum>
  <w:abstractNum w:abstractNumId="9" w15:restartNumberingAfterBreak="0">
    <w:nsid w:val="5F4D6622"/>
    <w:multiLevelType w:val="hybridMultilevel"/>
    <w:tmpl w:val="9BC44248"/>
    <w:numStyleLink w:val="ImportedStyle5"/>
  </w:abstractNum>
  <w:abstractNum w:abstractNumId="10" w15:restartNumberingAfterBreak="0">
    <w:nsid w:val="661F011B"/>
    <w:multiLevelType w:val="hybridMultilevel"/>
    <w:tmpl w:val="24FC311E"/>
    <w:styleLink w:val="ImportedStyle4"/>
    <w:lvl w:ilvl="0" w:tplc="CDACDA36">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D98E9C4C">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AE383E7A">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2AA67BAE">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5A10947E">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1EC00F40">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5906CB58">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69A07592">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E6DE8332">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1" w15:restartNumberingAfterBreak="0">
    <w:nsid w:val="6D3717C7"/>
    <w:multiLevelType w:val="hybridMultilevel"/>
    <w:tmpl w:val="D1E255E0"/>
    <w:styleLink w:val="ImportedStyle1"/>
    <w:lvl w:ilvl="0" w:tplc="F744B1E2">
      <w:start w:val="1"/>
      <w:numFmt w:val="decimal"/>
      <w:lvlText w:val="%1."/>
      <w:lvlJc w:val="left"/>
      <w:pPr>
        <w:ind w:left="360"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1" w:tplc="BDF263F4">
      <w:start w:val="1"/>
      <w:numFmt w:val="lowerLetter"/>
      <w:lvlText w:val="%2."/>
      <w:lvlJc w:val="left"/>
      <w:pPr>
        <w:ind w:left="1080"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2" w:tplc="FFD64CE0">
      <w:start w:val="1"/>
      <w:numFmt w:val="lowerRoman"/>
      <w:lvlText w:val="%3."/>
      <w:lvlJc w:val="left"/>
      <w:pPr>
        <w:ind w:left="1800" w:hanging="315"/>
      </w:pPr>
      <w:rPr>
        <w:rFonts w:hAnsi="Arial Unicode MS"/>
        <w:b/>
        <w:bCs/>
        <w:caps w:val="0"/>
        <w:smallCaps w:val="0"/>
        <w:strike w:val="0"/>
        <w:dstrike w:val="0"/>
        <w:outline w:val="0"/>
        <w:emboss w:val="0"/>
        <w:imprint w:val="0"/>
        <w:spacing w:val="0"/>
        <w:w w:val="100"/>
        <w:kern w:val="0"/>
        <w:position w:val="0"/>
        <w:highlight w:val="none"/>
        <w:vertAlign w:val="baseline"/>
      </w:rPr>
    </w:lvl>
    <w:lvl w:ilvl="3" w:tplc="C262B14C">
      <w:start w:val="1"/>
      <w:numFmt w:val="decimal"/>
      <w:lvlText w:val="%4."/>
      <w:lvlJc w:val="left"/>
      <w:pPr>
        <w:ind w:left="2520"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4" w:tplc="2AB26AD6">
      <w:start w:val="1"/>
      <w:numFmt w:val="lowerLetter"/>
      <w:lvlText w:val="%5."/>
      <w:lvlJc w:val="left"/>
      <w:pPr>
        <w:ind w:left="3240"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5" w:tplc="FDA4422E">
      <w:start w:val="1"/>
      <w:numFmt w:val="lowerRoman"/>
      <w:lvlText w:val="%6."/>
      <w:lvlJc w:val="left"/>
      <w:pPr>
        <w:ind w:left="3960" w:hanging="315"/>
      </w:pPr>
      <w:rPr>
        <w:rFonts w:hAnsi="Arial Unicode MS"/>
        <w:b/>
        <w:bCs/>
        <w:caps w:val="0"/>
        <w:smallCaps w:val="0"/>
        <w:strike w:val="0"/>
        <w:dstrike w:val="0"/>
        <w:outline w:val="0"/>
        <w:emboss w:val="0"/>
        <w:imprint w:val="0"/>
        <w:spacing w:val="0"/>
        <w:w w:val="100"/>
        <w:kern w:val="0"/>
        <w:position w:val="0"/>
        <w:highlight w:val="none"/>
        <w:vertAlign w:val="baseline"/>
      </w:rPr>
    </w:lvl>
    <w:lvl w:ilvl="6" w:tplc="644423D6">
      <w:start w:val="1"/>
      <w:numFmt w:val="decimal"/>
      <w:lvlText w:val="%7."/>
      <w:lvlJc w:val="left"/>
      <w:pPr>
        <w:ind w:left="4680"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7" w:tplc="1BD2BB24">
      <w:start w:val="1"/>
      <w:numFmt w:val="lowerLetter"/>
      <w:lvlText w:val="%8."/>
      <w:lvlJc w:val="left"/>
      <w:pPr>
        <w:ind w:left="5400"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8" w:tplc="C4429438">
      <w:start w:val="1"/>
      <w:numFmt w:val="lowerRoman"/>
      <w:lvlText w:val="%9."/>
      <w:lvlJc w:val="left"/>
      <w:pPr>
        <w:ind w:left="6120" w:hanging="315"/>
      </w:pPr>
      <w:rPr>
        <w:rFonts w:hAnsi="Arial Unicode MS"/>
        <w:b/>
        <w:bCs/>
        <w:caps w:val="0"/>
        <w:smallCaps w:val="0"/>
        <w:strike w:val="0"/>
        <w:dstrike w:val="0"/>
        <w:outline w:val="0"/>
        <w:emboss w:val="0"/>
        <w:imprint w:val="0"/>
        <w:spacing w:val="0"/>
        <w:w w:val="100"/>
        <w:kern w:val="0"/>
        <w:position w:val="0"/>
        <w:highlight w:val="none"/>
        <w:vertAlign w:val="baseline"/>
      </w:rPr>
    </w:lvl>
  </w:abstractNum>
  <w:abstractNum w:abstractNumId="12" w15:restartNumberingAfterBreak="0">
    <w:nsid w:val="77FE13AE"/>
    <w:multiLevelType w:val="hybridMultilevel"/>
    <w:tmpl w:val="49F0D8A6"/>
    <w:styleLink w:val="ImportedStyle8"/>
    <w:lvl w:ilvl="0" w:tplc="0338FC16">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88FEF666">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3F60D838">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94D426EC">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765AD21E">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6316CAC0">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CB286A9C">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4B7AE6CE">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30A6C5E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3" w15:restartNumberingAfterBreak="0">
    <w:nsid w:val="7EC056C6"/>
    <w:multiLevelType w:val="hybridMultilevel"/>
    <w:tmpl w:val="469EA388"/>
    <w:numStyleLink w:val="ImportedStyle7"/>
  </w:abstractNum>
  <w:num w:numId="1">
    <w:abstractNumId w:val="7"/>
  </w:num>
  <w:num w:numId="2">
    <w:abstractNumId w:val="1"/>
  </w:num>
  <w:num w:numId="3">
    <w:abstractNumId w:val="11"/>
  </w:num>
  <w:num w:numId="4">
    <w:abstractNumId w:val="4"/>
  </w:num>
  <w:num w:numId="5">
    <w:abstractNumId w:val="4"/>
    <w:lvlOverride w:ilvl="0">
      <w:lvl w:ilvl="0" w:tplc="AE1C018E">
        <w:start w:val="1"/>
        <w:numFmt w:val="decimal"/>
        <w:lvlText w:val="%1."/>
        <w:lvlJc w:val="left"/>
        <w:pPr>
          <w:ind w:left="360" w:hanging="36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1">
      <w:lvl w:ilvl="1" w:tplc="EB1AF112">
        <w:start w:val="1"/>
        <w:numFmt w:val="lowerLetter"/>
        <w:lvlText w:val="%2."/>
        <w:lvlJc w:val="left"/>
        <w:pPr>
          <w:ind w:left="1440" w:hanging="36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2">
      <w:lvl w:ilvl="2" w:tplc="E920F250">
        <w:start w:val="1"/>
        <w:numFmt w:val="lowerRoman"/>
        <w:lvlText w:val="%3."/>
        <w:lvlJc w:val="left"/>
        <w:pPr>
          <w:ind w:left="2160" w:hanging="315"/>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3">
      <w:lvl w:ilvl="3" w:tplc="903CBEF4">
        <w:start w:val="1"/>
        <w:numFmt w:val="decimal"/>
        <w:lvlText w:val="%4."/>
        <w:lvlJc w:val="left"/>
        <w:pPr>
          <w:ind w:left="2880" w:hanging="36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4">
      <w:lvl w:ilvl="4" w:tplc="3448F64A">
        <w:start w:val="1"/>
        <w:numFmt w:val="lowerLetter"/>
        <w:lvlText w:val="%5."/>
        <w:lvlJc w:val="left"/>
        <w:pPr>
          <w:ind w:left="3600" w:hanging="36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5">
      <w:lvl w:ilvl="5" w:tplc="F51AAA56">
        <w:start w:val="1"/>
        <w:numFmt w:val="lowerRoman"/>
        <w:lvlText w:val="%6."/>
        <w:lvlJc w:val="left"/>
        <w:pPr>
          <w:ind w:left="4320" w:hanging="315"/>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6">
      <w:lvl w:ilvl="6" w:tplc="2A74135C">
        <w:start w:val="1"/>
        <w:numFmt w:val="decimal"/>
        <w:lvlText w:val="%7."/>
        <w:lvlJc w:val="left"/>
        <w:pPr>
          <w:ind w:left="5040" w:hanging="36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7">
      <w:lvl w:ilvl="7" w:tplc="052A6920">
        <w:start w:val="1"/>
        <w:numFmt w:val="lowerLetter"/>
        <w:lvlText w:val="%8."/>
        <w:lvlJc w:val="left"/>
        <w:pPr>
          <w:ind w:left="5760" w:hanging="36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8">
      <w:lvl w:ilvl="8" w:tplc="73367212">
        <w:start w:val="1"/>
        <w:numFmt w:val="lowerRoman"/>
        <w:lvlText w:val="%9."/>
        <w:lvlJc w:val="left"/>
        <w:pPr>
          <w:ind w:left="6480" w:hanging="315"/>
        </w:pPr>
        <w:rPr>
          <w:rFonts w:hAnsi="Arial Unicode MS"/>
          <w:b/>
          <w:bCs/>
          <w:caps w:val="0"/>
          <w:smallCaps w:val="0"/>
          <w:strike w:val="0"/>
          <w:dstrike w:val="0"/>
          <w:outline w:val="0"/>
          <w:emboss w:val="0"/>
          <w:imprint w:val="0"/>
          <w:spacing w:val="0"/>
          <w:w w:val="100"/>
          <w:kern w:val="0"/>
          <w:position w:val="0"/>
          <w:highlight w:val="none"/>
          <w:vertAlign w:val="baseline"/>
        </w:rPr>
      </w:lvl>
    </w:lvlOverride>
  </w:num>
  <w:num w:numId="6">
    <w:abstractNumId w:val="10"/>
  </w:num>
  <w:num w:numId="7">
    <w:abstractNumId w:val="8"/>
  </w:num>
  <w:num w:numId="8">
    <w:abstractNumId w:val="0"/>
  </w:num>
  <w:num w:numId="9">
    <w:abstractNumId w:val="9"/>
  </w:num>
  <w:num w:numId="10">
    <w:abstractNumId w:val="3"/>
  </w:num>
  <w:num w:numId="11">
    <w:abstractNumId w:val="5"/>
  </w:num>
  <w:num w:numId="12">
    <w:abstractNumId w:val="4"/>
    <w:lvlOverride w:ilvl="0">
      <w:startOverride w:val="4"/>
      <w:lvl w:ilvl="0" w:tplc="AE1C018E">
        <w:start w:val="4"/>
        <w:numFmt w:val="decimal"/>
        <w:lvlText w:val="%1."/>
        <w:lvlJc w:val="left"/>
        <w:pPr>
          <w:ind w:left="360" w:hanging="36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1">
      <w:startOverride w:val="1"/>
      <w:lvl w:ilvl="1" w:tplc="EB1AF112">
        <w:start w:val="1"/>
        <w:numFmt w:val="lowerLetter"/>
        <w:lvlText w:val="%2."/>
        <w:lvlJc w:val="left"/>
        <w:pPr>
          <w:ind w:left="1440" w:hanging="36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2">
      <w:startOverride w:val="1"/>
      <w:lvl w:ilvl="2" w:tplc="E920F250">
        <w:start w:val="1"/>
        <w:numFmt w:val="lowerRoman"/>
        <w:lvlText w:val="%3."/>
        <w:lvlJc w:val="left"/>
        <w:pPr>
          <w:ind w:left="2160" w:hanging="315"/>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3">
      <w:startOverride w:val="1"/>
      <w:lvl w:ilvl="3" w:tplc="903CBEF4">
        <w:start w:val="1"/>
        <w:numFmt w:val="decimal"/>
        <w:lvlText w:val="%4."/>
        <w:lvlJc w:val="left"/>
        <w:pPr>
          <w:ind w:left="2880" w:hanging="36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4">
      <w:startOverride w:val="1"/>
      <w:lvl w:ilvl="4" w:tplc="3448F64A">
        <w:start w:val="1"/>
        <w:numFmt w:val="lowerLetter"/>
        <w:lvlText w:val="%5."/>
        <w:lvlJc w:val="left"/>
        <w:pPr>
          <w:ind w:left="3600" w:hanging="36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5">
      <w:startOverride w:val="1"/>
      <w:lvl w:ilvl="5" w:tplc="F51AAA56">
        <w:start w:val="1"/>
        <w:numFmt w:val="lowerRoman"/>
        <w:lvlText w:val="%6."/>
        <w:lvlJc w:val="left"/>
        <w:pPr>
          <w:ind w:left="4320" w:hanging="315"/>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6">
      <w:startOverride w:val="1"/>
      <w:lvl w:ilvl="6" w:tplc="2A74135C">
        <w:start w:val="1"/>
        <w:numFmt w:val="decimal"/>
        <w:lvlText w:val="%7."/>
        <w:lvlJc w:val="left"/>
        <w:pPr>
          <w:ind w:left="5040" w:hanging="36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7">
      <w:startOverride w:val="1"/>
      <w:lvl w:ilvl="7" w:tplc="052A6920">
        <w:start w:val="1"/>
        <w:numFmt w:val="lowerLetter"/>
        <w:lvlText w:val="%8."/>
        <w:lvlJc w:val="left"/>
        <w:pPr>
          <w:ind w:left="5760" w:hanging="36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8">
      <w:startOverride w:val="1"/>
      <w:lvl w:ilvl="8" w:tplc="73367212">
        <w:start w:val="1"/>
        <w:numFmt w:val="lowerRoman"/>
        <w:lvlText w:val="%9."/>
        <w:lvlJc w:val="left"/>
        <w:pPr>
          <w:ind w:left="6480" w:hanging="315"/>
        </w:pPr>
        <w:rPr>
          <w:rFonts w:hAnsi="Arial Unicode MS"/>
          <w:b/>
          <w:bCs/>
          <w:caps w:val="0"/>
          <w:smallCaps w:val="0"/>
          <w:strike w:val="0"/>
          <w:dstrike w:val="0"/>
          <w:outline w:val="0"/>
          <w:emboss w:val="0"/>
          <w:imprint w:val="0"/>
          <w:spacing w:val="0"/>
          <w:w w:val="100"/>
          <w:kern w:val="0"/>
          <w:position w:val="0"/>
          <w:highlight w:val="none"/>
          <w:vertAlign w:val="baseline"/>
        </w:rPr>
      </w:lvl>
    </w:lvlOverride>
  </w:num>
  <w:num w:numId="13">
    <w:abstractNumId w:val="2"/>
  </w:num>
  <w:num w:numId="14">
    <w:abstractNumId w:val="13"/>
  </w:num>
  <w:num w:numId="15">
    <w:abstractNumId w:val="4"/>
    <w:lvlOverride w:ilvl="0">
      <w:startOverride w:val="5"/>
      <w:lvl w:ilvl="0" w:tplc="AE1C018E">
        <w:start w:val="5"/>
        <w:numFmt w:val="decimal"/>
        <w:lvlText w:val="%1."/>
        <w:lvlJc w:val="left"/>
        <w:pPr>
          <w:ind w:left="360" w:hanging="36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1">
      <w:startOverride w:val="1"/>
      <w:lvl w:ilvl="1" w:tplc="EB1AF112">
        <w:start w:val="1"/>
        <w:numFmt w:val="lowerLetter"/>
        <w:lvlText w:val="%2."/>
        <w:lvlJc w:val="left"/>
        <w:pPr>
          <w:ind w:left="1440" w:hanging="36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2">
      <w:startOverride w:val="1"/>
      <w:lvl w:ilvl="2" w:tplc="E920F250">
        <w:start w:val="1"/>
        <w:numFmt w:val="lowerRoman"/>
        <w:lvlText w:val="%3."/>
        <w:lvlJc w:val="left"/>
        <w:pPr>
          <w:ind w:left="2160" w:hanging="315"/>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3">
      <w:startOverride w:val="1"/>
      <w:lvl w:ilvl="3" w:tplc="903CBEF4">
        <w:start w:val="1"/>
        <w:numFmt w:val="decimal"/>
        <w:lvlText w:val="%4."/>
        <w:lvlJc w:val="left"/>
        <w:pPr>
          <w:ind w:left="2880" w:hanging="36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4">
      <w:startOverride w:val="1"/>
      <w:lvl w:ilvl="4" w:tplc="3448F64A">
        <w:start w:val="1"/>
        <w:numFmt w:val="lowerLetter"/>
        <w:lvlText w:val="%5."/>
        <w:lvlJc w:val="left"/>
        <w:pPr>
          <w:ind w:left="3600" w:hanging="36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5">
      <w:startOverride w:val="1"/>
      <w:lvl w:ilvl="5" w:tplc="F51AAA56">
        <w:start w:val="1"/>
        <w:numFmt w:val="lowerRoman"/>
        <w:lvlText w:val="%6."/>
        <w:lvlJc w:val="left"/>
        <w:pPr>
          <w:ind w:left="4320" w:hanging="315"/>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6">
      <w:startOverride w:val="1"/>
      <w:lvl w:ilvl="6" w:tplc="2A74135C">
        <w:start w:val="1"/>
        <w:numFmt w:val="decimal"/>
        <w:lvlText w:val="%7."/>
        <w:lvlJc w:val="left"/>
        <w:pPr>
          <w:ind w:left="5040" w:hanging="36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7">
      <w:startOverride w:val="1"/>
      <w:lvl w:ilvl="7" w:tplc="052A6920">
        <w:start w:val="1"/>
        <w:numFmt w:val="lowerLetter"/>
        <w:lvlText w:val="%8."/>
        <w:lvlJc w:val="left"/>
        <w:pPr>
          <w:ind w:left="5760" w:hanging="36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8">
      <w:startOverride w:val="1"/>
      <w:lvl w:ilvl="8" w:tplc="73367212">
        <w:start w:val="1"/>
        <w:numFmt w:val="lowerRoman"/>
        <w:lvlText w:val="%9."/>
        <w:lvlJc w:val="left"/>
        <w:pPr>
          <w:ind w:left="6480" w:hanging="315"/>
        </w:pPr>
        <w:rPr>
          <w:rFonts w:hAnsi="Arial Unicode MS"/>
          <w:b/>
          <w:bCs/>
          <w:caps w:val="0"/>
          <w:smallCaps w:val="0"/>
          <w:strike w:val="0"/>
          <w:dstrike w:val="0"/>
          <w:outline w:val="0"/>
          <w:emboss w:val="0"/>
          <w:imprint w:val="0"/>
          <w:spacing w:val="0"/>
          <w:w w:val="100"/>
          <w:kern w:val="0"/>
          <w:position w:val="0"/>
          <w:highlight w:val="none"/>
          <w:vertAlign w:val="baseline"/>
        </w:rPr>
      </w:lvl>
    </w:lvlOverride>
  </w:num>
  <w:num w:numId="16">
    <w:abstractNumId w:val="12"/>
  </w:num>
  <w:num w:numId="1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49"/>
  </w:hdrShapeDefaults>
  <w:footnotePr>
    <w:footnote w:id="-1"/>
    <w:footnote w:id="0"/>
    <w:footnote w:id="1"/>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031CF"/>
    <w:rsid w:val="00042749"/>
    <w:rsid w:val="005031CF"/>
    <w:rsid w:val="00C77FFC"/>
    <w:rsid w:val="00EC12B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1E5B534"/>
  <w15:docId w15:val="{CC14ECC7-CA3B-4B6C-A37B-5EF432E614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Pr>
      <w:sz w:val="24"/>
      <w:szCs w:val="24"/>
      <w:lang w:val="en-US" w:eastAsia="en-US"/>
    </w:rPr>
  </w:style>
  <w:style w:type="paragraph" w:styleId="Heading2">
    <w:name w:val="heading 2"/>
    <w:next w:val="Body"/>
    <w:pPr>
      <w:keepNext/>
      <w:outlineLvl w:val="1"/>
    </w:pPr>
    <w:rPr>
      <w:rFonts w:ascii="Arial" w:hAnsi="Arial" w:cs="Arial Unicode MS"/>
      <w:b/>
      <w:bCs/>
      <w:color w:val="000000"/>
      <w:sz w:val="28"/>
      <w:szCs w:val="28"/>
      <w:u w:color="000000"/>
      <w:lang w:val="en-US"/>
    </w:rPr>
  </w:style>
  <w:style w:type="paragraph" w:styleId="Heading3">
    <w:name w:val="heading 3"/>
    <w:next w:val="Body"/>
    <w:pPr>
      <w:keepNext/>
      <w:keepLines/>
      <w:spacing w:before="40" w:line="259" w:lineRule="auto"/>
      <w:outlineLvl w:val="2"/>
    </w:pPr>
    <w:rPr>
      <w:rFonts w:ascii="Arial" w:hAnsi="Arial" w:cs="Arial Unicode MS"/>
      <w:color w:val="000000"/>
      <w:sz w:val="24"/>
      <w:szCs w:val="24"/>
      <w:u w:color="000000"/>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Calibri" w:eastAsia="Calibri" w:hAnsi="Calibri" w:cs="Calibri"/>
      <w:color w:val="000000"/>
      <w:sz w:val="22"/>
      <w:szCs w:val="22"/>
      <w:u w:color="000000"/>
      <w:lang w:val="en-US"/>
    </w:rPr>
  </w:style>
  <w:style w:type="paragraph" w:styleId="Caption">
    <w:name w:val="caption"/>
    <w:rPr>
      <w:rFonts w:ascii="Calibri" w:eastAsia="Calibri" w:hAnsi="Calibri" w:cs="Calibri"/>
      <w:b/>
      <w:bCs/>
      <w:color w:val="000000"/>
      <w:u w:color="000000"/>
      <w:lang w:val="en-US"/>
    </w:rPr>
  </w:style>
  <w:style w:type="paragraph" w:styleId="Footer">
    <w:name w:val="footer"/>
    <w:pPr>
      <w:tabs>
        <w:tab w:val="center" w:pos="4513"/>
        <w:tab w:val="right" w:pos="9026"/>
      </w:tabs>
    </w:pPr>
    <w:rPr>
      <w:rFonts w:ascii="Calibri" w:eastAsia="Calibri" w:hAnsi="Calibri" w:cs="Calibri"/>
      <w:color w:val="000000"/>
      <w:sz w:val="22"/>
      <w:szCs w:val="22"/>
      <w:u w:color="000000"/>
      <w:lang w:val="en-US"/>
    </w:rPr>
  </w:style>
  <w:style w:type="paragraph" w:customStyle="1" w:styleId="Body">
    <w:name w:val="Body"/>
    <w:pPr>
      <w:spacing w:after="160" w:line="259" w:lineRule="auto"/>
    </w:pPr>
    <w:rPr>
      <w:rFonts w:ascii="Calibri" w:eastAsia="Calibri" w:hAnsi="Calibri" w:cs="Calibri"/>
      <w:color w:val="000000"/>
      <w:sz w:val="22"/>
      <w:szCs w:val="22"/>
      <w:u w:color="000000"/>
      <w:lang w:val="da-DK"/>
    </w:rPr>
  </w:style>
  <w:style w:type="paragraph" w:styleId="ListParagraph">
    <w:name w:val="List Paragraph"/>
    <w:pPr>
      <w:spacing w:after="160" w:line="259" w:lineRule="auto"/>
      <w:ind w:left="720"/>
    </w:pPr>
    <w:rPr>
      <w:rFonts w:ascii="Calibri" w:eastAsia="Calibri" w:hAnsi="Calibri" w:cs="Calibri"/>
      <w:color w:val="000000"/>
      <w:sz w:val="22"/>
      <w:szCs w:val="22"/>
      <w:u w:color="000000"/>
      <w:lang w:val="en-US"/>
    </w:rPr>
  </w:style>
  <w:style w:type="numbering" w:customStyle="1" w:styleId="ImportedStyle3">
    <w:name w:val="Imported Style 3"/>
    <w:pPr>
      <w:numPr>
        <w:numId w:val="1"/>
      </w:numPr>
    </w:pPr>
  </w:style>
  <w:style w:type="paragraph" w:customStyle="1" w:styleId="Heading">
    <w:name w:val="Heading"/>
    <w:next w:val="Body"/>
    <w:pPr>
      <w:spacing w:after="240"/>
      <w:outlineLvl w:val="0"/>
    </w:pPr>
    <w:rPr>
      <w:rFonts w:ascii="Arial" w:hAnsi="Arial" w:cs="Arial Unicode MS"/>
      <w:b/>
      <w:bCs/>
      <w:color w:val="000000"/>
      <w:sz w:val="28"/>
      <w:szCs w:val="28"/>
      <w:u w:color="000000"/>
      <w:lang w:val="fr-FR"/>
    </w:rPr>
  </w:style>
  <w:style w:type="numbering" w:customStyle="1" w:styleId="ImportedStyle1">
    <w:name w:val="Imported Style 1"/>
    <w:pPr>
      <w:numPr>
        <w:numId w:val="3"/>
      </w:numPr>
    </w:pPr>
  </w:style>
  <w:style w:type="paragraph" w:styleId="FootnoteText">
    <w:name w:val="footnote text"/>
    <w:rPr>
      <w:rFonts w:ascii="Calibri" w:eastAsia="Calibri" w:hAnsi="Calibri" w:cs="Calibri"/>
      <w:color w:val="000000"/>
      <w:u w:color="000000"/>
      <w:lang w:val="en-US"/>
    </w:rPr>
  </w:style>
  <w:style w:type="numbering" w:customStyle="1" w:styleId="ImportedStyle4">
    <w:name w:val="Imported Style 4"/>
    <w:pPr>
      <w:numPr>
        <w:numId w:val="6"/>
      </w:numPr>
    </w:pPr>
  </w:style>
  <w:style w:type="character" w:customStyle="1" w:styleId="None">
    <w:name w:val="None"/>
  </w:style>
  <w:style w:type="character" w:customStyle="1" w:styleId="Hyperlink0">
    <w:name w:val="Hyperlink.0"/>
    <w:basedOn w:val="None"/>
    <w:rPr>
      <w:rFonts w:ascii="Arial" w:eastAsia="Arial" w:hAnsi="Arial" w:cs="Arial"/>
      <w:sz w:val="28"/>
      <w:szCs w:val="28"/>
    </w:rPr>
  </w:style>
  <w:style w:type="character" w:customStyle="1" w:styleId="Link">
    <w:name w:val="Link"/>
    <w:rPr>
      <w:color w:val="0563C1"/>
      <w:u w:val="single" w:color="0563C1"/>
    </w:rPr>
  </w:style>
  <w:style w:type="character" w:customStyle="1" w:styleId="Hyperlink1">
    <w:name w:val="Hyperlink.1"/>
    <w:basedOn w:val="Link"/>
    <w:rPr>
      <w:rFonts w:ascii="Arial" w:eastAsia="Arial" w:hAnsi="Arial" w:cs="Arial"/>
      <w:color w:val="0563C1"/>
      <w:u w:val="single" w:color="0563C1"/>
    </w:rPr>
  </w:style>
  <w:style w:type="numbering" w:customStyle="1" w:styleId="ImportedStyle5">
    <w:name w:val="Imported Style 5"/>
    <w:pPr>
      <w:numPr>
        <w:numId w:val="8"/>
      </w:numPr>
    </w:pPr>
  </w:style>
  <w:style w:type="character" w:customStyle="1" w:styleId="Hyperlink2">
    <w:name w:val="Hyperlink.2"/>
    <w:basedOn w:val="None"/>
    <w:rPr>
      <w:rFonts w:ascii="Arial" w:eastAsia="Arial" w:hAnsi="Arial" w:cs="Arial"/>
      <w:sz w:val="24"/>
      <w:szCs w:val="24"/>
    </w:rPr>
  </w:style>
  <w:style w:type="paragraph" w:customStyle="1" w:styleId="Default">
    <w:name w:val="Default"/>
    <w:rPr>
      <w:rFonts w:ascii="Arial" w:hAnsi="Arial" w:cs="Arial Unicode MS"/>
      <w:color w:val="000000"/>
      <w:sz w:val="24"/>
      <w:szCs w:val="24"/>
      <w:u w:color="000000"/>
      <w:lang w:val="en-US"/>
    </w:rPr>
  </w:style>
  <w:style w:type="numbering" w:customStyle="1" w:styleId="ImportedStyle6">
    <w:name w:val="Imported Style 6"/>
    <w:pPr>
      <w:numPr>
        <w:numId w:val="10"/>
      </w:numPr>
    </w:pPr>
  </w:style>
  <w:style w:type="paragraph" w:styleId="NormalWeb">
    <w:name w:val="Normal (Web)"/>
    <w:pPr>
      <w:spacing w:before="100" w:after="100"/>
    </w:pPr>
    <w:rPr>
      <w:rFonts w:ascii="Calibri" w:eastAsia="Calibri" w:hAnsi="Calibri" w:cs="Calibri"/>
      <w:color w:val="000000"/>
      <w:sz w:val="24"/>
      <w:szCs w:val="24"/>
      <w:u w:color="000000"/>
      <w:lang w:val="en-US"/>
    </w:rPr>
  </w:style>
  <w:style w:type="numbering" w:customStyle="1" w:styleId="ImportedStyle7">
    <w:name w:val="Imported Style 7"/>
    <w:pPr>
      <w:numPr>
        <w:numId w:val="13"/>
      </w:numPr>
    </w:pPr>
  </w:style>
  <w:style w:type="numbering" w:customStyle="1" w:styleId="ImportedStyle8">
    <w:name w:val="Imported Style 8"/>
    <w:pPr>
      <w:numPr>
        <w:numId w:val="16"/>
      </w:numPr>
    </w:pPr>
  </w:style>
  <w:style w:type="paragraph" w:styleId="CommentText">
    <w:name w:val="annotation text"/>
    <w:basedOn w:val="Normal"/>
    <w:link w:val="CommentTextChar"/>
    <w:uiPriority w:val="99"/>
    <w:semiHidden/>
    <w:unhideWhenUsed/>
    <w:rPr>
      <w:sz w:val="20"/>
      <w:szCs w:val="20"/>
    </w:rPr>
  </w:style>
  <w:style w:type="character" w:customStyle="1" w:styleId="CommentTextChar">
    <w:name w:val="Comment Text Char"/>
    <w:basedOn w:val="DefaultParagraphFont"/>
    <w:link w:val="CommentText"/>
    <w:uiPriority w:val="99"/>
    <w:semiHidden/>
    <w:rPr>
      <w:lang w:val="en-US" w:eastAsia="en-US"/>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042749"/>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42749"/>
    <w:rPr>
      <w:rFonts w:ascii="Segoe UI" w:hAnsi="Segoe UI" w:cs="Segoe UI"/>
      <w:sz w:val="18"/>
      <w:szCs w:val="18"/>
      <w:lang w:val="en-US" w:eastAsia="en-US"/>
    </w:rPr>
  </w:style>
  <w:style w:type="character" w:customStyle="1" w:styleId="HeaderChar">
    <w:name w:val="Header Char"/>
    <w:basedOn w:val="DefaultParagraphFont"/>
    <w:link w:val="Header"/>
    <w:uiPriority w:val="99"/>
    <w:rsid w:val="00EC12B6"/>
    <w:rPr>
      <w:rFonts w:ascii="Calibri" w:eastAsia="Calibri" w:hAnsi="Calibri" w:cs="Calibri"/>
      <w:color w:val="000000"/>
      <w:sz w:val="22"/>
      <w:szCs w:val="22"/>
      <w:u w:color="00000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2.xml"/></Relationships>
</file>

<file path=word/_rels/footnotes.xml.rels><?xml version="1.0" encoding="UTF-8" standalone="yes"?>
<Relationships xmlns="http://schemas.openxmlformats.org/package/2006/relationships"><Relationship Id="rId2" Type="http://schemas.openxmlformats.org/officeDocument/2006/relationships/hyperlink" Target="https://www.legislation.gov.uk/ukpga/1998/42/contents" TargetMode="External"/><Relationship Id="rId1" Type="http://schemas.openxmlformats.org/officeDocument/2006/relationships/hyperlink" Target="https://statswales.wales.gov.uk/Catalogue/Equality-and-Diversity/Sexual-Identity/SexualIdentity-by-Area-IdentityStatus" TargetMode="External"/></Relationships>
</file>

<file path=word/theme/theme1.xml><?xml version="1.0" encoding="utf-8"?>
<a:theme xmlns:a="http://schemas.openxmlformats.org/drawingml/2006/main" name="Office Theme">
  <a:themeElements>
    <a:clrScheme name="Office Theme">
      <a:dk1>
        <a:srgbClr val="000000"/>
      </a:dk1>
      <a:lt1>
        <a:srgbClr val="FFFFFF"/>
      </a:lt1>
      <a:dk2>
        <a:srgbClr val="A7A7A7"/>
      </a:dk2>
      <a:lt2>
        <a:srgbClr val="535353"/>
      </a:lt2>
      <a:accent1>
        <a:srgbClr val="5B9BD5"/>
      </a:accent1>
      <a:accent2>
        <a:srgbClr val="ED7D31"/>
      </a:accent2>
      <a:accent3>
        <a:srgbClr val="A5A5A5"/>
      </a:accent3>
      <a:accent4>
        <a:srgbClr val="FFC000"/>
      </a:accent4>
      <a:accent5>
        <a:srgbClr val="4472C4"/>
      </a:accent5>
      <a:accent6>
        <a:srgbClr val="70AD47"/>
      </a:accent6>
      <a:hlink>
        <a:srgbClr val="0000FF"/>
      </a:hlink>
      <a:folHlink>
        <a:srgbClr val="FF00FF"/>
      </a:folHlink>
    </a:clrScheme>
    <a:fontScheme name="Office Theme">
      <a:majorFont>
        <a:latin typeface="Helvetica"/>
        <a:ea typeface="Helvetica"/>
        <a:cs typeface="Helvetica"/>
      </a:majorFont>
      <a:minorFont>
        <a:latin typeface="Helvetica"/>
        <a:ea typeface="Helvetica"/>
        <a:cs typeface="Helvetica"/>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12700" cap="flat">
          <a:solidFill>
            <a:schemeClr val="accent1"/>
          </a:solidFill>
          <a:prstDash val="solid"/>
          <a:miter lim="800000"/>
        </a:ln>
        <a:effectLst/>
        <a:sp3d/>
      </a:spPr>
      <a:bodyPr rot="0" spcFirstLastPara="1" vertOverflow="overflow" horzOverflow="overflow" vert="horz" wrap="square" lIns="45719" tIns="45719" rIns="45719" bIns="45719"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12700" cap="flat">
          <a:solidFill>
            <a:schemeClr val="accent1"/>
          </a:solidFill>
          <a:prstDash val="solid"/>
          <a:miter lim="800000"/>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9" tIns="45719" rIns="45719" bIns="45719"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C2DF74F-F2D6-45F3-8E64-80B05E52D6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17</Pages>
  <Words>4582</Words>
  <Characters>26119</Characters>
  <Application>Microsoft Office Word</Application>
  <DocSecurity>0</DocSecurity>
  <Lines>217</Lines>
  <Paragraphs>61</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30640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Joanne Abbott-Davies (Swansea Bay UHB - Strategy)</dc:creator>
  <cp:lastModifiedBy>Joanne Abbott-Davies (Swansea Bay UHB - Strategy)</cp:lastModifiedBy>
  <cp:revision>2</cp:revision>
  <dcterms:created xsi:type="dcterms:W3CDTF">2021-07-12T09:19:00Z</dcterms:created>
  <dcterms:modified xsi:type="dcterms:W3CDTF">2021-07-12T09:19:00Z</dcterms:modified>
</cp:coreProperties>
</file>